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DEAD ANIMAL DISPOSAL</w:t>
      </w:r>
    </w:p>
    <w:p>
      <w:pPr>
        <w:spacing w:before="0" w:after="0"/>
        <w:ind w:left="120"/>
        <w:jc w:val="center"/>
      </w:pPr>
      <w:r>
        <w:rPr>
          <w:rFonts w:ascii="Times New Roman" w:hAnsi="Times New Roman"/>
          <w:b w:val="false"/>
          <w:i w:val="false"/>
          <w:color w:val="000000"/>
          <w:sz w:val="14"/>
        </w:rPr>
        <w:t>[Prior to 7/27/88, see Agriculture Department 30—Ch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21—61.1</w:t>
      </w:r>
      <w:r>
        <w:rPr>
          <w:rFonts w:ascii="Times New Roman" w:hAnsi="Times New Roman"/>
          <w:b/>
          <w:i w:val="false"/>
          <w:color w:val="000000"/>
          <w:sz w:val="22"/>
        </w:rPr>
        <w:t xml:space="preserve">(167) </w:t>
      </w:r>
      <w:r>
        <w:rPr>
          <w:rFonts w:ascii="Times New Roman" w:hAnsi="Times New Roman"/>
          <w:b/>
          <w:i w:val="false"/>
          <w:color w:val="000000"/>
          <w:sz w:val="22"/>
        </w:rPr>
        <w:t xml:space="preserve">Dead animal disposal—license. </w:t>
      </w:r>
      <w:r>
        <w:rPr>
          <w:rFonts w:ascii="Times New Roman" w:hAnsi="Times New Roman"/>
          <w:b w:val="false"/>
          <w:i w:val="false"/>
          <w:color w:val="000000"/>
          <w:sz w:val="22"/>
        </w:rPr>
        <w:t xml:space="preserve">No person, firm or corporation shall engage in the business of disposing of the bodies of dead animals without first obtaining a license to do so in the manner and upon the terms and conditions provided in Iowa Code chapter </w:t>
      </w:r>
      <w:hyperlink r:id="rId5">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21—61.2</w:t>
      </w:r>
      <w:r>
        <w:rPr>
          <w:rFonts w:ascii="Times New Roman" w:hAnsi="Times New Roman"/>
          <w:b/>
          <w:i w:val="false"/>
          <w:color w:val="000000"/>
          <w:sz w:val="22"/>
        </w:rPr>
        <w:t xml:space="preserve">(167) </w:t>
      </w:r>
      <w:r>
        <w:rPr>
          <w:rFonts w:ascii="Times New Roman" w:hAnsi="Times New Roman"/>
          <w:b/>
          <w:i w:val="false"/>
          <w:color w:val="000000"/>
          <w:sz w:val="22"/>
        </w:rPr>
        <w:t xml:space="preserve">Animal disposal—persons defined. </w:t>
      </w:r>
      <w:r>
        <w:rPr>
          <w:rFonts w:ascii="Times New Roman" w:hAnsi="Times New Roman"/>
          <w:b w:val="false"/>
          <w:i w:val="false"/>
          <w:color w:val="000000"/>
          <w:sz w:val="22"/>
        </w:rPr>
        <w:t>Any person who shall obtain from any other person the body of any animal for the purpose of obtaining the hide, skin or grease from such animal in any way whatsoever shall be deemed to be engaged in the business of disposing of dead animals.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167.3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21—61.3</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Disposing of dead animals by cooking. </w:t>
      </w:r>
      <w:r>
        <w:rPr>
          <w:rFonts w:ascii="Times New Roman" w:hAnsi="Times New Roman"/>
          <w:b w:val="false"/>
          <w:i w:val="false"/>
          <w:color w:val="000000"/>
          <w:sz w:val="22"/>
        </w:rPr>
        <w:t>Any person desiring to engage in the business of disposing of the bodies of dead animals by cooking or otherwise shall file with the department of agriculture and land stewardship of the state of Iowa an application for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21—61.4</w:t>
      </w:r>
      <w:r>
        <w:rPr>
          <w:rFonts w:ascii="Times New Roman" w:hAnsi="Times New Roman"/>
          <w:b/>
          <w:i w:val="false"/>
          <w:color w:val="000000"/>
          <w:sz w:val="22"/>
        </w:rPr>
        <w:t xml:space="preserve">(167) </w:t>
      </w:r>
      <w:r>
        <w:rPr>
          <w:rFonts w:ascii="Times New Roman" w:hAnsi="Times New Roman"/>
          <w:b/>
          <w:i w:val="false"/>
          <w:color w:val="000000"/>
          <w:sz w:val="22"/>
        </w:rPr>
        <w:t xml:space="preserve">License fee. </w:t>
      </w:r>
      <w:r>
        <w:rPr>
          <w:rFonts w:ascii="Times New Roman" w:hAnsi="Times New Roman"/>
          <w:b w:val="false"/>
          <w:i w:val="false"/>
          <w:color w:val="000000"/>
          <w:sz w:val="22"/>
        </w:rPr>
        <w:t>Such applicant shall, upon filing such application, pay to the department of agriculture and land stewardship the sum of $100.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21—61.5</w:t>
      </w:r>
      <w:r>
        <w:rPr>
          <w:rFonts w:ascii="Times New Roman" w:hAnsi="Times New Roman"/>
          <w:b/>
          <w:i w:val="false"/>
          <w:color w:val="000000"/>
          <w:sz w:val="22"/>
        </w:rPr>
        <w:t xml:space="preserve">(167) </w:t>
      </w:r>
      <w:r>
        <w:rPr>
          <w:rFonts w:ascii="Times New Roman" w:hAnsi="Times New Roman"/>
          <w:b/>
          <w:i w:val="false"/>
          <w:color w:val="000000"/>
          <w:sz w:val="22"/>
        </w:rPr>
        <w:t xml:space="preserve">Certificate issuance. </w:t>
      </w:r>
      <w:r>
        <w:rPr>
          <w:rFonts w:ascii="Times New Roman" w:hAnsi="Times New Roman"/>
          <w:b w:val="false"/>
          <w:i w:val="false"/>
          <w:color w:val="000000"/>
          <w:sz w:val="22"/>
        </w:rPr>
        <w:t>If the secretary of agriculture shall find that such applicant is a responsible and reliable person and capable of conducting properly such business, and that the place where such business is to be conducted is a suitable and sanitary place, the secretary shall issue to such applicant a certificate to that effect.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21—61.6</w:t>
      </w:r>
      <w:r>
        <w:rPr>
          <w:rFonts w:ascii="Times New Roman" w:hAnsi="Times New Roman"/>
          <w:b/>
          <w:i w:val="false"/>
          <w:color w:val="000000"/>
          <w:sz w:val="22"/>
        </w:rPr>
        <w:t xml:space="preserve">(167) </w:t>
      </w:r>
      <w:r>
        <w:rPr>
          <w:rFonts w:ascii="Times New Roman" w:hAnsi="Times New Roman"/>
          <w:b/>
          <w:i w:val="false"/>
          <w:color w:val="000000"/>
          <w:sz w:val="22"/>
        </w:rPr>
        <w:t xml:space="preserve">Filing certificate. </w:t>
      </w:r>
      <w:r>
        <w:rPr>
          <w:rFonts w:ascii="Times New Roman" w:hAnsi="Times New Roman"/>
          <w:b w:val="false"/>
          <w:i w:val="false"/>
          <w:color w:val="000000"/>
          <w:sz w:val="22"/>
        </w:rPr>
        <w:t>Such applicant shall file such certificate with the department of agriculture and land stewardship and shall pay said department the sum of $100 for a license to conduct such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167.7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21—61.7</w:t>
      </w:r>
      <w:r>
        <w:rPr>
          <w:rFonts w:ascii="Times New Roman" w:hAnsi="Times New Roman"/>
          <w:b/>
          <w:i w:val="false"/>
          <w:color w:val="000000"/>
          <w:sz w:val="22"/>
        </w:rPr>
        <w:t xml:space="preserve">(167) </w:t>
      </w:r>
      <w:r>
        <w:rPr>
          <w:rFonts w:ascii="Times New Roman" w:hAnsi="Times New Roman"/>
          <w:b/>
          <w:i w:val="false"/>
          <w:color w:val="000000"/>
          <w:sz w:val="22"/>
        </w:rPr>
        <w:t xml:space="preserve">License renewal. </w:t>
      </w:r>
      <w:r>
        <w:rPr>
          <w:rFonts w:ascii="Times New Roman" w:hAnsi="Times New Roman"/>
          <w:b w:val="false"/>
          <w:i w:val="false"/>
          <w:color w:val="000000"/>
          <w:sz w:val="22"/>
        </w:rPr>
        <w:t>Every person operating under a license issued by the department of agriculture and land stewardship shall pay, annually, for the renewal of such license the sum of $100.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167.10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21—61.8</w:t>
      </w:r>
      <w:r>
        <w:rPr>
          <w:rFonts w:ascii="Times New Roman" w:hAnsi="Times New Roman"/>
          <w:b w:val="false"/>
          <w:i w:val="false"/>
          <w:color w:val="000000"/>
          <w:sz w:val="22"/>
        </w:rPr>
        <w:t xml:space="preserve"> to </w:t>
      </w:r>
      <w:r>
        <w:rPr>
          <w:rFonts w:ascii="Times New Roman" w:hAnsi="Times New Roman"/>
          <w:b/>
          <w:i w:val="false"/>
          <w:color w:val="000000"/>
          <w:sz w:val="22"/>
        </w:rPr>
        <w:t>61.10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21—61.11</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Disposal plant plans. </w:t>
      </w:r>
      <w:r>
        <w:rPr>
          <w:rFonts w:ascii="Times New Roman" w:hAnsi="Times New Roman"/>
          <w:b w:val="false"/>
          <w:i w:val="false"/>
          <w:color w:val="000000"/>
          <w:sz w:val="22"/>
        </w:rPr>
        <w:t>Plans of disposal plant, either in blueprint or detail drawing shall be filed with the Iowa department of agriculture and land stewardship. All tanks, vats, pipes, drains, valves, etc., shall be shown in detail. A separate drawing or blueprint of the covered or underground portion of the construction shall be included with these plans. Any alteration in construction that is to be made shall be approved by the department before construction is undertaken.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167.11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21—61.12</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Disposal plant specifications. </w:t>
      </w:r>
      <w:r>
        <w:rPr>
          <w:rFonts w:ascii="Times New Roman" w:hAnsi="Times New Roman"/>
          <w:b w:val="false"/>
          <w:i w:val="false"/>
          <w:color w:val="000000"/>
          <w:sz w:val="22"/>
        </w:rPr>
        <w:t>No place shall be deemed suitable or sanitary for disposing of the bodies of dead animals unless it conforms to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val="false"/>
          <w:color w:val="000000"/>
          <w:sz w:val="22"/>
        </w:rPr>
        <w:t>The building must be provided with concrete or cement floors or some other nonabsorbent material and provided with good drainage and be thoroughly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val="false"/>
          <w:color w:val="000000"/>
          <w:sz w:val="22"/>
        </w:rPr>
        <w:t>All cooking vats or tanks shall be airtight; except where proper escapes or vents are required for live steam used in cooking.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61.12(3)</w:t>
      </w:r>
      <w:r>
        <w:rPr>
          <w:rFonts w:ascii="Times New Roman" w:hAnsi="Times New Roman"/>
          <w:b w:val="false"/>
          <w:i w:val="false"/>
          <w:color w:val="000000"/>
          <w:sz w:val="22"/>
        </w:rPr>
        <w:t> </w:t>
      </w:r>
      <w:r>
        <w:rPr>
          <w:rFonts w:ascii="Times New Roman" w:hAnsi="Times New Roman"/>
          <w:b w:val="false"/>
          <w:i w:val="false"/>
          <w:color w:val="000000"/>
          <w:sz w:val="22"/>
        </w:rPr>
        <w:t>Steam shall be so disposed of as not to cause unnecessary annoyance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61.12(4)</w:t>
      </w:r>
      <w:r>
        <w:rPr>
          <w:rFonts w:ascii="Times New Roman" w:hAnsi="Times New Roman"/>
          <w:b w:val="false"/>
          <w:i w:val="false"/>
          <w:color w:val="000000"/>
          <w:sz w:val="22"/>
        </w:rPr>
        <w:t> </w:t>
      </w:r>
      <w:r>
        <w:rPr>
          <w:rFonts w:ascii="Times New Roman" w:hAnsi="Times New Roman"/>
          <w:b w:val="false"/>
          <w:i w:val="false"/>
          <w:color w:val="000000"/>
          <w:sz w:val="22"/>
        </w:rPr>
        <w:t>Such place shall be so situated, arranged and conducted as not to interfere with the comfortable enjoyment of life and property of the citizens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61.12(5)</w:t>
      </w:r>
      <w:r>
        <w:rPr>
          <w:rFonts w:ascii="Times New Roman" w:hAnsi="Times New Roman"/>
          <w:b w:val="false"/>
          <w:i w:val="false"/>
          <w:color w:val="000000"/>
          <w:sz w:val="22"/>
        </w:rPr>
        <w:t> </w:t>
      </w:r>
      <w:r>
        <w:rPr>
          <w:rFonts w:ascii="Times New Roman" w:hAnsi="Times New Roman"/>
          <w:b w:val="false"/>
          <w:i w:val="false"/>
          <w:color w:val="000000"/>
          <w:sz w:val="22"/>
        </w:rPr>
        <w:t>No liquid wastes, either from the process or from washings, shall be discharged into any stream, watercourse or on the surface of the 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61.12(6)</w:t>
      </w:r>
      <w:r>
        <w:rPr>
          <w:rFonts w:ascii="Times New Roman" w:hAnsi="Times New Roman"/>
          <w:b w:val="false"/>
          <w:i w:val="false"/>
          <w:color w:val="000000"/>
          <w:sz w:val="22"/>
        </w:rPr>
        <w:t> </w:t>
      </w:r>
      <w:r>
        <w:rPr>
          <w:rFonts w:ascii="Times New Roman" w:hAnsi="Times New Roman"/>
          <w:b w:val="false"/>
          <w:i w:val="false"/>
          <w:color w:val="000000"/>
          <w:sz w:val="22"/>
        </w:rPr>
        <w:t>All sewage from washing of floors, wagons, trucks, and all liquid wastes from the rendering process shall be disposed of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Sterilized by boiling.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Through a series of septic tanks proven adequate to handle and render nonpathogenic the quantity of material discharged at maximum capacity of the plant. The disposal plan for carrying out the above process shall be submitted to the department for approval before it is installed.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167.11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167.12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21—61.13</w:t>
      </w:r>
      <w:r>
        <w:rPr>
          <w:rFonts w:ascii="Times New Roman" w:hAnsi="Times New Roman"/>
          <w:b w:val="false"/>
          <w:i w:val="false"/>
          <w:color w:val="000000"/>
          <w:sz w:val="22"/>
        </w:rPr>
        <w:t xml:space="preserve"> and </w:t>
      </w:r>
      <w:r>
        <w:rPr>
          <w:rFonts w:ascii="Times New Roman" w:hAnsi="Times New Roman"/>
          <w:b/>
          <w:i w:val="false"/>
          <w:color w:val="000000"/>
          <w:sz w:val="22"/>
        </w:rPr>
        <w:t>61.14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21—61.15</w:t>
      </w:r>
      <w:r>
        <w:rPr>
          <w:rFonts w:ascii="Times New Roman" w:hAnsi="Times New Roman"/>
          <w:b/>
          <w:i w:val="false"/>
          <w:color w:val="000000"/>
          <w:sz w:val="22"/>
        </w:rPr>
        <w:t xml:space="preserve">(167) </w:t>
      </w:r>
      <w:r>
        <w:rPr>
          <w:rFonts w:ascii="Times New Roman" w:hAnsi="Times New Roman"/>
          <w:b/>
          <w:i w:val="false"/>
          <w:color w:val="000000"/>
          <w:sz w:val="22"/>
        </w:rPr>
        <w:t xml:space="preserve">Conveyances requirements. </w:t>
      </w:r>
      <w:r>
        <w:rPr>
          <w:rFonts w:ascii="Times New Roman" w:hAnsi="Times New Roman"/>
          <w:b w:val="false"/>
          <w:i w:val="false"/>
          <w:color w:val="000000"/>
          <w:sz w:val="22"/>
        </w:rPr>
        <w:t>Conveyances for transporting carcasses of animals must be provided with watertight bed or tank not less than 24 inches in depth; all metal or metal-lined and watertight at least 4 inches above the general level of the bottom of box or bed; endgate to be of metal or metal-lined, hinged at the bottom of box or bed and fastened firmly at top when closed; endgate to be provided with an effect on the inside to fit snugly over the end of the bed.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21—61.16</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Disposal plant trucks. </w:t>
      </w:r>
      <w:r>
        <w:rPr>
          <w:rFonts w:ascii="Times New Roman" w:hAnsi="Times New Roman"/>
          <w:b w:val="false"/>
          <w:i w:val="false"/>
          <w:color w:val="000000"/>
          <w:sz w:val="22"/>
        </w:rPr>
        <w:t xml:space="preserve">All trucks used for transporting carcasses of dead animals on the highways must be owned and operated by a licensed disposal plant, except as provided for in rule </w:t>
      </w:r>
      <w:hyperlink r:id="rId17">
        <w:r>
          <w:rPr>
            <w:rStyle w:val="Hyperlink"/>
            <w:rFonts w:ascii="Times New Roman" w:hAnsi="Times New Roman"/>
            <w:b w:val="false"/>
            <w:i w:val="false"/>
            <w:color w:val="000000"/>
            <w:sz w:val="22"/>
          </w:rPr>
          <w:t>21—64.104</w:t>
        </w:r>
      </w:hyperlink>
      <w:r>
        <w:rPr>
          <w:rFonts w:ascii="Times New Roman" w:hAnsi="Times New Roman"/>
          <w:b w:val="false"/>
          <w:i w:val="false"/>
          <w:color w:val="000000"/>
          <w:sz w:val="22"/>
        </w:rPr>
        <w:t>(167). The name and address and license number of the plant shall be painted on both sides of the truck in letters not less than four inches high and in a color in definite contrast to the body color of the truck.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21—61.17</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Disposal employees. </w:t>
      </w:r>
      <w:r>
        <w:rPr>
          <w:rFonts w:ascii="Times New Roman" w:hAnsi="Times New Roman"/>
          <w:b w:val="false"/>
          <w:i w:val="false"/>
          <w:color w:val="000000"/>
          <w:sz w:val="22"/>
        </w:rPr>
        <w:t>In cases where licensed disposal plants have employees operating trucks in other cities or towns, they must operate under the name of the licensed disposal plant by which they are employed, and this applies to all advertisements and listings.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21—61.18</w:t>
      </w:r>
      <w:r>
        <w:rPr>
          <w:rFonts w:ascii="Times New Roman" w:hAnsi="Times New Roman"/>
          <w:b/>
          <w:i w:val="false"/>
          <w:color w:val="000000"/>
          <w:sz w:val="22"/>
        </w:rPr>
        <w:t xml:space="preserve">(167) </w:t>
      </w:r>
      <w:r>
        <w:rPr>
          <w:rFonts w:ascii="Times New Roman" w:hAnsi="Times New Roman"/>
          <w:b/>
          <w:i w:val="false"/>
          <w:color w:val="000000"/>
          <w:sz w:val="22"/>
        </w:rPr>
        <w:t xml:space="preserve">Tarpaulins. </w:t>
      </w:r>
      <w:r>
        <w:rPr>
          <w:rFonts w:ascii="Times New Roman" w:hAnsi="Times New Roman"/>
          <w:b w:val="false"/>
          <w:i w:val="false"/>
          <w:color w:val="000000"/>
          <w:sz w:val="22"/>
        </w:rPr>
        <w:t>No disposal plant truck shall be moved on the highway without having a tarpaulin which is adequate to cover the bed of the truck and anything contained therein. If any carcass is contained in the truck or the truck has not been thoroughly cleaned, such tarpaulin must be in place covering the bed of the truck and its contents. Such tarpaulin must have no holes through which flies can pass.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21—61.19</w:t>
      </w:r>
      <w:r>
        <w:rPr>
          <w:rFonts w:ascii="Times New Roman" w:hAnsi="Times New Roman"/>
          <w:b/>
          <w:i w:val="false"/>
          <w:color w:val="000000"/>
          <w:sz w:val="22"/>
        </w:rPr>
        <w:t xml:space="preserve">(167) </w:t>
      </w:r>
      <w:r>
        <w:rPr>
          <w:rFonts w:ascii="Times New Roman" w:hAnsi="Times New Roman"/>
          <w:b/>
          <w:i w:val="false"/>
          <w:color w:val="000000"/>
          <w:sz w:val="22"/>
        </w:rPr>
        <w:t xml:space="preserve">Disposal vehicles—disinfection. </w:t>
      </w:r>
      <w:r>
        <w:rPr>
          <w:rFonts w:ascii="Times New Roman" w:hAnsi="Times New Roman"/>
          <w:b w:val="false"/>
          <w:i w:val="false"/>
          <w:color w:val="000000"/>
          <w:sz w:val="22"/>
        </w:rPr>
        <w:t>Whenever a vehicle or person in charge thereof has been upon any premises for the purpose of removing the carcass of any animal, or where animals are dead or dying, before such vehicle can be taken upon a public highway or upon other premises and before leaving the premises of the rendering plant on each trip the wheels of such vehicles and shoes or boots of all persons having been upon such infected premises shall be disinfected thoroughly with any disinfectant of prescribed strength recommended by the division of animal industry as a disinfectant, preferably creosol compound, three percent, or by a 1-1000 solution of bichloride of mercury. Facilities and materials for disinfection shall be carried on truck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167.17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21—61.20</w:t>
      </w:r>
      <w:r>
        <w:rPr>
          <w:rFonts w:ascii="Times New Roman" w:hAnsi="Times New Roman"/>
          <w:b w:val="false"/>
          <w:i w:val="false"/>
          <w:color w:val="000000"/>
          <w:sz w:val="22"/>
        </w:rPr>
        <w:t xml:space="preserve"> to </w:t>
      </w:r>
      <w:r>
        <w:rPr>
          <w:rFonts w:ascii="Times New Roman" w:hAnsi="Times New Roman"/>
          <w:b/>
          <w:i w:val="false"/>
          <w:color w:val="000000"/>
          <w:sz w:val="22"/>
        </w:rPr>
        <w:t>61.22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21—61.23</w:t>
      </w:r>
      <w:r>
        <w:rPr>
          <w:rFonts w:ascii="Times New Roman" w:hAnsi="Times New Roman"/>
          <w:b/>
          <w:i w:val="false"/>
          <w:color w:val="000000"/>
          <w:sz w:val="22"/>
        </w:rPr>
        <w:t xml:space="preserve">(167) </w:t>
      </w:r>
      <w:r>
        <w:rPr>
          <w:rFonts w:ascii="Times New Roman" w:hAnsi="Times New Roman"/>
          <w:b/>
          <w:i w:val="false"/>
          <w:color w:val="000000"/>
          <w:sz w:val="22"/>
        </w:rPr>
        <w:t xml:space="preserve">Rendering plant committee. </w:t>
      </w:r>
      <w:r>
        <w:rPr>
          <w:rFonts w:ascii="Times New Roman" w:hAnsi="Times New Roman"/>
          <w:b w:val="false"/>
          <w:i w:val="false"/>
          <w:color w:val="000000"/>
          <w:sz w:val="22"/>
        </w:rPr>
        <w:t>If a committee, composed of a member of the division of animal industry, a member of the dairy and food division and representatives of the state board of health and local board of health, after investigation finds that the location or management of any rendering plant interferes with the health, comfort and enjoyment of life or property, the department will consider such finding sufficient grounds for the withholding or suspending of a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167.8</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167.13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21—61.24</w:t>
      </w:r>
      <w:r>
        <w:rPr>
          <w:rFonts w:ascii="Times New Roman" w:hAnsi="Times New Roman"/>
          <w:b/>
          <w:i w:val="false"/>
          <w:color w:val="000000"/>
          <w:sz w:val="22"/>
        </w:rPr>
        <w:t xml:space="preserve">(167) </w:t>
      </w:r>
      <w:r>
        <w:rPr>
          <w:rFonts w:ascii="Times New Roman" w:hAnsi="Times New Roman"/>
          <w:b/>
          <w:i w:val="false"/>
          <w:color w:val="000000"/>
          <w:sz w:val="22"/>
        </w:rPr>
        <w:t xml:space="preserve">Rendering plant—spraying. </w:t>
      </w:r>
      <w:r>
        <w:rPr>
          <w:rFonts w:ascii="Times New Roman" w:hAnsi="Times New Roman"/>
          <w:b w:val="false"/>
          <w:i w:val="false"/>
          <w:color w:val="000000"/>
          <w:sz w:val="22"/>
        </w:rPr>
        <w:t>It will be necessary for the management of each rendering or processing plant to spray the inside of each building, including the doors, windows and screens, as well as all trucks used in transporting the bodies of dead animals, with an approved and effective fly control agent every 30 days beginning the first of April and continuing through the month of October.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167.13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21—61.25</w:t>
      </w:r>
      <w:r>
        <w:rPr>
          <w:rFonts w:ascii="Times New Roman" w:hAnsi="Times New Roman"/>
          <w:b/>
          <w:i w:val="false"/>
          <w:color w:val="000000"/>
          <w:sz w:val="22"/>
        </w:rPr>
        <w:t xml:space="preserve">(167)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See Iowa Code section </w:t>
      </w:r>
      <w:hyperlink r:id="rId25">
        <w:r>
          <w:rPr>
            <w:rStyle w:val="Hyperlink"/>
            <w:rFonts w:ascii="Times New Roman" w:hAnsi="Times New Roman"/>
            <w:b w:val="false"/>
            <w:i w:val="false"/>
            <w:color w:val="000000"/>
            <w:sz w:val="22"/>
          </w:rPr>
          <w:t>167.19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167.19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21—61.26</w:t>
      </w:r>
      <w:r>
        <w:rPr>
          <w:rFonts w:ascii="Times New Roman" w:hAnsi="Times New Roman"/>
          <w:b w:val="false"/>
          <w:i w:val="false"/>
          <w:color w:val="000000"/>
          <w:sz w:val="22"/>
        </w:rPr>
        <w:t xml:space="preserve"> and </w:t>
      </w:r>
      <w:r>
        <w:rPr>
          <w:rFonts w:ascii="Times New Roman" w:hAnsi="Times New Roman"/>
          <w:b/>
          <w:i w:val="false"/>
          <w:color w:val="000000"/>
          <w:sz w:val="22"/>
        </w:rPr>
        <w:t>61.27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21—61.28</w:t>
      </w:r>
      <w:r>
        <w:rPr>
          <w:rFonts w:ascii="Times New Roman" w:hAnsi="Times New Roman"/>
          <w:b/>
          <w:i w:val="false"/>
          <w:color w:val="000000"/>
          <w:sz w:val="22"/>
        </w:rPr>
        <w:t xml:space="preserve">(167) </w:t>
      </w:r>
      <w:r>
        <w:rPr>
          <w:rFonts w:ascii="Times New Roman" w:hAnsi="Times New Roman"/>
          <w:b/>
          <w:i w:val="false"/>
          <w:color w:val="000000"/>
          <w:sz w:val="22"/>
        </w:rPr>
        <w:t xml:space="preserve">Anthrax. </w:t>
      </w:r>
      <w:r>
        <w:rPr>
          <w:rFonts w:ascii="Times New Roman" w:hAnsi="Times New Roman"/>
          <w:b w:val="false"/>
          <w:i w:val="false"/>
          <w:color w:val="000000"/>
          <w:sz w:val="22"/>
        </w:rPr>
        <w:t>The carcass of no animal which dies or which has been killed on account of being affected with anthrax may be handled by a disposal plant. In case through error or otherwise an anthrax carcass is brought into a disposal plant, the plant and its trucks shall be placed under quarantine immediately on the premises of the disposal plant. And said quarantine shall remain in effect until such cleaning and sterilizing of the plant, equipment and any byproducts including hides that the department may deem necessary have been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167.13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21—61.29</w:t>
      </w:r>
      <w:r>
        <w:rPr>
          <w:rFonts w:ascii="Times New Roman" w:hAnsi="Times New Roman"/>
          <w:b/>
          <w:i w:val="false"/>
          <w:color w:val="000000"/>
          <w:sz w:val="22"/>
        </w:rPr>
        <w:t xml:space="preserve">(167) </w:t>
      </w:r>
      <w:r>
        <w:rPr>
          <w:rFonts w:ascii="Times New Roman" w:hAnsi="Times New Roman"/>
          <w:b/>
          <w:i w:val="false"/>
          <w:color w:val="000000"/>
          <w:sz w:val="22"/>
        </w:rPr>
        <w:t xml:space="preserve">Anthrax—disposal. </w:t>
      </w:r>
      <w:r>
        <w:rPr>
          <w:rFonts w:ascii="Times New Roman" w:hAnsi="Times New Roman"/>
          <w:b w:val="false"/>
          <w:i w:val="false"/>
          <w:color w:val="000000"/>
          <w:sz w:val="22"/>
        </w:rPr>
        <w:t xml:space="preserve">All carcasses of animals dead or which have been killed on account of being infected with anthrax must be burned within 24 hours intact without removal of the hide, together with all contaminated flooring, mangers, feed racks, watering troughs, buckets, bedding, litter, soil and utensils. In case such flooring, mangers, feed racks, watering troughs, buckets, stanchions, etc., that have been contaminated are constructed of metal and cement or other fireproof material, they shall be disinfected thoroughly with cresolis compound, U.S.P. or any reliable disinfectant recommended by the B.A.I., chief of division of animal industry or a regularly qualified veterinarian. In the event the owner neglects or refuses to make such disposition of the carcasses of animals dead from anthrax within 24 hours, as stated above, then in such cases the disposal of the same shall be handled in accordance with rule </w:t>
      </w:r>
      <w:hyperlink r:id="rId28">
        <w:r>
          <w:rPr>
            <w:rStyle w:val="Hyperlink"/>
            <w:rFonts w:ascii="Times New Roman" w:hAnsi="Times New Roman"/>
            <w:b w:val="false"/>
            <w:i w:val="false"/>
            <w:color w:val="000000"/>
            <w:sz w:val="22"/>
          </w:rPr>
          <w:t>21—61.33</w:t>
        </w:r>
      </w:hyperlink>
      <w:r>
        <w:rPr>
          <w:rFonts w:ascii="Times New Roman" w:hAnsi="Times New Roman"/>
          <w:b w:val="false"/>
          <w:i w:val="false"/>
          <w:color w:val="000000"/>
          <w:sz w:val="22"/>
        </w:rPr>
        <w:t>(167).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167.13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21—61.30</w:t>
      </w:r>
      <w:r>
        <w:rPr>
          <w:rFonts w:ascii="Times New Roman" w:hAnsi="Times New Roman"/>
          <w:b/>
          <w:i w:val="false"/>
          <w:color w:val="000000"/>
          <w:sz w:val="22"/>
        </w:rPr>
        <w:t xml:space="preserve">(167) </w:t>
      </w:r>
      <w:r>
        <w:rPr>
          <w:rFonts w:ascii="Times New Roman" w:hAnsi="Times New Roman"/>
          <w:b/>
          <w:i w:val="false"/>
          <w:color w:val="000000"/>
          <w:sz w:val="22"/>
        </w:rPr>
        <w:t xml:space="preserve">Classical swine fever—carcasses. </w:t>
      </w:r>
      <w:r>
        <w:rPr>
          <w:rFonts w:ascii="Times New Roman" w:hAnsi="Times New Roman"/>
          <w:b w:val="false"/>
          <w:i w:val="false"/>
          <w:color w:val="000000"/>
          <w:sz w:val="22"/>
        </w:rPr>
        <w:t xml:space="preserve">All carcasses of hogs dead of classical swine fever must be burned within 24 hours intact, or they may be disposed of within 24 hours by the operator of a licensed rendering plant. In the event that the owner neglects or refuses to make such disposition of the carcass or carcasses of hogs dead of classical swine fever, then the disposal of same shall be handled in accordance with rule </w:t>
      </w:r>
      <w:hyperlink r:id="rId30">
        <w:r>
          <w:rPr>
            <w:rStyle w:val="Hyperlink"/>
            <w:rFonts w:ascii="Times New Roman" w:hAnsi="Times New Roman"/>
            <w:b w:val="false"/>
            <w:i w:val="false"/>
            <w:color w:val="000000"/>
            <w:sz w:val="22"/>
          </w:rPr>
          <w:t>21—61.33</w:t>
        </w:r>
      </w:hyperlink>
      <w:r>
        <w:rPr>
          <w:rFonts w:ascii="Times New Roman" w:hAnsi="Times New Roman"/>
          <w:b w:val="false"/>
          <w:i w:val="false"/>
          <w:color w:val="000000"/>
          <w:sz w:val="22"/>
        </w:rPr>
        <w:t>(167).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166B.2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21—61.31</w:t>
      </w:r>
      <w:r>
        <w:rPr>
          <w:rFonts w:ascii="Times New Roman" w:hAnsi="Times New Roman"/>
          <w:b/>
          <w:i w:val="false"/>
          <w:color w:val="000000"/>
          <w:sz w:val="22"/>
        </w:rPr>
        <w:t xml:space="preserve">(167) </w:t>
      </w:r>
      <w:r>
        <w:rPr>
          <w:rFonts w:ascii="Times New Roman" w:hAnsi="Times New Roman"/>
          <w:b/>
          <w:i w:val="false"/>
          <w:color w:val="000000"/>
          <w:sz w:val="22"/>
        </w:rPr>
        <w:t xml:space="preserve">Noncommunicable diseases—carcasses. </w:t>
      </w:r>
      <w:r>
        <w:rPr>
          <w:rFonts w:ascii="Times New Roman" w:hAnsi="Times New Roman"/>
          <w:b w:val="false"/>
          <w:i w:val="false"/>
          <w:color w:val="000000"/>
          <w:sz w:val="22"/>
        </w:rPr>
        <w:t xml:space="preserve">All carcasses of animals, dead from noncommunicable diseases, may be either burned within 24 hours, or such carcasses may be disposed of within 24 hours by the operator of a licensed rendering plant. In the event that the owner neglects or refuses to make such disposition of the carcass or carcasses, then the disposal of same shall be handled in accordance with rule </w:t>
      </w:r>
      <w:hyperlink r:id="rId32">
        <w:r>
          <w:rPr>
            <w:rStyle w:val="Hyperlink"/>
            <w:rFonts w:ascii="Times New Roman" w:hAnsi="Times New Roman"/>
            <w:b w:val="false"/>
            <w:i w:val="false"/>
            <w:color w:val="000000"/>
            <w:sz w:val="22"/>
          </w:rPr>
          <w:t>21—61.33</w:t>
        </w:r>
      </w:hyperlink>
      <w:r>
        <w:rPr>
          <w:rFonts w:ascii="Times New Roman" w:hAnsi="Times New Roman"/>
          <w:b w:val="false"/>
          <w:i w:val="false"/>
          <w:color w:val="000000"/>
          <w:sz w:val="22"/>
        </w:rPr>
        <w:t>(167).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167.18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21—61.32</w:t>
      </w:r>
      <w:r>
        <w:rPr>
          <w:rFonts w:ascii="Times New Roman" w:hAnsi="Times New Roman"/>
          <w:b/>
          <w:i w:val="false"/>
          <w:color w:val="000000"/>
          <w:sz w:val="22"/>
        </w:rPr>
        <w:t xml:space="preserve">(167) </w:t>
      </w:r>
      <w:r>
        <w:rPr>
          <w:rFonts w:ascii="Times New Roman" w:hAnsi="Times New Roman"/>
          <w:b/>
          <w:i w:val="false"/>
          <w:color w:val="000000"/>
          <w:sz w:val="22"/>
        </w:rPr>
        <w:t xml:space="preserve">Carcass disposal—streams. </w:t>
      </w:r>
      <w:r>
        <w:rPr>
          <w:rFonts w:ascii="Times New Roman" w:hAnsi="Times New Roman"/>
          <w:b w:val="false"/>
          <w:i w:val="false"/>
          <w:color w:val="000000"/>
          <w:sz w:val="22"/>
        </w:rPr>
        <w:t>All persons are strictly forbidden to throw the carcass of any animal into any river, stream, lake or pond or bury the carcass of any animal near any stream or tile drain. Such carcasses if dead of noncommunicable disease, if not disposed of to a rendering plant, must be buried six feet below the surface of the ground, in accordance with the preceding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167.18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21—61.33</w:t>
      </w:r>
      <w:r>
        <w:rPr>
          <w:rFonts w:ascii="Times New Roman" w:hAnsi="Times New Roman"/>
          <w:b/>
          <w:i w:val="false"/>
          <w:color w:val="000000"/>
          <w:sz w:val="22"/>
        </w:rPr>
        <w:t xml:space="preserve">(167) </w:t>
      </w:r>
      <w:r>
        <w:rPr>
          <w:rFonts w:ascii="Times New Roman" w:hAnsi="Times New Roman"/>
          <w:b/>
          <w:i w:val="false"/>
          <w:color w:val="000000"/>
          <w:sz w:val="22"/>
        </w:rPr>
        <w:t xml:space="preserve">Improper disposal. </w:t>
      </w:r>
      <w:r>
        <w:rPr>
          <w:rFonts w:ascii="Times New Roman" w:hAnsi="Times New Roman"/>
          <w:b w:val="false"/>
          <w:i w:val="false"/>
          <w:color w:val="000000"/>
          <w:sz w:val="22"/>
        </w:rPr>
        <w:t>When the owner of any animal, dead from any cause, neglects or refuses to make proper disposition of the carcasses of such animals it shall be the duty of the township trustees or local board of health to supervise the disposal of such carcasses.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167.13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11/26/57]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7.pdf" Type="http://schemas.openxmlformats.org/officeDocument/2006/relationships/hyperlink" Id="rId5"/>
    <Relationship TargetMode="External" Target="https://www.legis.iowa.gov/docs/ico/chapter/167.2.pdf" Type="http://schemas.openxmlformats.org/officeDocument/2006/relationships/hyperlink" Id="rId6"/>
    <Relationship TargetMode="External" Target="https://www.legis.iowa.gov/docs/ico/chapter/167.3.pdf" Type="http://schemas.openxmlformats.org/officeDocument/2006/relationships/hyperlink" Id="rId7"/>
    <Relationship TargetMode="External" Target="https://www.legis.iowa.gov/docs/ico/chapter/167.2.pdf" Type="http://schemas.openxmlformats.org/officeDocument/2006/relationships/hyperlink" Id="rId8"/>
    <Relationship TargetMode="External" Target="https://www.legis.iowa.gov/docs/ico/chapter/167.4.pdf" Type="http://schemas.openxmlformats.org/officeDocument/2006/relationships/hyperlink" Id="rId9"/>
    <Relationship TargetMode="External" Target="https://www.legis.iowa.gov/docs/ico/chapter/167.5.pdf" Type="http://schemas.openxmlformats.org/officeDocument/2006/relationships/hyperlink" Id="rId10"/>
    <Relationship TargetMode="External" Target="https://www.legis.iowa.gov/docs/ico/chapter/167.7.pdf" Type="http://schemas.openxmlformats.org/officeDocument/2006/relationships/hyperlink" Id="rId11"/>
    <Relationship TargetMode="External" Target="https://www.legis.iowa.gov/docs/ico/chapter/167.10.pdf" Type="http://schemas.openxmlformats.org/officeDocument/2006/relationships/hyperlink" Id="rId12"/>
    <Relationship TargetMode="External" Target="https://www.legis.iowa.gov/docs/ico/chapter/167.11.pdf" Type="http://schemas.openxmlformats.org/officeDocument/2006/relationships/hyperlink" Id="rId13"/>
    <Relationship TargetMode="External" Target="https://www.legis.iowa.gov/docs/ico/chapter/167.11.pdf" Type="http://schemas.openxmlformats.org/officeDocument/2006/relationships/hyperlink" Id="rId14"/>
    <Relationship TargetMode="External" Target="https://www.legis.iowa.gov/docs/ico/chapter/167.12.pdf" Type="http://schemas.openxmlformats.org/officeDocument/2006/relationships/hyperlink" Id="rId15"/>
    <Relationship TargetMode="External" Target="https://www.legis.iowa.gov/docs/ico/chapter/167.15.pdf" Type="http://schemas.openxmlformats.org/officeDocument/2006/relationships/hyperlink" Id="rId16"/>
    <Relationship TargetMode="External" Target="https://www.legis.iowa.gov/docs/iac/rule/21.64.104.pdf" Type="http://schemas.openxmlformats.org/officeDocument/2006/relationships/hyperlink" Id="rId17"/>
    <Relationship TargetMode="External" Target="https://www.legis.iowa.gov/docs/ico/chapter/167.15.pdf" Type="http://schemas.openxmlformats.org/officeDocument/2006/relationships/hyperlink" Id="rId18"/>
    <Relationship TargetMode="External" Target="https://www.legis.iowa.gov/docs/ico/chapter/167.15.pdf" Type="http://schemas.openxmlformats.org/officeDocument/2006/relationships/hyperlink" Id="rId19"/>
    <Relationship TargetMode="External" Target="https://www.legis.iowa.gov/docs/ico/chapter/167.15.pdf" Type="http://schemas.openxmlformats.org/officeDocument/2006/relationships/hyperlink" Id="rId20"/>
    <Relationship TargetMode="External" Target="https://www.legis.iowa.gov/docs/ico/chapter/167.17.pdf" Type="http://schemas.openxmlformats.org/officeDocument/2006/relationships/hyperlink" Id="rId21"/>
    <Relationship TargetMode="External" Target="https://www.legis.iowa.gov/docs/ico/chapter/167.8.pdf" Type="http://schemas.openxmlformats.org/officeDocument/2006/relationships/hyperlink" Id="rId22"/>
    <Relationship TargetMode="External" Target="https://www.legis.iowa.gov/docs/ico/chapter/167.13.pdf" Type="http://schemas.openxmlformats.org/officeDocument/2006/relationships/hyperlink" Id="rId23"/>
    <Relationship TargetMode="External" Target="https://www.legis.iowa.gov/docs/ico/chapter/167.13.pdf" Type="http://schemas.openxmlformats.org/officeDocument/2006/relationships/hyperlink" Id="rId24"/>
    <Relationship TargetMode="External" Target="https://www.legis.iowa.gov/docs/ico/chapter/167.19.pdf" Type="http://schemas.openxmlformats.org/officeDocument/2006/relationships/hyperlink" Id="rId25"/>
    <Relationship TargetMode="External" Target="https://www.legis.iowa.gov/docs/ico/chapter/167.19.pdf" Type="http://schemas.openxmlformats.org/officeDocument/2006/relationships/hyperlink" Id="rId26"/>
    <Relationship TargetMode="External" Target="https://www.legis.iowa.gov/docs/ico/chapter/167.13.pdf" Type="http://schemas.openxmlformats.org/officeDocument/2006/relationships/hyperlink" Id="rId27"/>
    <Relationship TargetMode="External" Target="https://www.legis.iowa.gov/docs/iac/rule/21.61.33.pdf" Type="http://schemas.openxmlformats.org/officeDocument/2006/relationships/hyperlink" Id="rId28"/>
    <Relationship TargetMode="External" Target="https://www.legis.iowa.gov/docs/ico/chapter/167.13.pdf" Type="http://schemas.openxmlformats.org/officeDocument/2006/relationships/hyperlink" Id="rId29"/>
    <Relationship TargetMode="External" Target="https://www.legis.iowa.gov/docs/iac/rule/21.61.33.pdf" Type="http://schemas.openxmlformats.org/officeDocument/2006/relationships/hyperlink" Id="rId30"/>
    <Relationship TargetMode="External" Target="https://www.legis.iowa.gov/docs/ico/chapter/166B.2.pdf" Type="http://schemas.openxmlformats.org/officeDocument/2006/relationships/hyperlink" Id="rId31"/>
    <Relationship TargetMode="External" Target="https://www.legis.iowa.gov/docs/iac/rule/21.61.33.pdf" Type="http://schemas.openxmlformats.org/officeDocument/2006/relationships/hyperlink" Id="rId32"/>
    <Relationship TargetMode="External" Target="https://www.legis.iowa.gov/docs/ico/chapter/167.18.pdf" Type="http://schemas.openxmlformats.org/officeDocument/2006/relationships/hyperlink" Id="rId33"/>
    <Relationship TargetMode="External" Target="https://www.legis.iowa.gov/docs/ico/chapter/167.18.pdf" Type="http://schemas.openxmlformats.org/officeDocument/2006/relationships/hyperlink" Id="rId34"/>
    <Relationship TargetMode="External" Target="https://www.legis.iowa.gov/docs/ico/chapter/167.13.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