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w:t>
      </w:r>
    </w:p>
    <w:p>
      <w:pPr>
        <w:spacing w:before="0" w:after="0"/>
        <w:ind w:left="120"/>
        <w:jc w:val="center"/>
      </w:pPr>
      <w:r>
        <w:rPr>
          <w:rFonts w:ascii="Times New Roman" w:hAnsi="Times New Roman"/>
          <w:b w:val="false"/>
          <w:i w:val="false"/>
          <w:color w:val="000000"/>
          <w:sz w:val="21"/>
        </w:rPr>
        <w:t>POULTRY</w:t>
      </w:r>
    </w:p>
    <w:p>
      <w:pPr>
        <w:spacing w:before="0" w:after="0"/>
        <w:ind w:left="120"/>
        <w:jc w:val="center"/>
      </w:pPr>
      <w:r>
        <w:rPr>
          <w:rFonts w:ascii="Times New Roman" w:hAnsi="Times New Roman"/>
          <w:b w:val="false"/>
          <w:i w:val="false"/>
          <w:color w:val="000000"/>
          <w:sz w:val="14"/>
        </w:rPr>
        <w:t>[Prior to 7/27/88, see Agriculture Department 30—Ch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21—60.1</w:t>
      </w:r>
      <w:r>
        <w:rPr>
          <w:rFonts w:ascii="Times New Roman" w:hAnsi="Times New Roman"/>
          <w:b/>
          <w:i w:val="false"/>
          <w:color w:val="000000"/>
          <w:sz w:val="22"/>
        </w:rPr>
        <w:t xml:space="preserve">(168) </w:t>
      </w:r>
      <w:r>
        <w:rPr>
          <w:rFonts w:ascii="Times New Roman" w:hAnsi="Times New Roman"/>
          <w:b/>
          <w:i w:val="false"/>
          <w:color w:val="000000"/>
          <w:sz w:val="22"/>
        </w:rPr>
        <w:t xml:space="preserve">Egg-type chickens, meat-type chickens, turkeys, domestic waterfowl, domestic game birds and exhibition poultry.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w:t>
      </w:r>
      <w:r>
        <w:rPr>
          <w:rFonts w:ascii="Times New Roman" w:hAnsi="Times New Roman"/>
          <w:b w:val="false"/>
          <w:i w:val="false"/>
          <w:color w:val="000000"/>
          <w:sz w:val="22"/>
        </w:rPr>
        <w:t> </w:t>
      </w:r>
      <w:r>
        <w:rPr>
          <w:rFonts w:ascii="Times New Roman" w:hAnsi="Times New Roman"/>
          <w:b w:val="false"/>
          <w:i w:val="false"/>
          <w:color w:val="000000"/>
          <w:sz w:val="22"/>
        </w:rPr>
        <w:t>For the purpose of assisting the state of Iowa in maintaining its pullorum-typhoid free status, the secretary adopts the provisions of §§145.23(b)(3)(i) through (vii), 145.33(b)(3)(i) through (vii), 145.43(b)(3)(i) through (vi), and 145.53(b)(3)(i) through (vii), part 145 issued originally as part 445 under section 101(b) of the Department of Agriculture Organic Act of 1944, as amended (7 U.S.C. 429) as of July 1, 1977; and the regulations promulgated pursuant thereto of the Iowa National Poultry Improvement Plan as amended as of August 1989, a copy of which is on file with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w:t>
      </w:r>
      <w:r>
        <w:rPr>
          <w:rFonts w:ascii="Times New Roman" w:hAnsi="Times New Roman"/>
          <w:b w:val="false"/>
          <w:i w:val="false"/>
          <w:color w:val="000000"/>
          <w:sz w:val="22"/>
        </w:rPr>
        <w:t> </w:t>
      </w:r>
      <w:r>
        <w:rPr>
          <w:rFonts w:ascii="Times New Roman" w:hAnsi="Times New Roman"/>
          <w:b w:val="false"/>
          <w:i w:val="false"/>
          <w:color w:val="000000"/>
          <w:sz w:val="22"/>
        </w:rPr>
        <w:t>All hatching eggs, baby chicks or started pullets must originate from flocks or hatcheries that have a pullorum-typhoid clean rating.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w:t>
      </w:r>
      <w:r>
        <w:rPr>
          <w:rFonts w:ascii="Times New Roman" w:hAnsi="Times New Roman"/>
          <w:b w:val="false"/>
          <w:i w:val="false"/>
          <w:color w:val="000000"/>
          <w:sz w:val="22"/>
        </w:rPr>
        <w:t> </w:t>
      </w:r>
      <w:r>
        <w:rPr>
          <w:rFonts w:ascii="Times New Roman" w:hAnsi="Times New Roman"/>
          <w:b w:val="false"/>
          <w:i w:val="false"/>
          <w:color w:val="000000"/>
          <w:sz w:val="22"/>
        </w:rPr>
        <w:t xml:space="preserve">All boxes, crates, coops or other containers shall be new or disinfected before being used to move poultry within the state of Iowa. Each such box, crate, coop or other container that is attached to a customer lot shall be plainly labeled by identifying the customer lot thereof with a label to be supplied by the NPIP recognized official state contact agency (Iowa Poultry Association). The label shall contain the name of seller and description of contents as specified in Iowa Code section </w:t>
      </w:r>
      <w:hyperlink r:id="rId5">
        <w:r>
          <w:rPr>
            <w:rStyle w:val="Hyperlink"/>
            <w:rFonts w:ascii="Times New Roman" w:hAnsi="Times New Roman"/>
            <w:b w:val="false"/>
            <w:i w:val="false"/>
            <w:color w:val="000000"/>
            <w:sz w:val="22"/>
          </w:rPr>
          <w:t>168.5(4)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21—60.2</w:t>
      </w:r>
      <w:r>
        <w:rPr>
          <w:rFonts w:ascii="Times New Roman" w:hAnsi="Times New Roman"/>
          <w:b/>
          <w:i w:val="false"/>
          <w:color w:val="000000"/>
          <w:sz w:val="22"/>
        </w:rPr>
        <w:t xml:space="preserve">(168) </w:t>
      </w:r>
      <w:r>
        <w:rPr>
          <w:rFonts w:ascii="Times New Roman" w:hAnsi="Times New Roman"/>
          <w:b/>
          <w:i w:val="false"/>
          <w:color w:val="000000"/>
          <w:sz w:val="22"/>
        </w:rPr>
        <w:t xml:space="preserve">License for dealers of baby chicks or domestic fowls. </w:t>
      </w:r>
      <w:r>
        <w:rPr>
          <w:rFonts w:ascii="Times New Roman" w:hAnsi="Times New Roman"/>
          <w:b w:val="false"/>
          <w:i w:val="false"/>
          <w:color w:val="000000"/>
          <w:sz w:val="22"/>
        </w:rPr>
        <w:t>In order to qualify for the license to engage in the business of custom hatching, producing baby chicks and other baby domestic fowls under six weeks of age, for sale in this state or of offering them for sale or selling them within this state, the applicant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w:t>
      </w:r>
      <w:r>
        <w:rPr>
          <w:rFonts w:ascii="Times New Roman" w:hAnsi="Times New Roman"/>
          <w:b w:val="false"/>
          <w:i w:val="false"/>
          <w:color w:val="000000"/>
          <w:sz w:val="22"/>
        </w:rPr>
        <w:t> </w:t>
      </w:r>
      <w:r>
        <w:rPr>
          <w:rFonts w:ascii="Times New Roman" w:hAnsi="Times New Roman"/>
          <w:b w:val="false"/>
          <w:i w:val="false"/>
          <w:color w:val="000000"/>
          <w:sz w:val="22"/>
        </w:rPr>
        <w:t>Application for a license shall be accompanied by the required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w:t>
      </w:r>
      <w:r>
        <w:rPr>
          <w:rFonts w:ascii="Times New Roman" w:hAnsi="Times New Roman"/>
          <w:b w:val="false"/>
          <w:i w:val="false"/>
          <w:color w:val="000000"/>
          <w:sz w:val="22"/>
        </w:rPr>
        <w:t> </w:t>
      </w:r>
      <w:r>
        <w:rPr>
          <w:rFonts w:ascii="Times New Roman" w:hAnsi="Times New Roman"/>
          <w:b w:val="false"/>
          <w:i w:val="false"/>
          <w:color w:val="000000"/>
          <w:sz w:val="22"/>
        </w:rPr>
        <w:t>Applicant shall assist the state in maintaining its pullorum-typhoid free status by accompanying license application with evidence or affidavit indicating compliance with regulations of the Iowa Poultry Improvement Plan, as amended as of August 1989, a copy of which is on file with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issuing the license, the department may inspect the applicant’s business establishment. All the requirements of Iowa Code section </w:t>
      </w:r>
      <w:hyperlink r:id="rId6">
        <w:r>
          <w:rPr>
            <w:rStyle w:val="Hyperlink"/>
            <w:rFonts w:ascii="Times New Roman" w:hAnsi="Times New Roman"/>
            <w:b w:val="false"/>
            <w:i w:val="false"/>
            <w:color w:val="000000"/>
            <w:sz w:val="22"/>
          </w:rPr>
          <w:t>168.5</w:t>
        </w:r>
      </w:hyperlink>
      <w:r>
        <w:rPr>
          <w:rFonts w:ascii="Times New Roman" w:hAnsi="Times New Roman"/>
          <w:b w:val="false"/>
          <w:i w:val="false"/>
          <w:color w:val="000000"/>
          <w:sz w:val="22"/>
        </w:rPr>
        <w:t xml:space="preserve"> shall be complied with.</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168.2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168.5</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168.6</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168.7</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197.1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159.1(2)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21—60.3</w:t>
      </w:r>
      <w:r>
        <w:rPr>
          <w:rFonts w:ascii="Times New Roman" w:hAnsi="Times New Roman"/>
          <w:b/>
          <w:i w:val="false"/>
          <w:color w:val="000000"/>
          <w:sz w:val="22"/>
        </w:rPr>
        <w:t xml:space="preserve">(163) </w:t>
      </w:r>
      <w:r>
        <w:rPr>
          <w:rFonts w:ascii="Times New Roman" w:hAnsi="Times New Roman"/>
          <w:b/>
          <w:i w:val="false"/>
          <w:color w:val="000000"/>
          <w:sz w:val="22"/>
        </w:rPr>
        <w:t xml:space="preserve">Turkeys. </w:t>
      </w:r>
      <w:r>
        <w:rPr>
          <w:rFonts w:ascii="Times New Roman" w:hAnsi="Times New Roman"/>
          <w:b w:val="false"/>
          <w:i w:val="false"/>
          <w:color w:val="000000"/>
          <w:sz w:val="22"/>
        </w:rPr>
        <w:t>All turkey-hatching eggs or turkey poults must originate from flocks or hatcheries that comply with the following requirements of the Iowa state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60.3(1)</w:t>
      </w:r>
      <w:r>
        <w:rPr>
          <w:rFonts w:ascii="Times New Roman" w:hAnsi="Times New Roman"/>
          <w:b w:val="false"/>
          <w:i w:val="false"/>
          <w:color w:val="000000"/>
          <w:sz w:val="22"/>
        </w:rPr>
        <w:t> </w:t>
      </w:r>
      <w:r>
        <w:rPr>
          <w:rFonts w:ascii="Times New Roman" w:hAnsi="Times New Roman"/>
          <w:b w:val="false"/>
          <w:i w:val="false"/>
          <w:color w:val="000000"/>
          <w:sz w:val="22"/>
        </w:rPr>
        <w:t>For the purpose of assisting the state of Iowa in maintaining its “U.S. mycoplasma gallisepticum clean state status,” the secretary adopts the provisions of §§145.44(c), 145.14(b), 145.43(c) of the Code of Federal Regulations, Title 9, and the regulations promulgated pursuant thereto of the Iowa Poultry Improvement Plan, August 1989, a copy of which is on file with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60.3(2)</w:t>
      </w:r>
      <w:r>
        <w:rPr>
          <w:rFonts w:ascii="Times New Roman" w:hAnsi="Times New Roman"/>
          <w:b w:val="false"/>
          <w:i w:val="false"/>
          <w:color w:val="000000"/>
          <w:sz w:val="22"/>
        </w:rPr>
        <w:t> </w:t>
      </w:r>
      <w:r>
        <w:rPr>
          <w:rFonts w:ascii="Times New Roman" w:hAnsi="Times New Roman"/>
          <w:b w:val="false"/>
          <w:i w:val="false"/>
          <w:color w:val="000000"/>
          <w:sz w:val="22"/>
        </w:rPr>
        <w:t>Blood samples shall be tested by an approved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60.3(3)</w:t>
      </w:r>
      <w:r>
        <w:rPr>
          <w:rFonts w:ascii="Times New Roman" w:hAnsi="Times New Roman"/>
          <w:b w:val="false"/>
          <w:i w:val="false"/>
          <w:color w:val="000000"/>
          <w:sz w:val="22"/>
        </w:rPr>
        <w:t> </w:t>
      </w:r>
      <w:r>
        <w:rPr>
          <w:rFonts w:ascii="Times New Roman" w:hAnsi="Times New Roman"/>
          <w:b w:val="false"/>
          <w:i w:val="false"/>
          <w:color w:val="000000"/>
          <w:sz w:val="22"/>
        </w:rPr>
        <w:t>Tests shall be conducted with antigens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60.3(4)</w:t>
      </w:r>
      <w:r>
        <w:rPr>
          <w:rFonts w:ascii="Times New Roman" w:hAnsi="Times New Roman"/>
          <w:b w:val="false"/>
          <w:i w:val="false"/>
          <w:color w:val="000000"/>
          <w:sz w:val="22"/>
        </w:rPr>
        <w:t> </w:t>
      </w:r>
      <w:r>
        <w:rPr>
          <w:rFonts w:ascii="Times New Roman" w:hAnsi="Times New Roman"/>
          <w:b w:val="false"/>
          <w:i w:val="false"/>
          <w:color w:val="000000"/>
          <w:sz w:val="22"/>
        </w:rPr>
        <w:t>All eggs used for hatching shall be identified by the flock owner as to the flock of origin.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60.3(5)</w:t>
      </w:r>
      <w:r>
        <w:rPr>
          <w:rFonts w:ascii="Times New Roman" w:hAnsi="Times New Roman"/>
          <w:b w:val="false"/>
          <w:i w:val="false"/>
          <w:color w:val="000000"/>
          <w:sz w:val="22"/>
        </w:rPr>
        <w:t> </w:t>
      </w:r>
      <w:r>
        <w:rPr>
          <w:rFonts w:ascii="Times New Roman" w:hAnsi="Times New Roman"/>
          <w:b w:val="false"/>
          <w:i w:val="false"/>
          <w:color w:val="000000"/>
          <w:sz w:val="22"/>
        </w:rPr>
        <w:t>All flock and hatchery owners shall follow sanitation procedures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60.3(6)</w:t>
      </w:r>
      <w:r>
        <w:rPr>
          <w:rFonts w:ascii="Times New Roman" w:hAnsi="Times New Roman"/>
          <w:b w:val="false"/>
          <w:i w:val="false"/>
          <w:color w:val="000000"/>
          <w:sz w:val="22"/>
        </w:rPr>
        <w:t> </w:t>
      </w:r>
      <w:r>
        <w:rPr>
          <w:rFonts w:ascii="Times New Roman" w:hAnsi="Times New Roman"/>
          <w:b w:val="false"/>
          <w:i w:val="false"/>
          <w:color w:val="000000"/>
          <w:sz w:val="22"/>
        </w:rPr>
        <w:t>Flock and hatchery owners shall report any signs of respiratory disease to the department.</w:t>
      </w:r>
    </w:p>
    <w:p>
      <w:pPr>
        <w:spacing w:before="0" w:after="0"/>
        <w:ind w:left="120"/>
        <w:jc w:val="both"/>
      </w:pPr>
      <w:r>
        <w:rPr>
          <w:rFonts w:ascii="Times New Roman" w:hAnsi="Times New Roman"/>
          <w:b/>
          <w:i w:val="false"/>
          <w:color w:val="000000"/>
          <w:sz w:val="22"/>
        </w:rPr>
        <w:t>21—60.4</w:t>
      </w:r>
      <w:r>
        <w:rPr>
          <w:rFonts w:ascii="Times New Roman" w:hAnsi="Times New Roman"/>
          <w:b/>
          <w:i w:val="false"/>
          <w:color w:val="000000"/>
          <w:sz w:val="22"/>
        </w:rPr>
        <w:t xml:space="preserve">(163) </w:t>
      </w:r>
      <w:r>
        <w:rPr>
          <w:rFonts w:ascii="Times New Roman" w:hAnsi="Times New Roman"/>
          <w:b/>
          <w:i w:val="false"/>
          <w:color w:val="000000"/>
          <w:sz w:val="22"/>
        </w:rPr>
        <w:t xml:space="preserve">Registration of exhibitions involving poultry. </w:t>
      </w:r>
      <w:r>
        <w:rPr>
          <w:rFonts w:ascii="Times New Roman" w:hAnsi="Times New Roman"/>
          <w:b w:val="false"/>
          <w:i w:val="false"/>
          <w:color w:val="000000"/>
          <w:sz w:val="22"/>
        </w:rPr>
        <w:t>For the purposes of this rule, poultry includes egg-type chickens, meat-type chickens, turkeys, domestic waterfowl, domestic game birds, and exhibition poultry. All exhibitions which include the exhibition of poultry must be registered with and approved by the state veterinarian at least 30 days prior to the exhibition.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w:t>
      </w:r>
      <w:r>
        <w:rPr>
          <w:rFonts w:ascii="Times New Roman" w:hAnsi="Times New Roman"/>
          <w:b w:val="false"/>
          <w:i w:val="false"/>
          <w:color w:val="000000"/>
          <w:sz w:val="22"/>
        </w:rPr>
        <w:t> </w:t>
      </w:r>
      <w:r>
        <w:rPr>
          <w:rFonts w:ascii="Times New Roman" w:hAnsi="Times New Roman"/>
          <w:b w:val="false"/>
          <w:i w:val="false"/>
          <w:color w:val="000000"/>
          <w:sz w:val="22"/>
        </w:rPr>
        <w:t>A licensed accredited veterinarian shall inspect all poultry on the premises of the poultry exhibition, show or sale the day of the activity. All poultry showing signs of any contagious disease shall be removed from the premises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60.4(2)</w:t>
      </w:r>
      <w:r>
        <w:rPr>
          <w:rFonts w:ascii="Times New Roman" w:hAnsi="Times New Roman"/>
          <w:b w:val="false"/>
          <w:i w:val="false"/>
          <w:color w:val="000000"/>
          <w:sz w:val="22"/>
        </w:rPr>
        <w:t> </w:t>
      </w:r>
      <w:r>
        <w:rPr>
          <w:rFonts w:ascii="Times New Roman" w:hAnsi="Times New Roman"/>
          <w:b w:val="false"/>
          <w:i w:val="false"/>
          <w:color w:val="000000"/>
          <w:sz w:val="22"/>
        </w:rPr>
        <w:t>All poultry present at exhibitions, shows or sales must come from U.S. Pullorum-Typhoid clean or equivalent flocks, or have had a negative Pullorum-Typhoid test within 90 days prior to the event, and the test must have been performed by an authorized tester.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60.4(3)</w:t>
      </w:r>
      <w:r>
        <w:rPr>
          <w:rFonts w:ascii="Times New Roman" w:hAnsi="Times New Roman"/>
          <w:b w:val="false"/>
          <w:i w:val="false"/>
          <w:color w:val="000000"/>
          <w:sz w:val="22"/>
        </w:rPr>
        <w:t> </w:t>
      </w:r>
      <w:r>
        <w:rPr>
          <w:rFonts w:ascii="Times New Roman" w:hAnsi="Times New Roman"/>
          <w:b w:val="false"/>
          <w:i w:val="false"/>
          <w:color w:val="000000"/>
          <w:sz w:val="22"/>
        </w:rPr>
        <w:t>Sales of poultry will not be allowed at unregulated facilities or events, such as flea markets and swap meets, unless such facilities or events have been registered with and approved by the state veterinarian at least 30 days prior to the event.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168.7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6/13/66; amended 5/14/68]</w:t>
      </w:r>
    </w:p>
    <w:p>
      <w:pPr>
        <w:spacing w:before="0" w:after="0"/>
        <w:ind w:left="120"/>
        <w:jc w:val="center"/>
      </w:pPr>
      <w:r>
        <w:rPr>
          <w:rFonts w:ascii="Times New Roman" w:hAnsi="Times New Roman"/>
          <w:b w:val="false"/>
          <w:i w:val="false"/>
          <w:color w:val="000000"/>
          <w:sz w:val="21"/>
        </w:rPr>
        <w:t>[Filed 5/25/77, Notice 4/20/77—published 6/15/77, effective 7/20/77]</w:t>
      </w:r>
    </w:p>
    <w:p>
      <w:pPr>
        <w:spacing w:before="0" w:after="0"/>
        <w:ind w:left="120"/>
        <w:jc w:val="center"/>
      </w:pPr>
      <w:r>
        <w:rPr>
          <w:rFonts w:ascii="Times New Roman" w:hAnsi="Times New Roman"/>
          <w:b w:val="false"/>
          <w:i w:val="false"/>
          <w:color w:val="000000"/>
          <w:sz w:val="21"/>
        </w:rPr>
        <w:t>[Filed emergency 7/22/77—published 8/10/77, effective 7/22/77]</w:t>
      </w:r>
    </w:p>
    <w:p>
      <w:pPr>
        <w:spacing w:before="0" w:after="0"/>
        <w:ind w:left="120"/>
        <w:jc w:val="center"/>
      </w:pPr>
      <w:r>
        <w:rPr>
          <w:rFonts w:ascii="Times New Roman" w:hAnsi="Times New Roman"/>
          <w:b w:val="false"/>
          <w:i w:val="false"/>
          <w:color w:val="000000"/>
          <w:sz w:val="21"/>
        </w:rPr>
        <w:t>[Filed emergency 9/29/77—published 10/19/77, effective 9/29/77]</w:t>
      </w:r>
    </w:p>
    <w:p>
      <w:pPr>
        <w:spacing w:before="0" w:after="0"/>
        <w:ind w:left="120"/>
        <w:jc w:val="center"/>
      </w:pPr>
      <w:r>
        <w:rPr>
          <w:rFonts w:ascii="Times New Roman" w:hAnsi="Times New Roman"/>
          <w:b w:val="false"/>
          <w:i w:val="false"/>
          <w:color w:val="000000"/>
          <w:sz w:val="21"/>
        </w:rPr>
        <w:t>[Filed 1/13/84, Notice 12/7/83—published 2/1/84, effective 3/7/84]</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10/18/90, Notice 7/25/90—published 11/14/90, effective 1/1/91]</w:t>
      </w:r>
    </w:p>
    <w:p>
      <w:pPr>
        <w:spacing w:before="0" w:after="0"/>
        <w:ind w:left="120"/>
        <w:jc w:val="center"/>
      </w:pPr>
      <w:r>
        <w:rPr>
          <w:rFonts w:ascii="Times New Roman" w:hAnsi="Times New Roman"/>
          <w:b w:val="false"/>
          <w:i w:val="false"/>
          <w:color w:val="000000"/>
          <w:sz w:val="21"/>
        </w:rPr>
        <w:t>[Filed emergency 4/18/03—published 5/14/03, effective 4/18/03]</w:t>
      </w:r>
    </w:p>
    <w:p>
      <w:pPr>
        <w:spacing w:before="0" w:after="0"/>
        <w:ind w:left="120"/>
        <w:jc w:val="center"/>
      </w:pPr>
      <w:r>
        <w:rPr>
          <w:rFonts w:ascii="Times New Roman" w:hAnsi="Times New Roman"/>
          <w:b w:val="false"/>
          <w:i w:val="false"/>
          <w:color w:val="000000"/>
          <w:sz w:val="21"/>
        </w:rPr>
        <w:t>[Filed 7/25/03, Notice 5/14/03—published 8/20/03, effective 9/24/03]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8.5.pdf" Type="http://schemas.openxmlformats.org/officeDocument/2006/relationships/hyperlink" Id="rId5"/>
    <Relationship TargetMode="External" Target="https://www.legis.iowa.gov/docs/ico/chapter/168.5.pdf" Type="http://schemas.openxmlformats.org/officeDocument/2006/relationships/hyperlink" Id="rId6"/>
    <Relationship TargetMode="External" Target="https://www.legis.iowa.gov/docs/ico/chapter/168.2.pdf" Type="http://schemas.openxmlformats.org/officeDocument/2006/relationships/hyperlink" Id="rId7"/>
    <Relationship TargetMode="External" Target="https://www.legis.iowa.gov/docs/ico/chapter/168.5.pdf" Type="http://schemas.openxmlformats.org/officeDocument/2006/relationships/hyperlink" Id="rId8"/>
    <Relationship TargetMode="External" Target="https://www.legis.iowa.gov/docs/ico/chapter/168.6.pdf" Type="http://schemas.openxmlformats.org/officeDocument/2006/relationships/hyperlink" Id="rId9"/>
    <Relationship TargetMode="External" Target="https://www.legis.iowa.gov/docs/ico/chapter/168.7.pdf" Type="http://schemas.openxmlformats.org/officeDocument/2006/relationships/hyperlink" Id="rId10"/>
    <Relationship TargetMode="External" Target="https://www.legis.iowa.gov/docs/ico/chapter/197.1.pdf" Type="http://schemas.openxmlformats.org/officeDocument/2006/relationships/hyperlink" Id="rId11"/>
    <Relationship TargetMode="External" Target="https://www.legis.iowa.gov/docs/ico/chapter/159.1.pdf" Type="http://schemas.openxmlformats.org/officeDocument/2006/relationships/hyperlink" Id="rId12"/>
    <Relationship TargetMode="External" Target="https://www.legis.iowa.gov/docs/ico/chapter/163.1.pdf" Type="http://schemas.openxmlformats.org/officeDocument/2006/relationships/hyperlink" Id="rId13"/>
    <Relationship TargetMode="External" Target="https://www.legis.iowa.gov/docs/ico/chapter/168.7.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