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NOXIOUS WEEDS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21—58.1</w:t>
      </w:r>
      <w:r>
        <w:rPr>
          <w:rFonts w:ascii="Times New Roman" w:hAnsi="Times New Roman"/>
          <w:b/>
          <w:i w:val="false"/>
          <w:color w:val="000000"/>
          <w:sz w:val="22"/>
        </w:rPr>
        <w:t xml:space="preserve">(317)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A noxious weed for eradication” </w:t>
      </w:r>
      <w:r>
        <w:rPr>
          <w:rFonts w:ascii="Times New Roman" w:hAnsi="Times New Roman"/>
          <w:b w:val="false"/>
          <w:i w:val="false"/>
          <w:color w:val="000000"/>
          <w:sz w:val="22"/>
        </w:rPr>
        <w:t>means a noxious weed determined by the department to be the highest priority for eradication of existing infestations and prevention of new infestations.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B noxious weed for control” </w:t>
      </w:r>
      <w:r>
        <w:rPr>
          <w:rFonts w:ascii="Times New Roman" w:hAnsi="Times New Roman"/>
          <w:b w:val="false"/>
          <w:i w:val="false"/>
          <w:color w:val="000000"/>
          <w:sz w:val="22"/>
        </w:rPr>
        <w:t>means a noxious weed determined by the department to be a priority for preventing new infestations and stopping the spread of the species.</w:t>
      </w:r>
    </w:p>
    <w:p>
      <w:pPr>
        <w:spacing w:before="0" w:after="0"/>
        <w:ind w:left="120"/>
        <w:jc w:val="both"/>
      </w:pPr>
      <w:r>
        <w:rPr>
          <w:rFonts w:ascii="Times New Roman" w:hAnsi="Times New Roman"/>
          <w:b w:val="false"/>
          <w:i/>
          <w:color w:val="000000"/>
          <w:sz w:val="22"/>
        </w:rPr>
        <w:t>“Sterile”</w:t>
      </w:r>
      <w:r>
        <w:rPr>
          <w:rFonts w:ascii="Times New Roman" w:hAnsi="Times New Roman"/>
          <w:b w:val="false"/>
          <w:i w:val="false"/>
          <w:color w:val="000000"/>
          <w:sz w:val="22"/>
        </w:rPr>
        <w:t xml:space="preserve"> means any plant or variety that is incapable of reproduction or which is either noninvasive or nonaggressive in that the plant does not spread into areas where it was not initially planted.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4260C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21—58.2</w:t>
      </w:r>
      <w:r>
        <w:rPr>
          <w:rFonts w:ascii="Times New Roman" w:hAnsi="Times New Roman"/>
          <w:b/>
          <w:i w:val="false"/>
          <w:color w:val="000000"/>
          <w:sz w:val="22"/>
        </w:rPr>
        <w:t xml:space="preserve">(317) </w:t>
      </w:r>
      <w:r>
        <w:rPr>
          <w:rFonts w:ascii="Times New Roman" w:hAnsi="Times New Roman"/>
          <w:b/>
          <w:i w:val="false"/>
          <w:color w:val="000000"/>
          <w:sz w:val="22"/>
        </w:rPr>
        <w:t xml:space="preserve">Purple loosestrife. </w:t>
      </w:r>
      <w:r>
        <w:rPr>
          <w:rFonts w:ascii="Times New Roman" w:hAnsi="Times New Roman"/>
          <w:b w:val="false"/>
          <w:i w:val="false"/>
          <w:color w:val="000000"/>
          <w:sz w:val="22"/>
        </w:rPr>
        <w:t xml:space="preserve">The following </w:t>
      </w:r>
      <w:r>
        <w:rPr>
          <w:rFonts w:ascii="Times New Roman" w:hAnsi="Times New Roman"/>
          <w:b w:val="false"/>
          <w:i/>
          <w:color w:val="000000"/>
          <w:sz w:val="22"/>
        </w:rPr>
        <w:t>Lythrum</w:t>
      </w:r>
      <w:r>
        <w:rPr>
          <w:rFonts w:ascii="Times New Roman" w:hAnsi="Times New Roman"/>
          <w:b w:val="false"/>
          <w:i w:val="false"/>
          <w:color w:val="000000"/>
          <w:sz w:val="22"/>
        </w:rPr>
        <w:t xml:space="preserve"> (purple loosestrife) cultivars are derived from </w:t>
      </w:r>
      <w:r>
        <w:rPr>
          <w:rFonts w:ascii="Times New Roman" w:hAnsi="Times New Roman"/>
          <w:b w:val="false"/>
          <w:i/>
          <w:color w:val="000000"/>
          <w:sz w:val="22"/>
        </w:rPr>
        <w:t>Lythrum virgatum</w:t>
      </w:r>
      <w:r>
        <w:rPr>
          <w:rFonts w:ascii="Times New Roman" w:hAnsi="Times New Roman"/>
          <w:b w:val="false"/>
          <w:i w:val="false"/>
          <w:color w:val="000000"/>
          <w:sz w:val="22"/>
        </w:rPr>
        <w:t xml:space="preserve"> that are sterile or nonaggressive and can be sold for planting in ornamental gardens.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Rose queen.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rocket.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Morden pink.</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Morden gleam.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Morden rose.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Dropmore purple.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Columbia pink.</w:t>
      </w:r>
    </w:p>
    <w:p>
      <w:pPr>
        <w:spacing w:before="0" w:after="0"/>
        <w:ind w:left="120"/>
        <w:jc w:val="both"/>
      </w:pPr>
      <w:r>
        <w:rPr>
          <w:rFonts w:ascii="Times New Roman" w:hAnsi="Times New Roman"/>
          <w:b w:val="false"/>
          <w:i w:val="false"/>
          <w:color w:val="000000"/>
          <w:sz w:val="22"/>
        </w:rPr>
        <w:t xml:space="preserve">Any person selling or offering for sale any or all of the above-listed varieties shall prominently display a sign to inform purchaser it is legal to plant the above-listed </w:t>
      </w:r>
      <w:r>
        <w:rPr>
          <w:rFonts w:ascii="Times New Roman" w:hAnsi="Times New Roman"/>
          <w:b w:val="false"/>
          <w:i/>
          <w:color w:val="000000"/>
          <w:sz w:val="22"/>
        </w:rPr>
        <w:t>Lythrum virgatum</w:t>
      </w:r>
      <w:r>
        <w:rPr>
          <w:rFonts w:ascii="Times New Roman" w:hAnsi="Times New Roman"/>
          <w:b w:val="false"/>
          <w:i w:val="false"/>
          <w:color w:val="000000"/>
          <w:sz w:val="22"/>
        </w:rPr>
        <w:t xml:space="preserve"> in “ornamental gardens” only.</w:t>
      </w:r>
    </w:p>
    <w:p>
      <w:pPr>
        <w:spacing w:before="210" w:after="0"/>
        <w:ind w:left="120"/>
        <w:jc w:val="both"/>
      </w:pPr>
      <w:r>
        <w:rPr>
          <w:rFonts w:ascii="Times New Roman" w:hAnsi="Times New Roman"/>
          <w:b/>
          <w:i w:val="false"/>
          <w:color w:val="000000"/>
          <w:sz w:val="22"/>
        </w:rPr>
        <w:t>21—58.3</w:t>
      </w:r>
      <w:r>
        <w:rPr>
          <w:rFonts w:ascii="Times New Roman" w:hAnsi="Times New Roman"/>
          <w:b/>
          <w:i w:val="false"/>
          <w:color w:val="000000"/>
          <w:sz w:val="22"/>
        </w:rPr>
        <w:t xml:space="preserve">(317)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 person selling or offering for sale any or all of the varieties listed in </w:t>
      </w:r>
      <w:hyperlink r:id="rId5">
        <w:r>
          <w:rPr>
            <w:rStyle w:val="Hyperlink"/>
            <w:rFonts w:ascii="Times New Roman" w:hAnsi="Times New Roman"/>
            <w:b w:val="false"/>
            <w:i w:val="false"/>
            <w:color w:val="000000"/>
            <w:sz w:val="22"/>
          </w:rPr>
          <w:t>rule 21—58.2(317)</w:t>
        </w:r>
      </w:hyperlink>
      <w:r>
        <w:rPr>
          <w:rFonts w:ascii="Times New Roman" w:hAnsi="Times New Roman"/>
          <w:b w:val="false"/>
          <w:i w:val="false"/>
          <w:color w:val="000000"/>
          <w:sz w:val="22"/>
        </w:rPr>
        <w:t xml:space="preserve"> shall retain in the person’s possession records on the inventory of such varieties acquired, sold, or retained by the person. These records shall include the identity and address of the supplier of any of the varieties. These records shall be retained for a period of three years and shall be available to the department for inspection during the person’s regular business hours.</w:t>
      </w:r>
    </w:p>
    <w:p>
      <w:pPr>
        <w:spacing w:before="0" w:after="0"/>
        <w:ind w:left="120"/>
        <w:jc w:val="both"/>
      </w:pPr>
      <w:r>
        <w:rPr>
          <w:rFonts w:ascii="Times New Roman" w:hAnsi="Times New Roman"/>
          <w:b/>
          <w:i w:val="false"/>
          <w:color w:val="000000"/>
          <w:sz w:val="22"/>
        </w:rPr>
        <w:t>21—58.4</w:t>
      </w:r>
      <w:r>
        <w:rPr>
          <w:rFonts w:ascii="Times New Roman" w:hAnsi="Times New Roman"/>
          <w:b/>
          <w:i w:val="false"/>
          <w:color w:val="000000"/>
          <w:sz w:val="22"/>
        </w:rPr>
        <w:t xml:space="preserve">(317) </w:t>
      </w:r>
      <w:r>
        <w:rPr>
          <w:rFonts w:ascii="Times New Roman" w:hAnsi="Times New Roman"/>
          <w:b/>
          <w:i w:val="false"/>
          <w:color w:val="000000"/>
          <w:sz w:val="22"/>
        </w:rPr>
        <w:t xml:space="preserve">Noxious weed lists.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A noxious weeds for eradication. The following weed is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Palmer amaranth </w:t>
      </w:r>
      <w:r>
        <w:rPr>
          <w:rFonts w:ascii="Times New Roman" w:hAnsi="Times New Roman"/>
          <w:b w:val="false"/>
          <w:i/>
          <w:color w:val="000000"/>
          <w:sz w:val="22"/>
        </w:rPr>
        <w:t>(Amaranthus palmeri)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w:t>
      </w:r>
      <w:r>
        <w:rPr>
          <w:rFonts w:ascii="Times New Roman" w:hAnsi="Times New Roman"/>
          <w:b w:val="false"/>
          <w:i w:val="false"/>
          <w:color w:val="000000"/>
          <w:sz w:val="22"/>
        </w:rPr>
        <w:t> </w:t>
      </w:r>
      <w:r>
        <w:rPr>
          <w:rFonts w:ascii="Times New Roman" w:hAnsi="Times New Roman"/>
          <w:b w:val="false"/>
          <w:i w:val="false"/>
          <w:color w:val="000000"/>
          <w:sz w:val="22"/>
        </w:rPr>
        <w:t>Class B noxious weeds for control. The following weeds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Canada thistle </w:t>
      </w:r>
      <w:r>
        <w:rPr>
          <w:rFonts w:ascii="Times New Roman" w:hAnsi="Times New Roman"/>
          <w:b w:val="false"/>
          <w:i/>
          <w:color w:val="000000"/>
          <w:sz w:val="22"/>
        </w:rPr>
        <w:t>(Cirsium arvense)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Teasel </w:t>
      </w:r>
      <w:r>
        <w:rPr>
          <w:rFonts w:ascii="Times New Roman" w:hAnsi="Times New Roman"/>
          <w:b w:val="false"/>
          <w:i/>
          <w:color w:val="000000"/>
          <w:sz w:val="22"/>
        </w:rPr>
        <w:t>(Dipsacus spp.)</w:t>
      </w:r>
      <w:r>
        <w:rPr>
          <w:rFonts w:ascii="Times New Roman" w:hAnsi="Times New Roman"/>
          <w:b w:val="false"/>
          <w:i w:val="false"/>
          <w:color w:val="000000"/>
          <w:sz w:val="22"/>
        </w:rPr>
        <w:t xml:space="preserve"> biennial.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Leafy spurge </w:t>
      </w:r>
      <w:r>
        <w:rPr>
          <w:rFonts w:ascii="Times New Roman" w:hAnsi="Times New Roman"/>
          <w:b w:val="false"/>
          <w:i/>
          <w:color w:val="000000"/>
          <w:sz w:val="22"/>
        </w:rPr>
        <w:t>(Euphorbia esula)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Bull thistle </w:t>
      </w:r>
      <w:r>
        <w:rPr>
          <w:rFonts w:ascii="Times New Roman" w:hAnsi="Times New Roman"/>
          <w:b w:val="false"/>
          <w:i/>
          <w:color w:val="000000"/>
          <w:sz w:val="22"/>
        </w:rPr>
        <w:t>(Cirsium vulgare)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Multiflora rose </w:t>
      </w:r>
      <w:r>
        <w:rPr>
          <w:rFonts w:ascii="Times New Roman" w:hAnsi="Times New Roman"/>
          <w:b w:val="false"/>
          <w:i/>
          <w:color w:val="000000"/>
          <w:sz w:val="22"/>
        </w:rPr>
        <w:t>(Rosa multiflora)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European morning glory or field bindweed </w:t>
      </w:r>
      <w:r>
        <w:rPr>
          <w:rFonts w:ascii="Times New Roman" w:hAnsi="Times New Roman"/>
          <w:b w:val="false"/>
          <w:i/>
          <w:color w:val="000000"/>
          <w:sz w:val="22"/>
        </w:rPr>
        <w:t>(Convolvulus arvensis)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species of thistles belonging in the genus of </w:t>
      </w:r>
      <w:r>
        <w:rPr>
          <w:rFonts w:ascii="Times New Roman" w:hAnsi="Times New Roman"/>
          <w:b w:val="false"/>
          <w:i/>
          <w:color w:val="000000"/>
          <w:sz w:val="22"/>
        </w:rPr>
        <w:t>Carduus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4260C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317.1C and </w:t>
      </w:r>
      <w:hyperlink r:id="rId6">
        <w:r>
          <w:rPr>
            <w:rStyle w:val="Hyperlink"/>
            <w:rFonts w:ascii="Times New Roman" w:hAnsi="Times New Roman"/>
            <w:b w:val="false"/>
            <w:i w:val="false"/>
            <w:color w:val="000000"/>
            <w:sz w:val="22"/>
          </w:rPr>
          <w:t>317.25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4/3/91 after Notice 12/26/90—published 5/1/91, effective 4/3/91]</w:t>
      </w:r>
    </w:p>
    <w:p>
      <w:pPr>
        <w:spacing w:before="0" w:after="0"/>
        <w:ind w:left="120"/>
        <w:jc w:val="center"/>
      </w:pPr>
      <w:r>
        <w:rPr>
          <w:rFonts w:ascii="Times New Roman" w:hAnsi="Times New Roman"/>
          <w:b w:val="false"/>
          <w:i w:val="false"/>
          <w:color w:val="000000"/>
          <w:sz w:val="21"/>
        </w:rPr>
        <w:t>[Filed ARC 4260C</w:t>
      </w:r>
      <w:r>
        <w:rPr>
          <w:rFonts w:ascii="Times New Roman" w:hAnsi="Times New Roman"/>
          <w:b w:val="false"/>
          <w:i w:val="false"/>
          <w:color w:val="000000"/>
          <w:sz w:val="21"/>
        </w:rPr>
        <w:t xml:space="preserve"> (Notice ARC 4151C, IAB 12/5/18)</w:t>
      </w:r>
      <w:r>
        <w:rPr>
          <w:rFonts w:ascii="Times New Roman" w:hAnsi="Times New Roman"/>
          <w:b w:val="false"/>
          <w:i w:val="false"/>
          <w:color w:val="000000"/>
          <w:sz w:val="21"/>
        </w:rPr>
        <w:t>, IAB 1/30/19, effective 3/6/19]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58.2.pdf" Type="http://schemas.openxmlformats.org/officeDocument/2006/relationships/hyperlink" Id="rId5"/>
    <Relationship TargetMode="External" Target="https://www.legis.iowa.gov/docs/ico/chapter/317.2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