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w:t>
      </w:r>
    </w:p>
    <w:p>
      <w:pPr>
        <w:spacing w:before="0" w:after="0"/>
        <w:ind w:left="120"/>
        <w:jc w:val="center"/>
      </w:pPr>
      <w:r>
        <w:rPr>
          <w:rFonts w:ascii="Times New Roman" w:hAnsi="Times New Roman"/>
          <w:b w:val="false"/>
          <w:i w:val="false"/>
          <w:color w:val="000000"/>
          <w:sz w:val="21"/>
        </w:rPr>
        <w:t>BULK DRY ANIMAL NUTRIENTS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21—49.1</w:t>
      </w:r>
      <w:r>
        <w:rPr>
          <w:rFonts w:ascii="Times New Roman" w:hAnsi="Times New Roman"/>
          <w:b/>
          <w:i w:val="false"/>
          <w:color w:val="000000"/>
          <w:sz w:val="22"/>
        </w:rPr>
        <w:t xml:space="preserve">(200A)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“Bulk dry animal nutrient product”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“bulk product” </w:t>
      </w:r>
      <w:r>
        <w:rPr>
          <w:rFonts w:ascii="Times New Roman" w:hAnsi="Times New Roman"/>
          <w:b w:val="false"/>
          <w:i w:val="false"/>
          <w:color w:val="000000"/>
          <w:sz w:val="22"/>
        </w:rPr>
        <w:t>means an animal nutrient product delivered to a purchaser in bulk form to which a label cannot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means a commercial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“Church” </w:t>
      </w:r>
      <w:r>
        <w:rPr>
          <w:rFonts w:ascii="Times New Roman" w:hAnsi="Times New Roman"/>
          <w:b w:val="false"/>
          <w:i w:val="false"/>
          <w:color w:val="000000"/>
          <w:sz w:val="22"/>
        </w:rPr>
        <w:t>means a religious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enterprise” </w:t>
      </w:r>
      <w:r>
        <w:rPr>
          <w:rFonts w:ascii="Times New Roman" w:hAnsi="Times New Roman"/>
          <w:b w:val="false"/>
          <w:i w:val="false"/>
          <w:color w:val="000000"/>
          <w:sz w:val="22"/>
        </w:rPr>
        <w:t>means a building which is used as a part of a business that manufactures goods, delivers services, or sells goods or services, which is customarily and regularly used by the general public during the entire calendar year and which is connected to electric, water, and sewer systems. A commercial enterprise does not include a farm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soil survey” </w:t>
      </w:r>
      <w:r>
        <w:rPr>
          <w:rFonts w:ascii="Times New Roman" w:hAnsi="Times New Roman"/>
          <w:b w:val="false"/>
          <w:i w:val="false"/>
          <w:color w:val="000000"/>
          <w:sz w:val="22"/>
        </w:rPr>
        <w:t>means a publication containing a survey of soils and topography of an Iowa county by the Iowa cooperative soil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“Distribute” </w:t>
      </w:r>
      <w:r>
        <w:rPr>
          <w:rFonts w:ascii="Times New Roman" w:hAnsi="Times New Roman"/>
          <w:b w:val="false"/>
          <w:i w:val="false"/>
          <w:color w:val="000000"/>
          <w:sz w:val="22"/>
        </w:rPr>
        <w:t>means to offer for sale, sell, hold out for sale, exchange, barter, supply or furnish a bulk dry animal nutrient product on a commercial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“Distributor” </w:t>
      </w:r>
      <w:r>
        <w:rPr>
          <w:rFonts w:ascii="Times New Roman" w:hAnsi="Times New Roman"/>
          <w:b w:val="false"/>
          <w:i w:val="false"/>
          <w:color w:val="000000"/>
          <w:sz w:val="22"/>
        </w:rPr>
        <w:t>means a person who distributes a bulk dry animal nutrient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“Dry animal nutrient product” </w:t>
      </w:r>
      <w:r>
        <w:rPr>
          <w:rFonts w:ascii="Times New Roman" w:hAnsi="Times New Roman"/>
          <w:b w:val="false"/>
          <w:i w:val="false"/>
          <w:color w:val="000000"/>
          <w:sz w:val="22"/>
        </w:rPr>
        <w:t>means any unmanipulated animal manure composed primarily of animal excreta if all of the following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manure contains one or more recognized plant nutrients which are used for their plant nutrient content.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manure promotes plant growth.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manure does not flow perceptibly under pressure.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manure is not capable of being transported through a mechanical pumping device designed to move a liquid.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constituent molecules of the manure do not flow freely among themselves but do show the tendency to separate under stress.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“Educational institution” </w:t>
      </w:r>
      <w:r>
        <w:rPr>
          <w:rFonts w:ascii="Times New Roman" w:hAnsi="Times New Roman"/>
          <w:b w:val="false"/>
          <w:i w:val="false"/>
          <w:color w:val="000000"/>
          <w:sz w:val="22"/>
        </w:rPr>
        <w:t>means a building in which an organized course of study or training is offered to students enrolled in kindergarten through grade 12 and served by local school districts, accredited or approved nonpublic schools, area education agencies, community colleges, institutions of higher education under the control of the state board of regents, and accredited independent colleges and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“Grassed waterway” </w:t>
      </w:r>
      <w:r>
        <w:rPr>
          <w:rFonts w:ascii="Times New Roman" w:hAnsi="Times New Roman"/>
          <w:b w:val="false"/>
          <w:i w:val="false"/>
          <w:color w:val="000000"/>
          <w:sz w:val="22"/>
        </w:rPr>
        <w:t>means a shaped or graded channel that is established with suitable vegetation for the stable conveyance of runoff.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“Guaranteed analysis” </w:t>
      </w:r>
      <w:r>
        <w:rPr>
          <w:rFonts w:ascii="Times New Roman" w:hAnsi="Times New Roman"/>
          <w:b w:val="false"/>
          <w:i w:val="false"/>
          <w:color w:val="000000"/>
          <w:sz w:val="22"/>
        </w:rPr>
        <w:t xml:space="preserve">means the minimum percentage of plant nutrients claimed and reported to the department pursuant to Iowa Code section </w:t>
      </w:r>
      <w:hyperlink r:id="rId5">
        <w:r>
          <w:rPr>
            <w:rStyle w:val="Hyperlink"/>
            <w:rFonts w:ascii="Times New Roman" w:hAnsi="Times New Roman"/>
            <w:b w:val="false"/>
            <w:i w:val="false"/>
            <w:color w:val="000000"/>
            <w:sz w:val="22"/>
          </w:rPr>
          <w:t>200A.6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“Label” </w:t>
      </w:r>
      <w:r>
        <w:rPr>
          <w:rFonts w:ascii="Times New Roman" w:hAnsi="Times New Roman"/>
          <w:b w:val="false"/>
          <w:i w:val="false"/>
          <w:color w:val="000000"/>
          <w:sz w:val="22"/>
        </w:rPr>
        <w:t>means any written or printed material which accompanies bulk shipments.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water source” </w:t>
      </w:r>
      <w:r>
        <w:rPr>
          <w:rFonts w:ascii="Times New Roman" w:hAnsi="Times New Roman"/>
          <w:b w:val="false"/>
          <w:i w:val="false"/>
          <w:color w:val="000000"/>
          <w:sz w:val="22"/>
        </w:rPr>
        <w:t>means a water source that is a lake, reservoir, river or stream located within the territorial limits of the state, or any marginal river area adjacent to the state, if the water source is capable of supporting a floating vessel capable of carrying one or more persons during a total of a six-month period in one out of ten years, excluding periods of flooding.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sample” </w:t>
      </w:r>
      <w:r>
        <w:rPr>
          <w:rFonts w:ascii="Times New Roman" w:hAnsi="Times New Roman"/>
          <w:b w:val="false"/>
          <w:i w:val="false"/>
          <w:color w:val="000000"/>
          <w:sz w:val="22"/>
        </w:rPr>
        <w:t>means any sample of a bulk dry animal nutrient taken by the department, according to procedures established by the department consistent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“Percent”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“percentage” </w:t>
      </w:r>
      <w:r>
        <w:rPr>
          <w:rFonts w:ascii="Times New Roman" w:hAnsi="Times New Roman"/>
          <w:b w:val="false"/>
          <w:i w:val="false"/>
          <w:color w:val="000000"/>
          <w:sz w:val="22"/>
        </w:rPr>
        <w:t>means percentage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individual, partnership, association, firm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use area” </w:t>
      </w:r>
      <w:r>
        <w:rPr>
          <w:rFonts w:ascii="Times New Roman" w:hAnsi="Times New Roman"/>
          <w:b w:val="false"/>
          <w:i w:val="false"/>
          <w:color w:val="000000"/>
          <w:sz w:val="22"/>
        </w:rPr>
        <w:t>means that portion of land owned by the United States, the state, or a political subdivision with facilities which attract the public to congregate and remain in the area for significant periods of time. Facilities include, but are not limited to, picnic grounds, campgrounds, cemeteries, lodges and cabins, shelter houses, playground equipment, swimming beaches at lakes, and fishing docks, fishing houses, fishing jetties or fishing piers at lakes. It does not include a highway, road right-of-way, parking areas, recreational trails or other areas where the public passes through, but does not congregate or remain in the area for significant periods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“Purchaser” </w:t>
      </w:r>
      <w:r>
        <w:rPr>
          <w:rFonts w:ascii="Times New Roman" w:hAnsi="Times New Roman"/>
          <w:b w:val="false"/>
          <w:i w:val="false"/>
          <w:color w:val="000000"/>
          <w:sz w:val="22"/>
        </w:rPr>
        <w:t>means a person to whom a dry bulk animal nutrient is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“Religious institution” </w:t>
      </w:r>
      <w:r>
        <w:rPr>
          <w:rFonts w:ascii="Times New Roman" w:hAnsi="Times New Roman"/>
          <w:b w:val="false"/>
          <w:i w:val="false"/>
          <w:color w:val="000000"/>
          <w:sz w:val="22"/>
        </w:rPr>
        <w:t>means a building in which an active congregation is devoted to worship.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“Ton” </w:t>
      </w:r>
      <w:r>
        <w:rPr>
          <w:rFonts w:ascii="Times New Roman" w:hAnsi="Times New Roman"/>
          <w:b w:val="false"/>
          <w:i w:val="false"/>
          <w:color w:val="000000"/>
          <w:sz w:val="22"/>
        </w:rPr>
        <w:t>means a net weight of 2,000 pounds avoirdupois.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of the state” </w:t>
      </w:r>
      <w:r>
        <w:rPr>
          <w:rFonts w:ascii="Times New Roman" w:hAnsi="Times New Roman"/>
          <w:b w:val="false"/>
          <w:i w:val="false"/>
          <w:color w:val="000000"/>
          <w:sz w:val="22"/>
        </w:rPr>
        <w:t>means any stream, lake, pond, marsh, watercourse, waterway, well, spring, reservoir, aquifer, irrigation system, drainage system, and any other body or accumulation of water, surface or underground, natural or artificial, public or private, which are contained within, flow through or border upon the state or any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source” </w:t>
      </w:r>
      <w:r>
        <w:rPr>
          <w:rFonts w:ascii="Times New Roman" w:hAnsi="Times New Roman"/>
          <w:b w:val="false"/>
          <w:i w:val="false"/>
          <w:color w:val="000000"/>
          <w:sz w:val="22"/>
        </w:rPr>
        <w:t>means a lake, river, reservoir, creek, stream, ditch, or other body of water or channel having definite banks and a bed with water flow, except lakes or ponds without outlet to which only one landowner is riparian.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4788C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21—49.2</w:t>
      </w:r>
      <w:r>
        <w:rPr>
          <w:rFonts w:ascii="Times New Roman" w:hAnsi="Times New Roman"/>
          <w:b/>
          <w:i w:val="false"/>
          <w:color w:val="000000"/>
          <w:sz w:val="22"/>
        </w:rPr>
        <w:t xml:space="preserve">(200A) </w:t>
      </w:r>
      <w:r>
        <w:rPr>
          <w:rFonts w:ascii="Times New Roman" w:hAnsi="Times New Roman"/>
          <w:b/>
          <w:i w:val="false"/>
          <w:color w:val="000000"/>
          <w:sz w:val="22"/>
        </w:rPr>
        <w:t xml:space="preserve">License. </w:t>
      </w:r>
      <w:r>
        <w:rPr>
          <w:rFonts w:ascii="Times New Roman" w:hAnsi="Times New Roman"/>
          <w:b w:val="false"/>
          <w:i w:val="false"/>
          <w:color w:val="000000"/>
          <w:sz w:val="22"/>
        </w:rPr>
        <w:t>A person who distributes a bulk dry animal nutrient product in this state must first obtain a license from the department. A license application must be submitted to the department, on a form furnished by the department, according to procedures required by the department. A license shall expire on July 1 of each even-numbered year following the date the license is issued. A license may be renewed for a two-year period as provided by the department. A person required to obtain a license shall pay the department a fee equal to $20 for each place from which the person distributes a bulk product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5118C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21—49.3</w:t>
      </w:r>
      <w:r>
        <w:rPr>
          <w:rFonts w:ascii="Times New Roman" w:hAnsi="Times New Roman"/>
          <w:b/>
          <w:i w:val="false"/>
          <w:color w:val="000000"/>
          <w:sz w:val="22"/>
        </w:rPr>
        <w:t xml:space="preserve">(200A) </w:t>
      </w:r>
      <w:r>
        <w:rPr>
          <w:rFonts w:ascii="Times New Roman" w:hAnsi="Times New Roman"/>
          <w:b/>
          <w:i w:val="false"/>
          <w:color w:val="000000"/>
          <w:sz w:val="22"/>
        </w:rPr>
        <w:t xml:space="preserve">Registration. </w:t>
      </w:r>
      <w:r>
        <w:rPr>
          <w:rFonts w:ascii="Times New Roman" w:hAnsi="Times New Roman"/>
          <w:b w:val="false"/>
          <w:i w:val="false"/>
          <w:color w:val="000000"/>
          <w:sz w:val="22"/>
        </w:rPr>
        <w:t xml:space="preserve">Each bulk dry animal nutrient shall be registered before being distributed in this state. The application for registration shall be submitted to the department on forms furnished by the department and shall be accompanied by a label which contains information as provided in Iowa Code section </w:t>
      </w:r>
      <w:hyperlink r:id="rId6">
        <w:r>
          <w:rPr>
            <w:rStyle w:val="Hyperlink"/>
            <w:rFonts w:ascii="Times New Roman" w:hAnsi="Times New Roman"/>
            <w:b w:val="false"/>
            <w:i w:val="false"/>
            <w:color w:val="000000"/>
            <w:sz w:val="22"/>
          </w:rPr>
          <w:t>200A.6, subsection 2,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hyperlink>
    </w:p>
    <w:p>
      <w:pPr>
        <w:spacing w:before="0" w:after="0"/>
        <w:ind w:left="120"/>
        <w:jc w:val="both"/>
      </w:pPr>
      <w:r>
        <w:rPr>
          <w:rFonts w:ascii="Times New Roman" w:hAnsi="Times New Roman"/>
          <w:b/>
          <w:i w:val="false"/>
          <w:color w:val="000000"/>
          <w:sz w:val="22"/>
        </w:rPr>
        <w:t>21—49.4</w:t>
      </w:r>
      <w:r>
        <w:rPr>
          <w:rFonts w:ascii="Times New Roman" w:hAnsi="Times New Roman"/>
          <w:b/>
          <w:i w:val="false"/>
          <w:color w:val="000000"/>
          <w:sz w:val="22"/>
        </w:rPr>
        <w:t xml:space="preserve">(200A) </w:t>
      </w:r>
      <w:r>
        <w:rPr>
          <w:rFonts w:ascii="Times New Roman" w:hAnsi="Times New Roman"/>
          <w:b/>
          <w:i w:val="false"/>
          <w:color w:val="000000"/>
          <w:sz w:val="22"/>
        </w:rPr>
        <w:t xml:space="preserve">Additional plant elements. </w:t>
      </w:r>
      <w:r>
        <w:rPr>
          <w:rFonts w:ascii="Times New Roman" w:hAnsi="Times New Roman"/>
          <w:b w:val="false"/>
          <w:i w:val="false"/>
          <w:color w:val="000000"/>
          <w:sz w:val="22"/>
        </w:rPr>
        <w:t>Additional plant food nutrients, besides nitrogen, phosphorus and potassium, when mentioned in any form or manner, shall be registered and shall be guaranteed. Guarantees shall be made on the elemental basis. The minimum percentages which will be accepted for registration are as follows:</w:t>
      </w: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Element</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Percent</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Calcium (Ca)</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Magnesium (Mg)</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Sulfur (S)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Boron (B)</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0.02</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Chlorine (Cl)</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Cobalt (Co)</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0.0005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Copper (Cu)</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Iron (Fe)</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Manganese (Mn)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Molybdenum (Mo)</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0.0005</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Sodium (Na)</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0.10</w:t>
            </w:r>
          </w:p>
        </w:tc>
      </w:tr>
      <w:tr>
        <w:trPr>
          <w:trHeight w:val="21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Zinc (Zn)</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0.05</w:t>
            </w:r>
          </w:p>
        </w:tc>
      </w:tr>
    </w:tbl>
    <w:p>
      <w:pPr>
        <w:spacing w:before="0" w:after="0"/>
        <w:ind w:left="120"/>
        <w:jc w:val="both"/>
      </w:pPr>
      <w:r>
        <w:rPr>
          <w:rFonts w:ascii="Times New Roman" w:hAnsi="Times New Roman"/>
          <w:b w:val="false"/>
          <w:i w:val="false"/>
          <w:color w:val="000000"/>
          <w:sz w:val="22"/>
        </w:rPr>
        <w:t>Guarantees or claims for the above-listed additional plant nutrients are the only ones which will be accepted. Proposed labels and directions for use shall be furnished with the application for registration. Any of the above-listed elements which are guaranteed shall appear in the order listed, immediately following guarantees for nitrogen, phosphorus and potassium. A warning statement is required on the label for any product which contains 0.03 or more boron in a water-soluble form or 0.001 percent or more of molybdenum. The statement shall carry the word “WARNING” in letters large enough to be conspicuous; it shall state the crops for which the bulk dry animal nutrient may be used and it shall state that use of the bulk dry animal nutrient on any other than those recommended may result in serious injury to the crops.</w:t>
      </w:r>
    </w:p>
    <w:p>
      <w:pPr>
        <w:spacing w:before="210" w:after="0"/>
        <w:ind w:left="120"/>
        <w:jc w:val="both"/>
      </w:pPr>
      <w:r>
        <w:rPr>
          <w:rFonts w:ascii="Times New Roman" w:hAnsi="Times New Roman"/>
          <w:b/>
          <w:i w:val="false"/>
          <w:color w:val="000000"/>
          <w:sz w:val="22"/>
        </w:rPr>
        <w:t>21—49.5</w:t>
      </w:r>
      <w:r>
        <w:rPr>
          <w:rFonts w:ascii="Times New Roman" w:hAnsi="Times New Roman"/>
          <w:b/>
          <w:i w:val="false"/>
          <w:color w:val="000000"/>
          <w:sz w:val="22"/>
        </w:rPr>
        <w:t xml:space="preserve">(200A) </w:t>
      </w:r>
      <w:r>
        <w:rPr>
          <w:rFonts w:ascii="Times New Roman" w:hAnsi="Times New Roman"/>
          <w:b/>
          <w:i w:val="false"/>
          <w:color w:val="000000"/>
          <w:sz w:val="22"/>
        </w:rPr>
        <w:t xml:space="preserve">Distribution statement. </w:t>
      </w:r>
      <w:r>
        <w:rPr>
          <w:rFonts w:ascii="Times New Roman" w:hAnsi="Times New Roman"/>
          <w:b w:val="false"/>
          <w:i w:val="false"/>
          <w:color w:val="000000"/>
          <w:sz w:val="22"/>
        </w:rPr>
        <w:t xml:space="preserve">Any bulk dry animal nutrient distributed in this state must be accompanied by a form, furnished by the department, which contains all information required by Iowa Code section </w:t>
      </w:r>
      <w:hyperlink r:id="rId7">
        <w:r>
          <w:rPr>
            <w:rStyle w:val="Hyperlink"/>
            <w:rFonts w:ascii="Times New Roman" w:hAnsi="Times New Roman"/>
            <w:b w:val="false"/>
            <w:i w:val="false"/>
            <w:color w:val="000000"/>
            <w:sz w:val="22"/>
          </w:rPr>
          <w:t>200A.7</w:t>
        </w:r>
      </w:hyperlink>
      <w:r>
        <w:rPr>
          <w:rFonts w:ascii="Times New Roman" w:hAnsi="Times New Roman"/>
          <w:b w:val="false"/>
          <w:i w:val="false"/>
          <w:color w:val="000000"/>
          <w:sz w:val="22"/>
        </w:rPr>
        <w:t>. The distribution statement must be provided to the purchaser before possession of bulk dry animal nutrient is transferred to the purchaser and receipt of the distribution statement must be acknowledged by signature or initials of the purchaser. The distributor shall maintain a copy of the distribution statement for one year.</w:t>
      </w:r>
    </w:p>
    <w:p>
      <w:pPr>
        <w:spacing w:before="210" w:after="0"/>
        <w:ind w:left="120"/>
        <w:jc w:val="both"/>
      </w:pPr>
      <w:r>
        <w:rPr>
          <w:rFonts w:ascii="Times New Roman" w:hAnsi="Times New Roman"/>
          <w:b/>
          <w:i w:val="false"/>
          <w:color w:val="000000"/>
          <w:sz w:val="22"/>
        </w:rPr>
        <w:t>21—49.6</w:t>
      </w:r>
      <w:r>
        <w:rPr>
          <w:rFonts w:ascii="Times New Roman" w:hAnsi="Times New Roman"/>
          <w:b/>
          <w:i w:val="false"/>
          <w:color w:val="000000"/>
          <w:sz w:val="22"/>
        </w:rPr>
        <w:t xml:space="preserve">(200A) </w:t>
      </w:r>
      <w:r>
        <w:rPr>
          <w:rFonts w:ascii="Times New Roman" w:hAnsi="Times New Roman"/>
          <w:b/>
          <w:i w:val="false"/>
          <w:color w:val="000000"/>
          <w:sz w:val="22"/>
        </w:rPr>
        <w:t xml:space="preserve">Distribution reports. </w:t>
      </w:r>
      <w:r>
        <w:rPr>
          <w:rFonts w:ascii="Times New Roman" w:hAnsi="Times New Roman"/>
          <w:b w:val="false"/>
          <w:i w:val="false"/>
          <w:color w:val="000000"/>
          <w:sz w:val="22"/>
        </w:rPr>
        <w:t xml:space="preserve">Any person required to be licensed to distribute bulk dry animal nutrients in this state shall file distribution reports on forms furnished by the department as required by Iowa Code section </w:t>
      </w:r>
      <w:hyperlink r:id="rId8">
        <w:r>
          <w:rPr>
            <w:rStyle w:val="Hyperlink"/>
            <w:rFonts w:ascii="Times New Roman" w:hAnsi="Times New Roman"/>
            <w:b w:val="false"/>
            <w:i w:val="false"/>
            <w:color w:val="000000"/>
            <w:sz w:val="22"/>
          </w:rPr>
          <w:t>200A.8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21—49.7</w:t>
      </w:r>
      <w:r>
        <w:rPr>
          <w:rFonts w:ascii="Times New Roman" w:hAnsi="Times New Roman"/>
          <w:b/>
          <w:i w:val="false"/>
          <w:color w:val="000000"/>
          <w:sz w:val="22"/>
        </w:rPr>
        <w:t xml:space="preserve">(200A) </w:t>
      </w:r>
      <w:r>
        <w:rPr>
          <w:rFonts w:ascii="Times New Roman" w:hAnsi="Times New Roman"/>
          <w:b/>
          <w:i w:val="false"/>
          <w:color w:val="000000"/>
          <w:sz w:val="22"/>
        </w:rPr>
        <w:t xml:space="preserve">Storage of bulk dry animal nutrients. </w:t>
      </w:r>
      <w:r>
        <w:rPr>
          <w:rFonts w:ascii="Times New Roman" w:hAnsi="Times New Roman"/>
          <w:b w:val="false"/>
          <w:i w:val="false"/>
          <w:color w:val="000000"/>
          <w:sz w:val="22"/>
        </w:rPr>
        <w:t>A distributor storing bulk dry animal nutrients shall meet the following storage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Bulk dry animal nutrients shall not be stored in a manner which pollutes the waters of the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Bulk dry animal nutrients shall not be stored in a grassed waterway.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Bulk dry animal nutrients shall not be stored on ground with a slope of greater than class “B” as defined in the county soil survey.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Bulk dry animal nutrients shall not be stored within 200 feet of a shallow private water supply well.</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Bulk dry animal nutrients shall not be stored within 100 feet of a deep water supply well.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Bulk dry animal nutrients shall not be stored within 500 feet of a surface intake, wellhead or cistern of agricultural drainage wells, known sinkholes or major water sources.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Bulk dry animal nutrients shall not be stored within 400 feet of water sources other than major water sources (excluding farm ponds, privately owned lakes or when a secondary containment barrier is provided).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Bulk dry animal nutrients shall not be stored within 500 feet of a residence, business, church, school, or public use area, unless the titleholder of the residence, business, church, school, or public use area executes a written waiver with the titleholder of the land where the bulk dry animal nutrients are stored.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4788C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21—49.8</w:t>
      </w:r>
      <w:r>
        <w:rPr>
          <w:rFonts w:ascii="Times New Roman" w:hAnsi="Times New Roman"/>
          <w:b/>
          <w:i w:val="false"/>
          <w:color w:val="000000"/>
          <w:sz w:val="22"/>
        </w:rPr>
        <w:t xml:space="preserve">(200A) </w:t>
      </w:r>
      <w:r>
        <w:rPr>
          <w:rFonts w:ascii="Times New Roman" w:hAnsi="Times New Roman"/>
          <w:b/>
          <w:i w:val="false"/>
          <w:color w:val="000000"/>
          <w:sz w:val="22"/>
        </w:rPr>
        <w:t xml:space="preserve">Manure management plans. </w:t>
      </w:r>
      <w:r>
        <w:rPr>
          <w:rFonts w:ascii="Times New Roman" w:hAnsi="Times New Roman"/>
          <w:b w:val="false"/>
          <w:i w:val="false"/>
          <w:color w:val="000000"/>
          <w:sz w:val="22"/>
        </w:rPr>
        <w:t xml:space="preserve">Distributors of bulk dry animal nutrients who are confinement feeding operations must comply with rules </w:t>
      </w:r>
      <w:hyperlink r:id="rId9">
        <w:r>
          <w:rPr>
            <w:rStyle w:val="Hyperlink"/>
            <w:rFonts w:ascii="Times New Roman" w:hAnsi="Times New Roman"/>
            <w:b w:val="false"/>
            <w:i w:val="false"/>
            <w:color w:val="000000"/>
            <w:sz w:val="22"/>
          </w:rPr>
          <w:t>567—65.16</w:t>
        </w:r>
      </w:hyperlink>
      <w:r>
        <w:rPr>
          <w:rFonts w:ascii="Times New Roman" w:hAnsi="Times New Roman"/>
          <w:b w:val="false"/>
          <w:i w:val="false"/>
          <w:color w:val="000000"/>
          <w:sz w:val="22"/>
        </w:rPr>
        <w:t xml:space="preserve">(459,459B) and </w:t>
      </w:r>
      <w:hyperlink r:id="rId10">
        <w:r>
          <w:rPr>
            <w:rStyle w:val="Hyperlink"/>
            <w:rFonts w:ascii="Times New Roman" w:hAnsi="Times New Roman"/>
            <w:b w:val="false"/>
            <w:i w:val="false"/>
            <w:color w:val="000000"/>
            <w:sz w:val="22"/>
          </w:rPr>
          <w:t>567—65.17</w:t>
        </w:r>
      </w:hyperlink>
      <w:r>
        <w:rPr>
          <w:rFonts w:ascii="Times New Roman" w:hAnsi="Times New Roman"/>
          <w:b w:val="false"/>
          <w:i w:val="false"/>
          <w:color w:val="000000"/>
          <w:sz w:val="22"/>
        </w:rPr>
        <w:t xml:space="preserve">(459,459B) and 567—paragraph </w:t>
      </w:r>
      <w:hyperlink r:id="rId11">
        <w:r>
          <w:rPr>
            <w:rStyle w:val="Hyperlink"/>
            <w:rFonts w:ascii="Times New Roman" w:hAnsi="Times New Roman"/>
            <w:b w:val="false"/>
            <w:i w:val="false"/>
            <w:color w:val="000000"/>
            <w:sz w:val="22"/>
          </w:rPr>
          <w:t>65.3(3)</w:t>
        </w:r>
        <w:r>
          <w:rPr>
            <w:rFonts w:ascii="Times New Roman" w:hAnsi="Times New Roman"/>
            <w:b w:val="false"/>
            <w:i/>
            <w:color w:val="000000"/>
            <w:sz w:val="22"/>
          </w:rPr>
          <w:t>“g.”</w:t>
        </w:r>
      </w:hyperlink>
      <w:r>
        <w:rPr>
          <w:rFonts w:ascii="Times New Roman" w:hAnsi="Times New Roman"/>
          <w:b w:val="false"/>
          <w:i w:val="false"/>
          <w:color w:val="000000"/>
          <w:sz w:val="22"/>
        </w:rPr>
        <w:t xml:space="preserve"> For the volume of bulk dry animal nutrients to be sold or removed from control of the distributor, the requirements of rules </w:t>
      </w:r>
      <w:hyperlink r:id="rId12">
        <w:r>
          <w:rPr>
            <w:rStyle w:val="Hyperlink"/>
            <w:rFonts w:ascii="Times New Roman" w:hAnsi="Times New Roman"/>
            <w:b w:val="false"/>
            <w:i w:val="false"/>
            <w:color w:val="000000"/>
            <w:sz w:val="22"/>
          </w:rPr>
          <w:t>567—65.16</w:t>
        </w:r>
      </w:hyperlink>
      <w:r>
        <w:rPr>
          <w:rFonts w:ascii="Times New Roman" w:hAnsi="Times New Roman"/>
          <w:b w:val="false"/>
          <w:i w:val="false"/>
          <w:color w:val="000000"/>
          <w:sz w:val="22"/>
        </w:rPr>
        <w:t xml:space="preserve">(459,459B) and </w:t>
      </w:r>
      <w:hyperlink r:id="rId13">
        <w:r>
          <w:rPr>
            <w:rStyle w:val="Hyperlink"/>
            <w:rFonts w:ascii="Times New Roman" w:hAnsi="Times New Roman"/>
            <w:b w:val="false"/>
            <w:i w:val="false"/>
            <w:color w:val="000000"/>
            <w:sz w:val="22"/>
          </w:rPr>
          <w:t>567—65.17</w:t>
        </w:r>
      </w:hyperlink>
      <w:r>
        <w:rPr>
          <w:rFonts w:ascii="Times New Roman" w:hAnsi="Times New Roman"/>
          <w:b w:val="false"/>
          <w:i w:val="false"/>
          <w:color w:val="000000"/>
          <w:sz w:val="22"/>
        </w:rPr>
        <w:t xml:space="preserve">(459,459B) and 567—paragraph </w:t>
      </w:r>
      <w:hyperlink r:id="rId14">
        <w:r>
          <w:rPr>
            <w:rStyle w:val="Hyperlink"/>
            <w:rFonts w:ascii="Times New Roman" w:hAnsi="Times New Roman"/>
            <w:b w:val="false"/>
            <w:i w:val="false"/>
            <w:color w:val="000000"/>
            <w:sz w:val="22"/>
          </w:rPr>
          <w:t>65.3(3)</w:t>
        </w:r>
        <w:r>
          <w:rPr>
            <w:rFonts w:ascii="Times New Roman" w:hAnsi="Times New Roman"/>
            <w:b w:val="false"/>
            <w:i/>
            <w:color w:val="000000"/>
            <w:sz w:val="22"/>
          </w:rPr>
          <w:t>“g”</w:t>
        </w:r>
      </w:hyperlink>
      <w:r>
        <w:rPr>
          <w:rFonts w:ascii="Times New Roman" w:hAnsi="Times New Roman"/>
          <w:b w:val="false"/>
          <w:i w:val="false"/>
          <w:color w:val="000000"/>
          <w:sz w:val="22"/>
        </w:rPr>
        <w:t xml:space="preserve"> shall be deemed to have been met when a distributor notifies in writing the department of natural resources.</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5">
        <w:r>
          <w:rPr>
            <w:rStyle w:val="Hyperlink"/>
            <w:rFonts w:ascii="Times New Roman" w:hAnsi="Times New Roman"/>
            <w:b w:val="false"/>
            <w:i w:val="false"/>
            <w:color w:val="000000"/>
            <w:sz w:val="22"/>
          </w:rPr>
          <w:t>200A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6/10/99, Notice 2/10/99—published 6/30/99, effective 8/4/99]</w:t>
      </w:r>
    </w:p>
    <w:p>
      <w:pPr>
        <w:spacing w:before="0" w:after="0"/>
        <w:ind w:left="120"/>
        <w:jc w:val="center"/>
      </w:pPr>
      <w:r>
        <w:rPr>
          <w:rFonts w:ascii="Times New Roman" w:hAnsi="Times New Roman"/>
          <w:b w:val="false"/>
          <w:i w:val="false"/>
          <w:color w:val="000000"/>
          <w:sz w:val="21"/>
        </w:rPr>
        <w:t>[Filed ARC 4788C</w:t>
      </w:r>
      <w:r>
        <w:rPr>
          <w:rFonts w:ascii="Times New Roman" w:hAnsi="Times New Roman"/>
          <w:b w:val="false"/>
          <w:i w:val="false"/>
          <w:color w:val="000000"/>
          <w:sz w:val="21"/>
        </w:rPr>
        <w:t xml:space="preserve"> (Notice ARC 4698C, IAB 10/9/19)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5118C</w:t>
      </w:r>
      <w:r>
        <w:rPr>
          <w:rFonts w:ascii="Times New Roman" w:hAnsi="Times New Roman"/>
          <w:b w:val="false"/>
          <w:i w:val="false"/>
          <w:color w:val="000000"/>
          <w:sz w:val="21"/>
        </w:rPr>
        <w:t xml:space="preserve"> (Notice ARC 4944C, IAB 2/26/20)</w:t>
      </w:r>
      <w:r>
        <w:rPr>
          <w:rFonts w:ascii="Times New Roman" w:hAnsi="Times New Roman"/>
          <w:b w:val="false"/>
          <w:i w:val="false"/>
          <w:color w:val="000000"/>
          <w:sz w:val="21"/>
        </w:rPr>
        <w:t>, IAB 7/29/20, effective 9/2/20]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0A.6.pdf" Type="http://schemas.openxmlformats.org/officeDocument/2006/relationships/hyperlink" Id="rId5"/>
    <Relationship TargetMode="External" Target="https://www.legis.iowa.gov/docs/ico/chapter/200A.6.pdf" Type="http://schemas.openxmlformats.org/officeDocument/2006/relationships/hyperlink" Id="rId6"/>
    <Relationship TargetMode="External" Target="https://www.legis.iowa.gov/docs/ico/chapter/200A.7.pdf" Type="http://schemas.openxmlformats.org/officeDocument/2006/relationships/hyperlink" Id="rId7"/>
    <Relationship TargetMode="External" Target="https://www.legis.iowa.gov/docs/ico/chapter/200A.8.pdf" Type="http://schemas.openxmlformats.org/officeDocument/2006/relationships/hyperlink" Id="rId8"/>
    <Relationship TargetMode="External" Target="https://www.legis.iowa.gov/docs/iac/rule/567.65.16.pdf" Type="http://schemas.openxmlformats.org/officeDocument/2006/relationships/hyperlink" Id="rId9"/>
    <Relationship TargetMode="External" Target="https://www.legis.iowa.gov/docs/iac/rule/567.65.17.pdf" Type="http://schemas.openxmlformats.org/officeDocument/2006/relationships/hyperlink" Id="rId10"/>
    <Relationship TargetMode="External" Target="https://www.legis.iowa.gov/docs/iac/rule/567.65.3.pdf" Type="http://schemas.openxmlformats.org/officeDocument/2006/relationships/hyperlink" Id="rId11"/>
    <Relationship TargetMode="External" Target="https://www.legis.iowa.gov/docs/iac/rule/567.65.16.pdf" Type="http://schemas.openxmlformats.org/officeDocument/2006/relationships/hyperlink" Id="rId12"/>
    <Relationship TargetMode="External" Target="https://www.legis.iowa.gov/docs/iac/rule/567.65.17.pdf" Type="http://schemas.openxmlformats.org/officeDocument/2006/relationships/hyperlink" Id="rId13"/>
    <Relationship TargetMode="External" Target="https://www.legis.iowa.gov/docs/iac/rule/567.65.3.pdf" Type="http://schemas.openxmlformats.org/officeDocument/2006/relationships/hyperlink" Id="rId14"/>
    <Relationship TargetMode="External" Target="https://www.legis.iowa.gov/docs/ico/chapter/200A.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