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46</w:t>
      </w:r>
    </w:p>
    <w:p>
      <w:pPr>
        <w:spacing w:before="0" w:after="0"/>
        <w:ind w:left="120"/>
        <w:jc w:val="center"/>
      </w:pPr>
      <w:r>
        <w:rPr>
          <w:rFonts w:ascii="Times New Roman" w:hAnsi="Times New Roman"/>
          <w:b w:val="false"/>
          <w:i w:val="false"/>
          <w:color w:val="000000"/>
          <w:sz w:val="21"/>
        </w:rPr>
        <w:t>CROP PESTS</w:t>
      </w:r>
    </w:p>
    <w:p>
      <w:pPr>
        <w:spacing w:before="0" w:after="0"/>
        <w:ind w:left="120"/>
        <w:jc w:val="center"/>
      </w:pPr>
      <w:r>
        <w:rPr>
          <w:rFonts w:ascii="Times New Roman" w:hAnsi="Times New Roman"/>
          <w:b w:val="false"/>
          <w:i w:val="false"/>
          <w:color w:val="000000"/>
          <w:sz w:val="14"/>
        </w:rPr>
        <w:t>[Prior to 7/27/88 see Agriculture Department 30—Ch 26]</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21—46.1</w:t>
      </w:r>
      <w:r>
        <w:rPr>
          <w:rFonts w:ascii="Times New Roman" w:hAnsi="Times New Roman"/>
          <w:b/>
          <w:i w:val="false"/>
          <w:color w:val="000000"/>
          <w:sz w:val="22"/>
        </w:rPr>
        <w:t xml:space="preserve">(177A) </w:t>
      </w:r>
      <w:r>
        <w:rPr>
          <w:rFonts w:ascii="Times New Roman" w:hAnsi="Times New Roman"/>
          <w:b/>
          <w:i w:val="false"/>
          <w:color w:val="000000"/>
          <w:sz w:val="22"/>
        </w:rPr>
        <w:t xml:space="preserve">Nursery stock. </w:t>
      </w:r>
      <w:r>
        <w:rPr>
          <w:rFonts w:ascii="Times New Roman" w:hAnsi="Times New Roman"/>
          <w:b w:val="false"/>
          <w:i w:val="false"/>
          <w:color w:val="000000"/>
          <w:sz w:val="22"/>
        </w:rPr>
        <w:t>Hardy, cultivated or wild woody plants, such as trees, evergreens, shrubs and vines, and small fruits such as strawberries and raspberries. Nursery stock dug from the wild and offered for sale or movement should be so labeled.</w:t>
      </w:r>
    </w:p>
    <w:p>
      <w:pPr>
        <w:spacing w:before="210" w:after="0"/>
        <w:ind w:left="120"/>
        <w:jc w:val="both"/>
      </w:pPr>
      <w:r>
        <w:rPr>
          <w:rFonts w:ascii="Times New Roman" w:hAnsi="Times New Roman"/>
          <w:b/>
          <w:i w:val="false"/>
          <w:color w:val="000000"/>
          <w:sz w:val="22"/>
        </w:rPr>
        <w:t>21—46.2</w:t>
      </w:r>
      <w:r>
        <w:rPr>
          <w:rFonts w:ascii="Times New Roman" w:hAnsi="Times New Roman"/>
          <w:b/>
          <w:i w:val="false"/>
          <w:color w:val="000000"/>
          <w:sz w:val="22"/>
        </w:rPr>
        <w:t xml:space="preserve">(177A) </w:t>
      </w:r>
      <w:r>
        <w:rPr>
          <w:rFonts w:ascii="Times New Roman" w:hAnsi="Times New Roman"/>
          <w:b/>
          <w:i w:val="false"/>
          <w:color w:val="000000"/>
          <w:sz w:val="22"/>
        </w:rPr>
        <w:t xml:space="preserve">Hardy. </w:t>
      </w:r>
      <w:r>
        <w:rPr>
          <w:rFonts w:ascii="Times New Roman" w:hAnsi="Times New Roman"/>
          <w:b w:val="false"/>
          <w:i w:val="false"/>
          <w:color w:val="000000"/>
          <w:sz w:val="22"/>
        </w:rPr>
        <w:t>Capable of surviving the normal winter temperatures of Iowa.</w:t>
      </w:r>
    </w:p>
    <w:p>
      <w:pPr>
        <w:spacing w:before="210" w:after="0"/>
        <w:ind w:left="120"/>
        <w:jc w:val="both"/>
      </w:pPr>
      <w:r>
        <w:rPr>
          <w:rFonts w:ascii="Times New Roman" w:hAnsi="Times New Roman"/>
          <w:b/>
          <w:i w:val="false"/>
          <w:color w:val="000000"/>
          <w:sz w:val="22"/>
        </w:rPr>
        <w:t>21—46.3</w:t>
      </w:r>
      <w:r>
        <w:rPr>
          <w:rFonts w:ascii="Times New Roman" w:hAnsi="Times New Roman"/>
          <w:b/>
          <w:i w:val="false"/>
          <w:color w:val="000000"/>
          <w:sz w:val="22"/>
        </w:rPr>
        <w:t xml:space="preserve">(177A) </w:t>
      </w:r>
      <w:r>
        <w:rPr>
          <w:rFonts w:ascii="Times New Roman" w:hAnsi="Times New Roman"/>
          <w:b/>
          <w:i w:val="false"/>
          <w:color w:val="000000"/>
          <w:sz w:val="22"/>
        </w:rPr>
        <w:t xml:space="preserve">Person. </w:t>
      </w:r>
      <w:r>
        <w:rPr>
          <w:rFonts w:ascii="Times New Roman" w:hAnsi="Times New Roman"/>
          <w:b w:val="false"/>
          <w:i w:val="false"/>
          <w:color w:val="000000"/>
          <w:sz w:val="22"/>
        </w:rPr>
        <w:t>Any individual or combination of individuals, corporation, society, association, partnership, institution or public agency.</w:t>
      </w:r>
    </w:p>
    <w:p>
      <w:pPr>
        <w:spacing w:before="210" w:after="0"/>
        <w:ind w:left="120"/>
        <w:jc w:val="both"/>
      </w:pPr>
      <w:r>
        <w:rPr>
          <w:rFonts w:ascii="Times New Roman" w:hAnsi="Times New Roman"/>
          <w:b/>
          <w:i w:val="false"/>
          <w:color w:val="000000"/>
          <w:sz w:val="22"/>
        </w:rPr>
        <w:t>21—46.4</w:t>
      </w:r>
      <w:r>
        <w:rPr>
          <w:rFonts w:ascii="Times New Roman" w:hAnsi="Times New Roman"/>
          <w:b/>
          <w:i w:val="false"/>
          <w:color w:val="000000"/>
          <w:sz w:val="22"/>
        </w:rPr>
        <w:t xml:space="preserve">(177A) </w:t>
      </w:r>
      <w:r>
        <w:rPr>
          <w:rFonts w:ascii="Times New Roman" w:hAnsi="Times New Roman"/>
          <w:b/>
          <w:i w:val="false"/>
          <w:color w:val="000000"/>
          <w:sz w:val="22"/>
        </w:rPr>
        <w:t xml:space="preserve">Nursery growers. </w:t>
      </w:r>
      <w:r>
        <w:rPr>
          <w:rFonts w:ascii="Times New Roman" w:hAnsi="Times New Roman"/>
          <w:b w:val="false"/>
          <w:i w:val="false"/>
          <w:color w:val="000000"/>
          <w:sz w:val="22"/>
        </w:rPr>
        <w:t>A person who grows or propagates nursery stock for sale or distribution.</w:t>
      </w:r>
    </w:p>
    <w:p>
      <w:pPr>
        <w:spacing w:before="210" w:after="0"/>
        <w:ind w:left="120"/>
        <w:jc w:val="both"/>
      </w:pPr>
      <w:r>
        <w:rPr>
          <w:rFonts w:ascii="Times New Roman" w:hAnsi="Times New Roman"/>
          <w:b/>
          <w:i w:val="false"/>
          <w:color w:val="000000"/>
          <w:sz w:val="22"/>
        </w:rPr>
        <w:t>21—46.5</w:t>
      </w:r>
      <w:r>
        <w:rPr>
          <w:rFonts w:ascii="Times New Roman" w:hAnsi="Times New Roman"/>
          <w:b/>
          <w:i w:val="false"/>
          <w:color w:val="000000"/>
          <w:sz w:val="22"/>
        </w:rPr>
        <w:t xml:space="preserve">(177A) </w:t>
      </w:r>
      <w:r>
        <w:rPr>
          <w:rFonts w:ascii="Times New Roman" w:hAnsi="Times New Roman"/>
          <w:b/>
          <w:i w:val="false"/>
          <w:color w:val="000000"/>
          <w:sz w:val="22"/>
        </w:rPr>
        <w:t xml:space="preserve">Nursery. </w:t>
      </w:r>
      <w:r>
        <w:rPr>
          <w:rFonts w:ascii="Times New Roman" w:hAnsi="Times New Roman"/>
          <w:b w:val="false"/>
          <w:i w:val="false"/>
          <w:color w:val="000000"/>
          <w:sz w:val="22"/>
        </w:rPr>
        <w:t>Any grounds or premises, on or in which nursery stock is propagated or grown for sale or distribution, including any grounds or premises on or in which nursery stock is being fumigated, treated, stored or packed for sale or movement.</w:t>
      </w:r>
    </w:p>
    <w:p>
      <w:pPr>
        <w:spacing w:before="210" w:after="0"/>
        <w:ind w:left="120"/>
        <w:jc w:val="both"/>
      </w:pPr>
      <w:r>
        <w:rPr>
          <w:rFonts w:ascii="Times New Roman" w:hAnsi="Times New Roman"/>
          <w:b/>
          <w:i w:val="false"/>
          <w:color w:val="000000"/>
          <w:sz w:val="22"/>
        </w:rPr>
        <w:t>21—46.6</w:t>
      </w:r>
      <w:r>
        <w:rPr>
          <w:rFonts w:ascii="Times New Roman" w:hAnsi="Times New Roman"/>
          <w:b/>
          <w:i w:val="false"/>
          <w:color w:val="000000"/>
          <w:sz w:val="22"/>
        </w:rPr>
        <w:t xml:space="preserve">(177A) </w:t>
      </w:r>
      <w:r>
        <w:rPr>
          <w:rFonts w:ascii="Times New Roman" w:hAnsi="Times New Roman"/>
          <w:b/>
          <w:i w:val="false"/>
          <w:color w:val="000000"/>
          <w:sz w:val="22"/>
        </w:rPr>
        <w:t xml:space="preserve">Nursery dealer. </w:t>
      </w:r>
      <w:r>
        <w:rPr>
          <w:rFonts w:ascii="Times New Roman" w:hAnsi="Times New Roman"/>
          <w:b w:val="false"/>
          <w:i w:val="false"/>
          <w:color w:val="000000"/>
          <w:sz w:val="22"/>
        </w:rPr>
        <w:t>Any person who does not grow nursery stock, but who obtains, takes title to and possession of nursery stock, and moves it or offers it for movement to the ownership of other persons.</w:t>
      </w:r>
    </w:p>
    <w:p>
      <w:pPr>
        <w:spacing w:before="0" w:after="0"/>
        <w:ind w:left="120"/>
        <w:jc w:val="both"/>
      </w:pPr>
      <w:r>
        <w:rPr>
          <w:rFonts w:ascii="Times New Roman" w:hAnsi="Times New Roman"/>
          <w:b/>
          <w:i w:val="false"/>
          <w:color w:val="000000"/>
          <w:sz w:val="22"/>
        </w:rPr>
        <w:t>21—46.7</w:t>
      </w:r>
      <w:r>
        <w:rPr>
          <w:rFonts w:ascii="Times New Roman" w:hAnsi="Times New Roman"/>
          <w:b/>
          <w:i w:val="false"/>
          <w:color w:val="000000"/>
          <w:sz w:val="22"/>
        </w:rPr>
        <w:t xml:space="preserve">(177A) </w:t>
      </w:r>
      <w:r>
        <w:rPr>
          <w:rFonts w:ascii="Times New Roman" w:hAnsi="Times New Roman"/>
          <w:b/>
          <w:i w:val="false"/>
          <w:color w:val="000000"/>
          <w:sz w:val="22"/>
        </w:rPr>
        <w:t xml:space="preserve">Out-of-state nursery growers and nursery dealers. </w:t>
      </w:r>
      <w:r>
        <w:rPr>
          <w:rFonts w:ascii="Times New Roman" w:hAnsi="Times New Roman"/>
          <w:b w:val="false"/>
          <w:i w:val="false"/>
          <w:color w:val="000000"/>
          <w:sz w:val="22"/>
        </w:rPr>
        <w:t>Any person desiring to ship nursery stock into Iowa shall: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46.7(1)</w:t>
      </w:r>
      <w:r>
        <w:rPr>
          <w:rFonts w:ascii="Times New Roman" w:hAnsi="Times New Roman"/>
          <w:b w:val="false"/>
          <w:i w:val="false"/>
          <w:color w:val="000000"/>
          <w:sz w:val="22"/>
        </w:rPr>
        <w:t> </w:t>
      </w:r>
      <w:r>
        <w:rPr>
          <w:rFonts w:ascii="Times New Roman" w:hAnsi="Times New Roman"/>
          <w:b w:val="false"/>
          <w:i w:val="false"/>
          <w:color w:val="000000"/>
          <w:sz w:val="22"/>
        </w:rPr>
        <w:t>File with the state entomologist’s office an official certificate of inspection showing that the nursery from which the plants originated has been inspected and certified by the plant regulatory officials of that state. This information may be communicated to the state entomologist’s office by the filing of an official list of certified nurseries by the plant regulatory official of the state of origin.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46.7(2)</w:t>
      </w:r>
      <w:r>
        <w:rPr>
          <w:rFonts w:ascii="Times New Roman" w:hAnsi="Times New Roman"/>
          <w:b w:val="false"/>
          <w:i w:val="false"/>
          <w:color w:val="000000"/>
          <w:sz w:val="22"/>
        </w:rPr>
        <w:t> </w:t>
      </w:r>
      <w:r>
        <w:rPr>
          <w:rFonts w:ascii="Times New Roman" w:hAnsi="Times New Roman"/>
          <w:b w:val="false"/>
          <w:i w:val="false"/>
          <w:color w:val="000000"/>
          <w:sz w:val="22"/>
        </w:rPr>
        <w:t>Provide a valid copy of the certificate of inspection of the state of origin which will accompany each shipment of nursery stock into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46.7(3)</w:t>
      </w:r>
      <w:r>
        <w:rPr>
          <w:rFonts w:ascii="Times New Roman" w:hAnsi="Times New Roman"/>
          <w:b w:val="false"/>
          <w:i w:val="false"/>
          <w:color w:val="000000"/>
          <w:sz w:val="22"/>
        </w:rPr>
        <w:t> </w:t>
      </w:r>
      <w:r>
        <w:rPr>
          <w:rFonts w:ascii="Times New Roman" w:hAnsi="Times New Roman"/>
          <w:b w:val="false"/>
          <w:i w:val="false"/>
          <w:color w:val="000000"/>
          <w:sz w:val="22"/>
        </w:rPr>
        <w:t>No fee shall be charged out-of-state nursery growers or dealers who ship nursery stock directly from their out-of-state location to Iowa purchasers, unless the state in which the shipping nursery is located charges a fee to Iowa nursery growers and dealers. In this case, a fee equivalent to that charged Iowa nursery growers or dealers shipping into that state shall be charged.</w:t>
      </w:r>
    </w:p>
    <w:p>
      <w:pPr>
        <w:spacing w:before="210" w:after="0"/>
        <w:ind w:left="120"/>
        <w:jc w:val="both"/>
      </w:pPr>
      <w:r>
        <w:rPr>
          <w:rFonts w:ascii="Times New Roman" w:hAnsi="Times New Roman"/>
          <w:b/>
          <w:i w:val="false"/>
          <w:color w:val="000000"/>
          <w:sz w:val="22"/>
        </w:rPr>
        <w:t>21—46.8</w:t>
      </w:r>
      <w:r>
        <w:rPr>
          <w:rFonts w:ascii="Times New Roman" w:hAnsi="Times New Roman"/>
          <w:b/>
          <w:i w:val="false"/>
          <w:color w:val="000000"/>
          <w:sz w:val="22"/>
        </w:rPr>
        <w:t xml:space="preserve">(177A) </w:t>
      </w:r>
      <w:r>
        <w:rPr>
          <w:rFonts w:ascii="Times New Roman" w:hAnsi="Times New Roman"/>
          <w:b/>
          <w:i w:val="false"/>
          <w:color w:val="000000"/>
          <w:sz w:val="22"/>
        </w:rPr>
        <w:t xml:space="preserve">Nursery inspection. </w:t>
      </w:r>
      <w:r>
        <w:rPr>
          <w:rFonts w:ascii="Times New Roman" w:hAnsi="Times New Roman"/>
          <w:b w:val="false"/>
          <w:i w:val="false"/>
          <w:color w:val="000000"/>
          <w:sz w:val="22"/>
        </w:rPr>
        <w:t>Each nursery within the state of Iowa shall be inspected at least annually to ascertain if they are infested with insect pests or infected with plant diseases. If insect pests or diseases are found, control or cleanup measures shall be required. Certificates will be issued only for stock found apparently free from insect pests and diseases. Cleanup measures will be required if excessive weeds in the nursery make an adequate inspection impossible.</w:t>
      </w:r>
    </w:p>
    <w:p>
      <w:pPr>
        <w:spacing w:before="210" w:after="0"/>
        <w:ind w:left="120"/>
        <w:jc w:val="both"/>
      </w:pPr>
      <w:r>
        <w:rPr>
          <w:rFonts w:ascii="Times New Roman" w:hAnsi="Times New Roman"/>
          <w:b/>
          <w:i w:val="false"/>
          <w:color w:val="000000"/>
          <w:sz w:val="22"/>
        </w:rPr>
        <w:t>21—46.9</w:t>
      </w:r>
      <w:r>
        <w:rPr>
          <w:rFonts w:ascii="Times New Roman" w:hAnsi="Times New Roman"/>
          <w:b/>
          <w:i w:val="false"/>
          <w:color w:val="000000"/>
          <w:sz w:val="22"/>
        </w:rPr>
        <w:t xml:space="preserve">(177A) </w:t>
      </w:r>
      <w:r>
        <w:rPr>
          <w:rFonts w:ascii="Times New Roman" w:hAnsi="Times New Roman"/>
          <w:b/>
          <w:i w:val="false"/>
          <w:color w:val="000000"/>
          <w:sz w:val="22"/>
        </w:rPr>
        <w:t xml:space="preserve">Nursery dealer certificate. </w:t>
      </w:r>
      <w:r>
        <w:rPr>
          <w:rFonts w:ascii="Times New Roman" w:hAnsi="Times New Roman"/>
          <w:b w:val="false"/>
          <w:i w:val="false"/>
          <w:color w:val="000000"/>
          <w:sz w:val="22"/>
        </w:rPr>
        <w:t>Nursery dealers shall secure a nursery dealer’s certificate from the state entomologist before they carry on their business within the state. Each separate sales location shall operate under its own certificate. Nurseries that sell stock from more than one location shall obtain a nursery dealer certificate for those additional locations.</w:t>
      </w:r>
    </w:p>
    <w:p>
      <w:pPr>
        <w:spacing w:before="210" w:after="0"/>
        <w:ind w:left="120"/>
        <w:jc w:val="both"/>
      </w:pPr>
      <w:r>
        <w:rPr>
          <w:rFonts w:ascii="Times New Roman" w:hAnsi="Times New Roman"/>
          <w:b/>
          <w:i w:val="false"/>
          <w:color w:val="000000"/>
          <w:sz w:val="22"/>
        </w:rPr>
        <w:t>21—46.10</w:t>
      </w:r>
      <w:r>
        <w:rPr>
          <w:rFonts w:ascii="Times New Roman" w:hAnsi="Times New Roman"/>
          <w:b/>
          <w:i w:val="false"/>
          <w:color w:val="000000"/>
          <w:sz w:val="22"/>
        </w:rPr>
        <w:t xml:space="preserve">(177A) </w:t>
      </w:r>
      <w:r>
        <w:rPr>
          <w:rFonts w:ascii="Times New Roman" w:hAnsi="Times New Roman"/>
          <w:b/>
          <w:i w:val="false"/>
          <w:color w:val="000000"/>
          <w:sz w:val="22"/>
        </w:rPr>
        <w:t xml:space="preserve">Proper facilities. </w:t>
      </w:r>
      <w:r>
        <w:rPr>
          <w:rFonts w:ascii="Times New Roman" w:hAnsi="Times New Roman"/>
          <w:b w:val="false"/>
          <w:i w:val="false"/>
          <w:color w:val="000000"/>
          <w:sz w:val="22"/>
        </w:rPr>
        <w:t>Individuals, firms or corporations who offer nursery stock for sale at nursery grounds, stores, roadside stands, public market places, or any other place, shall have and maintain proper facilities for keeping all nursery stock in a viable condition; shall keep such stock in a viable condition pending sale; and shall display at the sales location the proper kind of certificate showing that they have the right to offer nursery stock for sale. Proper facilities should include a storage and display area for the nursery stock which prevents excessive drying of plant tissues and a ready access to a water supply.</w:t>
      </w:r>
    </w:p>
    <w:p>
      <w:pPr>
        <w:spacing w:before="0" w:after="0"/>
        <w:ind w:left="120"/>
        <w:jc w:val="both"/>
      </w:pPr>
      <w:r>
        <w:rPr>
          <w:rFonts w:ascii="Times New Roman" w:hAnsi="Times New Roman"/>
          <w:b/>
          <w:i w:val="false"/>
          <w:color w:val="000000"/>
          <w:sz w:val="22"/>
        </w:rPr>
        <w:t>21—46.11</w:t>
      </w:r>
      <w:r>
        <w:rPr>
          <w:rFonts w:ascii="Times New Roman" w:hAnsi="Times New Roman"/>
          <w:b/>
          <w:i w:val="false"/>
          <w:color w:val="000000"/>
          <w:sz w:val="22"/>
        </w:rPr>
        <w:t xml:space="preserve">(177A) </w:t>
      </w:r>
      <w:r>
        <w:rPr>
          <w:rFonts w:ascii="Times New Roman" w:hAnsi="Times New Roman"/>
          <w:b/>
          <w:i w:val="false"/>
          <w:color w:val="000000"/>
          <w:sz w:val="22"/>
        </w:rPr>
        <w:t xml:space="preserve">Storage and display. </w:t>
      </w:r>
      <w:r>
        <w:rPr>
          <w:rFonts w:ascii="Times New Roman" w:hAnsi="Times New Roman"/>
          <w:b w:val="false"/>
          <w:i w:val="false"/>
          <w:color w:val="000000"/>
          <w:sz w:val="22"/>
        </w:rPr>
        <w:t>All nursery stock offered for sale or distribution shall be stored and displayed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46.11(1)</w:t>
      </w:r>
      <w:r>
        <w:rPr>
          <w:rFonts w:ascii="Times New Roman" w:hAnsi="Times New Roman"/>
          <w:b w:val="false"/>
          <w:i w:val="false"/>
          <w:color w:val="000000"/>
          <w:sz w:val="22"/>
        </w:rPr>
        <w:t> </w:t>
      </w:r>
      <w:r>
        <w:rPr>
          <w:rFonts w:ascii="Times New Roman" w:hAnsi="Times New Roman"/>
          <w:b w:val="false"/>
          <w:i w:val="false"/>
          <w:color w:val="000000"/>
          <w:sz w:val="22"/>
        </w:rPr>
        <w:t>Balled and burlapped stock shall be kept moist at all times and shall be kept in sawdust, shingle tow, peat, sphagnum moss or other moisture-holding material not toxic to plants, of sufficient depth to cover the top of the ball of earth.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46.11(2)</w:t>
      </w:r>
      <w:r>
        <w:rPr>
          <w:rFonts w:ascii="Times New Roman" w:hAnsi="Times New Roman"/>
          <w:b w:val="false"/>
          <w:i w:val="false"/>
          <w:color w:val="000000"/>
          <w:sz w:val="22"/>
        </w:rPr>
        <w:t> </w:t>
      </w:r>
      <w:r>
        <w:rPr>
          <w:rFonts w:ascii="Times New Roman" w:hAnsi="Times New Roman"/>
          <w:b w:val="false"/>
          <w:i w:val="false"/>
          <w:color w:val="000000"/>
          <w:sz w:val="22"/>
        </w:rPr>
        <w:t>Container stock shall be watered sufficiently to maintain the viability and vigor of the stock. Potting soil shall be maintained at a depth so as to cover all roots of the plants.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46.11(3)</w:t>
      </w:r>
      <w:r>
        <w:rPr>
          <w:rFonts w:ascii="Times New Roman" w:hAnsi="Times New Roman"/>
          <w:b w:val="false"/>
          <w:i w:val="false"/>
          <w:color w:val="000000"/>
          <w:sz w:val="22"/>
        </w:rPr>
        <w:t> </w:t>
      </w:r>
      <w:r>
        <w:rPr>
          <w:rFonts w:ascii="Times New Roman" w:hAnsi="Times New Roman"/>
          <w:b w:val="false"/>
          <w:i w:val="false"/>
          <w:color w:val="000000"/>
          <w:sz w:val="22"/>
        </w:rPr>
        <w:t>Bare-root stock shall be kept under conditions of temperature and moisture to retard etiolated or otherwise abnormal growth and maintain viability. Moisture must be supplied to the root system by high humidity conditions in storage or by covering the roots with soil, sawdust, peat, wood shavings or other moisture-holding materials not toxic to plants. Such material is to be kept moist at all times. Roots of healed-in stock must be covered with well packed soil at least one inch above the crown of the plant.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46.11(4)</w:t>
      </w:r>
      <w:r>
        <w:rPr>
          <w:rFonts w:ascii="Times New Roman" w:hAnsi="Times New Roman"/>
          <w:b w:val="false"/>
          <w:i w:val="false"/>
          <w:color w:val="000000"/>
          <w:sz w:val="22"/>
        </w:rPr>
        <w:t> </w:t>
      </w:r>
      <w:r>
        <w:rPr>
          <w:rFonts w:ascii="Times New Roman" w:hAnsi="Times New Roman"/>
          <w:b w:val="false"/>
          <w:i w:val="false"/>
          <w:color w:val="000000"/>
          <w:sz w:val="22"/>
        </w:rPr>
        <w:t>Stock with roots packaged in moisture-retaining plastic, peat, wood shavings or other material not toxic to plants must be stored and displayed under conditions that will retard etiolated or otherwise abnormal growth and will ensure an adequate supply of moisture to the roots at all times.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46.11(5)</w:t>
      </w:r>
      <w:r>
        <w:rPr>
          <w:rFonts w:ascii="Times New Roman" w:hAnsi="Times New Roman"/>
          <w:b w:val="false"/>
          <w:i w:val="false"/>
          <w:color w:val="000000"/>
          <w:sz w:val="22"/>
        </w:rPr>
        <w:t> </w:t>
      </w:r>
      <w:r>
        <w:rPr>
          <w:rFonts w:ascii="Times New Roman" w:hAnsi="Times New Roman"/>
          <w:b w:val="false"/>
          <w:i w:val="false"/>
          <w:color w:val="000000"/>
          <w:sz w:val="22"/>
        </w:rPr>
        <w:t>Nursery stock offered for sale or movement at locations with hard surfaced areas, such as concrete or asphalt parking lots, must not be in constant, direct contact with the hard surfaced area; but must be so displayed that the roots of the stock are protected from excessive heat, drying, or other adverse conditions associated with contact from hard surfaced areas.</w:t>
      </w:r>
    </w:p>
    <w:p>
      <w:pPr>
        <w:spacing w:before="0" w:after="0"/>
        <w:ind w:left="120"/>
        <w:jc w:val="both"/>
      </w:pPr>
      <w:r>
        <w:rPr>
          <w:rFonts w:ascii="Times New Roman" w:hAnsi="Times New Roman"/>
          <w:b/>
          <w:i w:val="false"/>
          <w:color w:val="000000"/>
          <w:sz w:val="22"/>
        </w:rPr>
        <w:t>21—46.12</w:t>
      </w:r>
      <w:r>
        <w:rPr>
          <w:rFonts w:ascii="Times New Roman" w:hAnsi="Times New Roman"/>
          <w:b/>
          <w:i w:val="false"/>
          <w:color w:val="000000"/>
          <w:sz w:val="22"/>
        </w:rPr>
        <w:t xml:space="preserve">(177A) </w:t>
      </w:r>
      <w:r>
        <w:rPr>
          <w:rFonts w:ascii="Times New Roman" w:hAnsi="Times New Roman"/>
          <w:b/>
          <w:i w:val="false"/>
          <w:color w:val="000000"/>
          <w:sz w:val="22"/>
        </w:rPr>
        <w:t xml:space="preserve">Nursery stock viability qualifications. </w:t>
      </w:r>
      <w:r>
        <w:rPr>
          <w:rFonts w:ascii="Times New Roman" w:hAnsi="Times New Roman"/>
          <w:b w:val="false"/>
          <w:i w:val="false"/>
          <w:color w:val="000000"/>
          <w:sz w:val="22"/>
        </w:rPr>
        <w:t>All nursery stock offered for sale or distribution, not meeting the following minimum indices of viability, shall be removed from public view and not offered for sale.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46.12(1)</w:t>
      </w:r>
      <w:r>
        <w:rPr>
          <w:rFonts w:ascii="Times New Roman" w:hAnsi="Times New Roman"/>
          <w:b w:val="false"/>
          <w:i w:val="false"/>
          <w:color w:val="000000"/>
          <w:sz w:val="22"/>
        </w:rPr>
        <w:t> </w:t>
      </w:r>
      <w:r>
        <w:rPr>
          <w:rFonts w:ascii="Times New Roman" w:hAnsi="Times New Roman"/>
          <w:b w:val="false"/>
          <w:i w:val="false"/>
          <w:color w:val="000000"/>
          <w:sz w:val="22"/>
        </w:rPr>
        <w:t>Woody stemmed deciduous stock shall have moist, green, cambium tissue in the stems and branches and shall have viable buds or normal, green, unwilted growth. Etiolated growth from individual buds shall be no more than four inches. In the case of rose bushes, each stem must show moist, green, undamaged cambium in at least the first six inches above the graft. Any single stem on a rose bush not meeting this specification shall disqualify the entire plant; however, a bush may be pruned to remove dead or damaged canes and the plant can then be sold at the proper grade according to Standards of the American Association of Nurserymen.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46.12(2)</w:t>
      </w:r>
      <w:r>
        <w:rPr>
          <w:rFonts w:ascii="Times New Roman" w:hAnsi="Times New Roman"/>
          <w:b w:val="false"/>
          <w:i w:val="false"/>
          <w:color w:val="000000"/>
          <w:sz w:val="22"/>
        </w:rPr>
        <w:t> </w:t>
      </w:r>
      <w:r>
        <w:rPr>
          <w:rFonts w:ascii="Times New Roman" w:hAnsi="Times New Roman"/>
          <w:b w:val="false"/>
          <w:i w:val="false"/>
          <w:color w:val="000000"/>
          <w:sz w:val="22"/>
        </w:rPr>
        <w:t xml:space="preserve">Balled and burlapped stock in addition to </w:t>
      </w:r>
      <w:hyperlink r:id="rId5">
        <w:r>
          <w:rPr>
            <w:rStyle w:val="Hyperlink"/>
            <w:rFonts w:ascii="Times New Roman" w:hAnsi="Times New Roman"/>
            <w:b w:val="false"/>
            <w:i w:val="false"/>
            <w:color w:val="000000"/>
            <w:sz w:val="22"/>
          </w:rPr>
          <w:t>46.12(1)</w:t>
        </w:r>
      </w:hyperlink>
      <w:r>
        <w:rPr>
          <w:rFonts w:ascii="Times New Roman" w:hAnsi="Times New Roman"/>
          <w:b w:val="false"/>
          <w:i w:val="false"/>
          <w:color w:val="000000"/>
          <w:sz w:val="22"/>
        </w:rPr>
        <w:t xml:space="preserve"> above regarding aerial parts, shall have unbroken earth balls of a size specified by the American Association of Nurserymen’s American Standard for Nursery Stock.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46.12(3)</w:t>
      </w:r>
      <w:r>
        <w:rPr>
          <w:rFonts w:ascii="Times New Roman" w:hAnsi="Times New Roman"/>
          <w:b w:val="false"/>
          <w:i w:val="false"/>
          <w:color w:val="000000"/>
          <w:sz w:val="22"/>
        </w:rPr>
        <w:t> </w:t>
      </w:r>
      <w:r>
        <w:rPr>
          <w:rFonts w:ascii="Times New Roman" w:hAnsi="Times New Roman"/>
          <w:b w:val="false"/>
          <w:i w:val="false"/>
          <w:color w:val="000000"/>
          <w:sz w:val="22"/>
        </w:rPr>
        <w:t>Colored waxes or other materials used to coat the aerial parts of plants that change the appearance of the plant surface so as to prevent adequate inspection, are prohibited.</w:t>
      </w:r>
    </w:p>
    <w:p>
      <w:pPr>
        <w:spacing w:before="0" w:after="0"/>
        <w:ind w:left="120"/>
        <w:jc w:val="both"/>
      </w:pPr>
      <w:r>
        <w:rPr>
          <w:rFonts w:ascii="Times New Roman" w:hAnsi="Times New Roman"/>
          <w:b/>
          <w:i w:val="false"/>
          <w:color w:val="000000"/>
          <w:sz w:val="22"/>
        </w:rPr>
        <w:t>21—46.13</w:t>
      </w:r>
      <w:r>
        <w:rPr>
          <w:rFonts w:ascii="Times New Roman" w:hAnsi="Times New Roman"/>
          <w:b/>
          <w:i w:val="false"/>
          <w:color w:val="000000"/>
          <w:sz w:val="22"/>
        </w:rPr>
        <w:t xml:space="preserve">(177A) </w:t>
      </w:r>
      <w:r>
        <w:rPr>
          <w:rFonts w:ascii="Times New Roman" w:hAnsi="Times New Roman"/>
          <w:b/>
          <w:i w:val="false"/>
          <w:color w:val="000000"/>
          <w:sz w:val="22"/>
        </w:rPr>
        <w:t xml:space="preserve">Certificates. </w:t>
      </w:r>
      <w:r>
        <w:rPr>
          <w:rFonts w:ascii="Times New Roman" w:hAnsi="Times New Roman"/>
          <w:b w:val="false"/>
          <w:i w:val="false"/>
          <w:color w:val="000000"/>
          <w:sz w:val="22"/>
        </w:rPr>
        <w:t>Certificates issued to nursery growers, nursery dealers or signees of compliance agreements pertaining to regulated articles are nontransferable and are for the exclusive use of the one to whom they are issued. Certificates may be revoked by the state entomologist for a failure to comply with regulatory requirements.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9190B</w:t>
      </w:r>
      <w:r>
        <w:rPr>
          <w:rFonts w:ascii="Times New Roman" w:hAnsi="Times New Roman"/>
          <w:b w:val="false"/>
          <w:i w:val="false"/>
          <w:color w:val="000000"/>
          <w:sz w:val="16"/>
        </w:rPr>
        <w:t>, IAB 11/3/10, effective 1/1/11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21—46.14</w:t>
      </w:r>
      <w:r>
        <w:rPr>
          <w:rFonts w:ascii="Times New Roman" w:hAnsi="Times New Roman"/>
          <w:b/>
          <w:i w:val="false"/>
          <w:color w:val="000000"/>
          <w:sz w:val="22"/>
        </w:rPr>
        <w:t xml:space="preserve">(177A) </w:t>
      </w:r>
      <w:r>
        <w:rPr>
          <w:rFonts w:ascii="Times New Roman" w:hAnsi="Times New Roman"/>
          <w:b/>
          <w:i w:val="false"/>
          <w:color w:val="000000"/>
          <w:sz w:val="22"/>
        </w:rPr>
        <w:t xml:space="preserve">Miscellaneous and service inspections. </w:t>
      </w:r>
      <w:r>
        <w:rPr>
          <w:rFonts w:ascii="Times New Roman" w:hAnsi="Times New Roman"/>
          <w:b w:val="false"/>
          <w:i w:val="false"/>
          <w:color w:val="000000"/>
          <w:sz w:val="22"/>
        </w:rPr>
        <w:t xml:space="preserve">Any person wanting to move plants or plant products to any destination outside of Iowa may apply to the state entomologist for inspection of the plants or plant products and certification as to the presence or absence of plant pests and diseases likely to prevent the acceptance of those plants or plant products at the destination. The application must be made as far in advance as possible. Upon receipt of the application, the state entomologist will arrange for the inspection to be made as early as conveniently practical. The plants or plant products to be inspected shall be assembled and held in such a manner as to enable a proper and adequate inspection to be made. If destination requirements regarding plant pests and diseases are met, certification can be made in accordance with Iowa Code section </w:t>
      </w:r>
      <w:hyperlink r:id="rId6">
        <w:r>
          <w:rPr>
            <w:rStyle w:val="Hyperlink"/>
            <w:rFonts w:ascii="Times New Roman" w:hAnsi="Times New Roman"/>
            <w:b w:val="false"/>
            <w:i w:val="false"/>
            <w:color w:val="000000"/>
            <w:sz w:val="22"/>
          </w:rPr>
          <w:t>177A.9</w:t>
        </w:r>
      </w:hyperlink>
      <w:r>
        <w:rPr>
          <w:rFonts w:ascii="Times New Roman" w:hAnsi="Times New Roman"/>
          <w:b w:val="false"/>
          <w:i w:val="false"/>
          <w:color w:val="000000"/>
          <w:sz w:val="22"/>
        </w:rPr>
        <w:t>. Fees for the inspection will be set to cover in full any expenses incurred by the state entomologist or authorized inspectors who made the inspection.</w:t>
      </w:r>
    </w:p>
    <w:p>
      <w:pPr>
        <w:spacing w:before="0" w:after="0"/>
        <w:ind w:left="120"/>
        <w:jc w:val="both"/>
      </w:pPr>
      <w:r>
        <w:rPr>
          <w:rFonts w:ascii="Times New Roman" w:hAnsi="Times New Roman"/>
          <w:b w:val="false"/>
          <w:i w:val="false"/>
          <w:color w:val="000000"/>
          <w:sz w:val="22"/>
        </w:rPr>
        <w:t>Any plants or plant parts capable of propagation, not classified as nursery stock, which originate outside the state, may be subject to inspection to determine whether those plants or plant parts are infested or infected with insect pests or diseases. If inspections reveal the presence of insect pests or diseases, such plants or plant parts will be treated or destroyed. If no infestations are discovered, a certification report may be issued by the inspector to the person offering the plants or plant parts for sale or movement. Inspection of these plants or plant parts shall be subject to the same rules and fees as nursery stock.</w:t>
      </w:r>
    </w:p>
    <w:p>
      <w:pPr>
        <w:spacing w:before="0" w:after="0"/>
        <w:ind w:left="120"/>
        <w:jc w:val="both"/>
      </w:pPr>
      <w:r>
        <w:rPr>
          <w:rFonts w:ascii="Times New Roman" w:hAnsi="Times New Roman"/>
          <w:b/>
          <w:i w:val="false"/>
          <w:color w:val="000000"/>
          <w:sz w:val="22"/>
        </w:rPr>
        <w:t>21—46.15</w:t>
      </w:r>
      <w:r>
        <w:rPr>
          <w:rFonts w:ascii="Times New Roman" w:hAnsi="Times New Roman"/>
          <w:b/>
          <w:i w:val="false"/>
          <w:color w:val="000000"/>
          <w:sz w:val="22"/>
        </w:rPr>
        <w:t xml:space="preserve">(177A) </w:t>
      </w:r>
      <w:r>
        <w:rPr>
          <w:rFonts w:ascii="Times New Roman" w:hAnsi="Times New Roman"/>
          <w:b/>
          <w:i w:val="false"/>
          <w:color w:val="000000"/>
          <w:sz w:val="22"/>
        </w:rPr>
        <w:t xml:space="preserve">Insect pests and diseases. </w:t>
      </w:r>
      <w:r>
        <w:rPr>
          <w:rFonts w:ascii="Times New Roman" w:hAnsi="Times New Roman"/>
          <w:b w:val="false"/>
          <w:i w:val="false"/>
          <w:color w:val="000000"/>
          <w:sz w:val="22"/>
        </w:rPr>
        <w:t xml:space="preserve">To comply with Iowa Code section </w:t>
      </w:r>
      <w:hyperlink r:id="rId7">
        <w:r>
          <w:rPr>
            <w:rStyle w:val="Hyperlink"/>
            <w:rFonts w:ascii="Times New Roman" w:hAnsi="Times New Roman"/>
            <w:b w:val="false"/>
            <w:i w:val="false"/>
            <w:color w:val="000000"/>
            <w:sz w:val="22"/>
          </w:rPr>
          <w:t>177A.5</w:t>
        </w:r>
      </w:hyperlink>
      <w:r>
        <w:rPr>
          <w:rFonts w:ascii="Times New Roman" w:hAnsi="Times New Roman"/>
          <w:b w:val="false"/>
          <w:i w:val="false"/>
          <w:color w:val="000000"/>
          <w:sz w:val="22"/>
        </w:rPr>
        <w:t>, there are listed below the insect pests and diseases which the state entomologist finds should be prevented from being introduced into or disseminated within Iowa, in order to safeguard the plants and plant products likely to become infested or infected with such insect pests and diseases.</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Insect pests:</w:t>
      </w:r>
    </w:p>
    <w:p>
      <w:pPr>
        <w:spacing w:before="0" w:after="0"/>
        <w:ind w:left="120"/>
        <w:jc w:val="both"/>
      </w:pPr>
      <w:r>
        <w:rPr>
          <w:rFonts w:ascii="Times New Roman" w:hAnsi="Times New Roman"/>
          <w:b w:val="false"/>
          <w:i w:val="false"/>
          <w:color w:val="000000"/>
          <w:sz w:val="22"/>
        </w:rPr>
        <w:t xml:space="preserve">Asian gypsy moth </w:t>
      </w:r>
      <w:r>
        <w:rPr>
          <w:rFonts w:ascii="Times New Roman" w:hAnsi="Times New Roman"/>
          <w:b w:val="false"/>
          <w:i/>
          <w:color w:val="000000"/>
          <w:sz w:val="22"/>
        </w:rPr>
        <w:t>(Lymantria dispar dispar (Linnaeus))</w:t>
      </w:r>
    </w:p>
    <w:p>
      <w:pPr>
        <w:spacing w:before="0" w:after="0"/>
        <w:ind w:left="120"/>
        <w:jc w:val="both"/>
      </w:pPr>
      <w:r>
        <w:rPr>
          <w:rFonts w:ascii="Times New Roman" w:hAnsi="Times New Roman"/>
          <w:b w:val="false"/>
          <w:i w:val="false"/>
          <w:color w:val="000000"/>
          <w:sz w:val="22"/>
        </w:rPr>
        <w:t xml:space="preserve">Asian longhorned beetle </w:t>
      </w:r>
      <w:r>
        <w:rPr>
          <w:rFonts w:ascii="Times New Roman" w:hAnsi="Times New Roman"/>
          <w:b w:val="false"/>
          <w:i/>
          <w:color w:val="000000"/>
          <w:sz w:val="22"/>
        </w:rPr>
        <w:t>(Anoplophora glabripennis)</w:t>
      </w:r>
    </w:p>
    <w:p>
      <w:pPr>
        <w:spacing w:before="0" w:after="0"/>
        <w:ind w:left="120"/>
        <w:jc w:val="both"/>
      </w:pPr>
      <w:r>
        <w:rPr>
          <w:rFonts w:ascii="Times New Roman" w:hAnsi="Times New Roman"/>
          <w:b w:val="false"/>
          <w:i w:val="false"/>
          <w:color w:val="000000"/>
          <w:sz w:val="22"/>
        </w:rPr>
        <w:t xml:space="preserve">Blue alfalfa aphid </w:t>
      </w:r>
      <w:r>
        <w:rPr>
          <w:rFonts w:ascii="Times New Roman" w:hAnsi="Times New Roman"/>
          <w:b w:val="false"/>
          <w:i/>
          <w:color w:val="000000"/>
          <w:sz w:val="22"/>
        </w:rPr>
        <w:t>(Acyrthosiphon kondoi)</w:t>
      </w:r>
    </w:p>
    <w:p>
      <w:pPr>
        <w:spacing w:before="0" w:after="0"/>
        <w:ind w:left="120"/>
        <w:jc w:val="both"/>
      </w:pPr>
      <w:r>
        <w:rPr>
          <w:rFonts w:ascii="Times New Roman" w:hAnsi="Times New Roman"/>
          <w:b w:val="false"/>
          <w:i w:val="false"/>
          <w:color w:val="000000"/>
          <w:sz w:val="22"/>
        </w:rPr>
        <w:t xml:space="preserve">Emerald ash borer </w:t>
      </w:r>
      <w:r>
        <w:rPr>
          <w:rFonts w:ascii="Times New Roman" w:hAnsi="Times New Roman"/>
          <w:b w:val="false"/>
          <w:i/>
          <w:color w:val="000000"/>
          <w:sz w:val="22"/>
        </w:rPr>
        <w:t>(Agrilus planipennis)</w:t>
      </w:r>
    </w:p>
    <w:p>
      <w:pPr>
        <w:spacing w:before="0" w:after="0"/>
        <w:ind w:left="120"/>
        <w:jc w:val="both"/>
      </w:pPr>
      <w:r>
        <w:rPr>
          <w:rFonts w:ascii="Times New Roman" w:hAnsi="Times New Roman"/>
          <w:b w:val="false"/>
          <w:i w:val="false"/>
          <w:color w:val="000000"/>
          <w:sz w:val="22"/>
        </w:rPr>
        <w:t xml:space="preserve">European woodwasp </w:t>
      </w:r>
      <w:r>
        <w:rPr>
          <w:rFonts w:ascii="Times New Roman" w:hAnsi="Times New Roman"/>
          <w:b w:val="false"/>
          <w:i/>
          <w:color w:val="000000"/>
          <w:sz w:val="22"/>
        </w:rPr>
        <w:t>(Sirex noctilio)</w:t>
      </w:r>
    </w:p>
    <w:p>
      <w:pPr>
        <w:spacing w:before="0" w:after="0"/>
        <w:ind w:left="120"/>
        <w:jc w:val="both"/>
      </w:pPr>
      <w:r>
        <w:rPr>
          <w:rFonts w:ascii="Times New Roman" w:hAnsi="Times New Roman"/>
          <w:b w:val="false"/>
          <w:i w:val="false"/>
          <w:color w:val="000000"/>
          <w:sz w:val="22"/>
        </w:rPr>
        <w:t xml:space="preserve">Gypsy (European) moth </w:t>
      </w:r>
      <w:r>
        <w:rPr>
          <w:rFonts w:ascii="Times New Roman" w:hAnsi="Times New Roman"/>
          <w:b w:val="false"/>
          <w:i/>
          <w:color w:val="000000"/>
          <w:sz w:val="22"/>
        </w:rPr>
        <w:t>(Lymantria dispar)</w:t>
      </w:r>
    </w:p>
    <w:p>
      <w:pPr>
        <w:spacing w:before="0" w:after="0"/>
        <w:ind w:left="120"/>
        <w:jc w:val="both"/>
      </w:pPr>
      <w:r>
        <w:rPr>
          <w:rFonts w:ascii="Times New Roman" w:hAnsi="Times New Roman"/>
          <w:b w:val="false"/>
          <w:i w:val="false"/>
          <w:color w:val="000000"/>
          <w:sz w:val="22"/>
        </w:rPr>
        <w:t xml:space="preserve">Gypsy moth (European X Asian) </w:t>
      </w:r>
      <w:r>
        <w:rPr>
          <w:rFonts w:ascii="Times New Roman" w:hAnsi="Times New Roman"/>
          <w:b w:val="false"/>
          <w:i/>
          <w:color w:val="000000"/>
          <w:sz w:val="22"/>
        </w:rPr>
        <w:t>(Lymantria dispar x hybrid)</w:t>
      </w:r>
    </w:p>
    <w:p>
      <w:pPr>
        <w:spacing w:before="0" w:after="0"/>
        <w:ind w:left="120"/>
        <w:jc w:val="both"/>
      </w:pPr>
      <w:r>
        <w:rPr>
          <w:rFonts w:ascii="Times New Roman" w:hAnsi="Times New Roman"/>
          <w:b w:val="false"/>
          <w:i w:val="false"/>
          <w:color w:val="000000"/>
          <w:sz w:val="22"/>
        </w:rPr>
        <w:t xml:space="preserve">Khapra beetle </w:t>
      </w:r>
      <w:r>
        <w:rPr>
          <w:rFonts w:ascii="Times New Roman" w:hAnsi="Times New Roman"/>
          <w:b w:val="false"/>
          <w:i/>
          <w:color w:val="000000"/>
          <w:sz w:val="22"/>
        </w:rPr>
        <w:t>(Trogoderma granarium)</w:t>
      </w:r>
    </w:p>
    <w:p>
      <w:pPr>
        <w:spacing w:before="0" w:after="0"/>
        <w:ind w:left="120"/>
        <w:jc w:val="both"/>
      </w:pPr>
      <w:r>
        <w:rPr>
          <w:rFonts w:ascii="Times New Roman" w:hAnsi="Times New Roman"/>
          <w:b w:val="false"/>
          <w:i w:val="false"/>
          <w:color w:val="000000"/>
          <w:sz w:val="22"/>
        </w:rPr>
        <w:t xml:space="preserve">Rosy (pink) gypsy moth </w:t>
      </w:r>
      <w:r>
        <w:rPr>
          <w:rFonts w:ascii="Times New Roman" w:hAnsi="Times New Roman"/>
          <w:b w:val="false"/>
          <w:i/>
          <w:color w:val="000000"/>
          <w:sz w:val="22"/>
        </w:rPr>
        <w:t>(Lymantria mathura)</w:t>
      </w:r>
    </w:p>
    <w:p>
      <w:pPr>
        <w:spacing w:before="0" w:after="0"/>
        <w:ind w:left="120"/>
        <w:jc w:val="both"/>
      </w:pPr>
      <w:r>
        <w:rPr>
          <w:rFonts w:ascii="Times New Roman" w:hAnsi="Times New Roman"/>
          <w:b w:val="false"/>
          <w:i w:val="false"/>
          <w:color w:val="000000"/>
          <w:sz w:val="22"/>
        </w:rPr>
        <w:t xml:space="preserve">Viburnum leaf beetle </w:t>
      </w:r>
      <w:r>
        <w:rPr>
          <w:rFonts w:ascii="Times New Roman" w:hAnsi="Times New Roman"/>
          <w:b w:val="false"/>
          <w:i/>
          <w:color w:val="000000"/>
          <w:sz w:val="22"/>
        </w:rPr>
        <w:t>(Pyrrhalta viburni)</w:t>
      </w:r>
    </w:p>
    <w:p>
      <w:pPr>
        <w:spacing w:before="0" w:after="0"/>
        <w:ind w:left="120"/>
        <w:jc w:val="both"/>
      </w:pPr>
      <w:r>
        <w:rPr>
          <w:rFonts w:ascii="Times New Roman" w:hAnsi="Times New Roman"/>
          <w:b w:val="false"/>
          <w:i w:val="false"/>
          <w:color w:val="000000"/>
          <w:sz w:val="22"/>
        </w:rPr>
        <w:t xml:space="preserve">Walnut twig beetle </w:t>
      </w:r>
      <w:r>
        <w:rPr>
          <w:rFonts w:ascii="Times New Roman" w:hAnsi="Times New Roman"/>
          <w:b w:val="false"/>
          <w:i/>
          <w:color w:val="000000"/>
          <w:sz w:val="22"/>
        </w:rPr>
        <w:t>(Pityophthorus juglandis)</w:t>
      </w:r>
    </w:p>
    <w:p>
      <w:pPr>
        <w:spacing w:before="0" w:after="0"/>
        <w:ind w:left="120"/>
        <w:jc w:val="center"/>
      </w:pPr>
      <w:r>
        <w:rPr>
          <w:rFonts w:ascii="Times New Roman" w:hAnsi="Times New Roman"/>
          <w:b w:val="false"/>
          <w:i w:val="false"/>
          <w:color w:val="000000"/>
          <w:sz w:val="22"/>
        </w:rPr>
        <w:t>Diseases:</w:t>
      </w:r>
    </w:p>
    <w:p>
      <w:pPr>
        <w:spacing w:before="0" w:after="0"/>
        <w:ind w:left="120"/>
        <w:jc w:val="both"/>
      </w:pPr>
      <w:r>
        <w:rPr>
          <w:rFonts w:ascii="Times New Roman" w:hAnsi="Times New Roman"/>
          <w:b w:val="false"/>
          <w:i w:val="false"/>
          <w:color w:val="000000"/>
          <w:sz w:val="22"/>
        </w:rPr>
        <w:t xml:space="preserve">Black stem rust of wheat </w:t>
      </w:r>
      <w:r>
        <w:rPr>
          <w:rFonts w:ascii="Times New Roman" w:hAnsi="Times New Roman"/>
          <w:b w:val="false"/>
          <w:i/>
          <w:color w:val="000000"/>
          <w:sz w:val="22"/>
        </w:rPr>
        <w:t>(Puccinia graminis)</w:t>
      </w:r>
    </w:p>
    <w:p>
      <w:pPr>
        <w:spacing w:before="0" w:after="0"/>
        <w:ind w:left="120"/>
        <w:jc w:val="both"/>
      </w:pPr>
      <w:r>
        <w:rPr>
          <w:rFonts w:ascii="Times New Roman" w:hAnsi="Times New Roman"/>
          <w:b w:val="false"/>
          <w:i w:val="false"/>
          <w:color w:val="000000"/>
          <w:sz w:val="22"/>
        </w:rPr>
        <w:t xml:space="preserve">Corn late wilt or black bundle disease of corn </w:t>
      </w:r>
      <w:r>
        <w:rPr>
          <w:rFonts w:ascii="Times New Roman" w:hAnsi="Times New Roman"/>
          <w:b w:val="false"/>
          <w:i/>
          <w:color w:val="000000"/>
          <w:sz w:val="22"/>
        </w:rPr>
        <w:t>(Harpophora (Cephalosporium) maydis)</w:t>
      </w:r>
    </w:p>
    <w:p>
      <w:pPr>
        <w:spacing w:before="0" w:after="0"/>
        <w:ind w:left="120"/>
        <w:jc w:val="both"/>
      </w:pPr>
      <w:r>
        <w:rPr>
          <w:rFonts w:ascii="Times New Roman" w:hAnsi="Times New Roman"/>
          <w:b w:val="false"/>
          <w:i w:val="false"/>
          <w:color w:val="000000"/>
          <w:sz w:val="22"/>
        </w:rPr>
        <w:t xml:space="preserve">Oat cyst nematode </w:t>
      </w:r>
      <w:r>
        <w:rPr>
          <w:rFonts w:ascii="Times New Roman" w:hAnsi="Times New Roman"/>
          <w:b w:val="false"/>
          <w:i/>
          <w:color w:val="000000"/>
          <w:sz w:val="22"/>
        </w:rPr>
        <w:t>(Bidera avenae)</w:t>
      </w:r>
    </w:p>
    <w:p>
      <w:pPr>
        <w:spacing w:before="0" w:after="0"/>
        <w:ind w:left="120"/>
        <w:jc w:val="both"/>
      </w:pPr>
      <w:r>
        <w:rPr>
          <w:rFonts w:ascii="Times New Roman" w:hAnsi="Times New Roman"/>
          <w:b w:val="false"/>
          <w:i w:val="false"/>
          <w:color w:val="000000"/>
          <w:sz w:val="22"/>
        </w:rPr>
        <w:t xml:space="preserve">Golden nematode </w:t>
      </w:r>
      <w:r>
        <w:rPr>
          <w:rFonts w:ascii="Times New Roman" w:hAnsi="Times New Roman"/>
          <w:b w:val="false"/>
          <w:i/>
          <w:color w:val="000000"/>
          <w:sz w:val="22"/>
        </w:rPr>
        <w:t>(Globodera rostochiensis)</w:t>
      </w:r>
    </w:p>
    <w:p>
      <w:pPr>
        <w:spacing w:before="0" w:after="0"/>
        <w:ind w:left="120"/>
        <w:jc w:val="both"/>
      </w:pPr>
      <w:r>
        <w:rPr>
          <w:rFonts w:ascii="Times New Roman" w:hAnsi="Times New Roman"/>
          <w:b w:val="false"/>
          <w:i w:val="false"/>
          <w:color w:val="000000"/>
          <w:sz w:val="22"/>
        </w:rPr>
        <w:t xml:space="preserve">Corn cyst nematode </w:t>
      </w:r>
      <w:r>
        <w:rPr>
          <w:rFonts w:ascii="Times New Roman" w:hAnsi="Times New Roman"/>
          <w:b w:val="false"/>
          <w:i/>
          <w:color w:val="000000"/>
          <w:sz w:val="22"/>
        </w:rPr>
        <w:t>(Heterodera zeae)</w:t>
      </w:r>
    </w:p>
    <w:p>
      <w:pPr>
        <w:spacing w:before="0" w:after="0"/>
        <w:ind w:left="120"/>
        <w:jc w:val="both"/>
      </w:pPr>
      <w:r>
        <w:rPr>
          <w:rFonts w:ascii="Times New Roman" w:hAnsi="Times New Roman"/>
          <w:b w:val="false"/>
          <w:i w:val="false"/>
          <w:color w:val="000000"/>
          <w:sz w:val="22"/>
        </w:rPr>
        <w:t xml:space="preserve">Columbia root-knot nematode </w:t>
      </w:r>
      <w:r>
        <w:rPr>
          <w:rFonts w:ascii="Times New Roman" w:hAnsi="Times New Roman"/>
          <w:b w:val="false"/>
          <w:i/>
          <w:color w:val="000000"/>
          <w:sz w:val="22"/>
        </w:rPr>
        <w:t>(Meloidogyne chitwoodi)</w:t>
      </w:r>
    </w:p>
    <w:p>
      <w:pPr>
        <w:spacing w:before="0" w:after="0"/>
        <w:ind w:left="120"/>
        <w:jc w:val="both"/>
      </w:pPr>
      <w:r>
        <w:rPr>
          <w:rFonts w:ascii="Times New Roman" w:hAnsi="Times New Roman"/>
          <w:b w:val="false"/>
          <w:i w:val="false"/>
          <w:color w:val="000000"/>
          <w:sz w:val="22"/>
        </w:rPr>
        <w:t xml:space="preserve">Mexican corn cyst </w:t>
      </w:r>
      <w:r>
        <w:rPr>
          <w:rFonts w:ascii="Times New Roman" w:hAnsi="Times New Roman"/>
          <w:b w:val="false"/>
          <w:i/>
          <w:color w:val="000000"/>
          <w:sz w:val="22"/>
        </w:rPr>
        <w:t>(Punctodera chalcoensis)</w:t>
      </w:r>
    </w:p>
    <w:p>
      <w:pPr>
        <w:spacing w:before="0" w:after="0"/>
        <w:ind w:left="120"/>
        <w:jc w:val="both"/>
      </w:pPr>
      <w:r>
        <w:rPr>
          <w:rFonts w:ascii="Times New Roman" w:hAnsi="Times New Roman"/>
          <w:b w:val="false"/>
          <w:i w:val="false"/>
          <w:color w:val="000000"/>
          <w:sz w:val="22"/>
        </w:rPr>
        <w:t xml:space="preserve">Head smut of corn </w:t>
      </w:r>
      <w:r>
        <w:rPr>
          <w:rFonts w:ascii="Times New Roman" w:hAnsi="Times New Roman"/>
          <w:b w:val="false"/>
          <w:i/>
          <w:color w:val="000000"/>
          <w:sz w:val="22"/>
        </w:rPr>
        <w:t>(Sphacelotheca reiliana)</w:t>
      </w:r>
    </w:p>
    <w:p>
      <w:pPr>
        <w:spacing w:before="0" w:after="0"/>
        <w:ind w:left="120"/>
        <w:jc w:val="both"/>
      </w:pPr>
      <w:r>
        <w:rPr>
          <w:rFonts w:ascii="Times New Roman" w:hAnsi="Times New Roman"/>
          <w:b w:val="false"/>
          <w:i w:val="false"/>
          <w:color w:val="000000"/>
          <w:sz w:val="22"/>
        </w:rPr>
        <w:t xml:space="preserve">Sudden oak death </w:t>
      </w:r>
      <w:r>
        <w:rPr>
          <w:rFonts w:ascii="Times New Roman" w:hAnsi="Times New Roman"/>
          <w:b w:val="false"/>
          <w:i/>
          <w:color w:val="000000"/>
          <w:sz w:val="22"/>
        </w:rPr>
        <w:t>(Phytophthora ramorum)</w:t>
      </w:r>
    </w:p>
    <w:p>
      <w:pPr>
        <w:spacing w:before="0" w:after="0"/>
        <w:ind w:left="120"/>
        <w:jc w:val="both"/>
      </w:pPr>
      <w:r>
        <w:rPr>
          <w:rFonts w:ascii="Times New Roman" w:hAnsi="Times New Roman"/>
          <w:b w:val="false"/>
          <w:i w:val="false"/>
          <w:color w:val="000000"/>
          <w:sz w:val="22"/>
        </w:rPr>
        <w:t xml:space="preserve">Thousand cankers disease of black walnut </w:t>
      </w:r>
      <w:r>
        <w:rPr>
          <w:rFonts w:ascii="Times New Roman" w:hAnsi="Times New Roman"/>
          <w:b w:val="false"/>
          <w:i/>
          <w:color w:val="000000"/>
          <w:sz w:val="22"/>
        </w:rPr>
        <w:t xml:space="preserve">(Geosmithia, </w:t>
      </w:r>
      <w:r>
        <w:rPr>
          <w:rFonts w:ascii="Times New Roman" w:hAnsi="Times New Roman"/>
          <w:b w:val="false"/>
          <w:i w:val="false"/>
          <w:color w:val="000000"/>
          <w:sz w:val="22"/>
        </w:rPr>
        <w:t>sp</w:t>
      </w:r>
      <w:r>
        <w:rPr>
          <w:rFonts w:ascii="Times New Roman" w:hAnsi="Times New Roman"/>
          <w:b w:val="false"/>
          <w:i/>
          <w:color w:val="000000"/>
          <w:sz w:val="22"/>
        </w:rPr>
        <w:t>.)</w:t>
      </w:r>
    </w:p>
    <w:p>
      <w:pPr>
        <w:spacing w:before="0" w:after="0"/>
        <w:ind w:left="120"/>
        <w:jc w:val="both"/>
      </w:pPr>
      <w:r>
        <w:rPr>
          <w:rFonts w:ascii="Times New Roman" w:hAnsi="Times New Roman"/>
          <w:b w:val="false"/>
          <w:i w:val="false"/>
          <w:color w:val="000000"/>
          <w:sz w:val="22"/>
        </w:rPr>
        <w:t xml:space="preserve">White potato cyst nematode </w:t>
      </w:r>
      <w:r>
        <w:rPr>
          <w:rFonts w:ascii="Times New Roman" w:hAnsi="Times New Roman"/>
          <w:b w:val="false"/>
          <w:i/>
          <w:color w:val="000000"/>
          <w:sz w:val="22"/>
        </w:rPr>
        <w:t>(Globodera pallida)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8293B</w:t>
      </w:r>
      <w:r>
        <w:rPr>
          <w:rFonts w:ascii="Times New Roman" w:hAnsi="Times New Roman"/>
          <w:b w:val="false"/>
          <w:i w:val="false"/>
          <w:color w:val="000000"/>
          <w:sz w:val="16"/>
        </w:rPr>
        <w:t>, IAB 11/18/09, effective 12/23/09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21—46.16</w:t>
      </w:r>
      <w:r>
        <w:rPr>
          <w:rFonts w:ascii="Times New Roman" w:hAnsi="Times New Roman"/>
          <w:b/>
          <w:i w:val="false"/>
          <w:color w:val="000000"/>
          <w:sz w:val="22"/>
        </w:rPr>
        <w:t xml:space="preserve">(177A) </w:t>
      </w:r>
      <w:r>
        <w:rPr>
          <w:rFonts w:ascii="Times New Roman" w:hAnsi="Times New Roman"/>
          <w:b/>
          <w:i w:val="false"/>
          <w:color w:val="000000"/>
          <w:sz w:val="22"/>
        </w:rPr>
        <w:t xml:space="preserve">Firewood labeling. </w:t>
      </w:r>
      <w:r>
        <w:rPr>
          <w:rFonts w:ascii="Times New Roman" w:hAnsi="Times New Roman"/>
          <w:b w:val="false"/>
          <w:i w:val="false"/>
          <w:color w:val="000000"/>
          <w:sz w:val="22"/>
        </w:rPr>
        <w:t>Every package of firewood offered for sale, sold or distributed must include the harvest location of the wood by county and state. The harvest location of wood sold in bulk must be included on the delivery ticket. These provisions apply to any length of tree that has been cut. A limited permit may be issued by the state entomologist, or a compliance agreement may specify the regulations which would allow the movement of the wood. The limited permit or compliance agreement is not transferable and may be revoked by the state entomologist for noncompliance or failure to comply with regulatory requirements.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9190B</w:t>
      </w:r>
      <w:r>
        <w:rPr>
          <w:rFonts w:ascii="Times New Roman" w:hAnsi="Times New Roman"/>
          <w:b w:val="false"/>
          <w:i w:val="false"/>
          <w:color w:val="000000"/>
          <w:sz w:val="16"/>
        </w:rPr>
        <w:t>, IAB 11/3/10, effective 1/1/11</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8">
        <w:r>
          <w:rPr>
            <w:rStyle w:val="Hyperlink"/>
            <w:rFonts w:ascii="Times New Roman" w:hAnsi="Times New Roman"/>
            <w:b w:val="false"/>
            <w:i w:val="false"/>
            <w:color w:val="000000"/>
            <w:sz w:val="22"/>
          </w:rPr>
          <w:t>177A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1/15/82, Notice 12/9/81—published 2/3/82, effective 3/10/82]</w:t>
      </w:r>
    </w:p>
    <w:p>
      <w:pPr>
        <w:spacing w:before="0" w:after="0"/>
        <w:ind w:left="120"/>
        <w:jc w:val="center"/>
      </w:pPr>
      <w:r>
        <w:rPr>
          <w:rFonts w:ascii="Times New Roman" w:hAnsi="Times New Roman"/>
          <w:b w:val="false"/>
          <w:i w:val="false"/>
          <w:color w:val="000000"/>
          <w:sz w:val="21"/>
        </w:rPr>
        <w:t>[Filed 1/13/84, Notice 12/7/83—published 2/1/84, effective 3/7/84]</w:t>
      </w:r>
    </w:p>
    <w:p>
      <w:pPr>
        <w:spacing w:before="0" w:after="0"/>
        <w:ind w:left="120"/>
        <w:jc w:val="center"/>
      </w:pPr>
      <w:r>
        <w:rPr>
          <w:rFonts w:ascii="Times New Roman" w:hAnsi="Times New Roman"/>
          <w:b w:val="false"/>
          <w:i w:val="false"/>
          <w:color w:val="000000"/>
          <w:sz w:val="21"/>
        </w:rPr>
        <w:t>[Filed emergency 7/8/88 after Notice 6/1/88—published 7/27/88, effective 7/8/88]</w:t>
      </w:r>
    </w:p>
    <w:p>
      <w:pPr>
        <w:spacing w:before="0" w:after="0"/>
        <w:ind w:left="120"/>
        <w:jc w:val="center"/>
      </w:pPr>
      <w:r>
        <w:rPr>
          <w:rFonts w:ascii="Times New Roman" w:hAnsi="Times New Roman"/>
          <w:b w:val="false"/>
          <w:i w:val="false"/>
          <w:color w:val="000000"/>
          <w:sz w:val="21"/>
        </w:rPr>
        <w:t>[Filed ARC 8293B</w:t>
      </w:r>
      <w:r>
        <w:rPr>
          <w:rFonts w:ascii="Times New Roman" w:hAnsi="Times New Roman"/>
          <w:b w:val="false"/>
          <w:i w:val="false"/>
          <w:color w:val="000000"/>
          <w:sz w:val="21"/>
        </w:rPr>
        <w:t xml:space="preserve"> (Notice ARC 8022B, IAB 7/29/09)</w:t>
      </w:r>
      <w:r>
        <w:rPr>
          <w:rFonts w:ascii="Times New Roman" w:hAnsi="Times New Roman"/>
          <w:b w:val="false"/>
          <w:i w:val="false"/>
          <w:color w:val="000000"/>
          <w:sz w:val="21"/>
        </w:rPr>
        <w:t>, IAB 11/18/09, effective 12/23/09]</w:t>
      </w:r>
    </w:p>
    <w:p>
      <w:pPr>
        <w:spacing w:before="0" w:after="0"/>
        <w:ind w:left="120"/>
        <w:jc w:val="center"/>
      </w:pPr>
      <w:r>
        <w:rPr>
          <w:rFonts w:ascii="Times New Roman" w:hAnsi="Times New Roman"/>
          <w:b w:val="false"/>
          <w:i w:val="false"/>
          <w:color w:val="000000"/>
          <w:sz w:val="21"/>
        </w:rPr>
        <w:t>[Filed ARC 9190B</w:t>
      </w:r>
      <w:r>
        <w:rPr>
          <w:rFonts w:ascii="Times New Roman" w:hAnsi="Times New Roman"/>
          <w:b w:val="false"/>
          <w:i w:val="false"/>
          <w:color w:val="000000"/>
          <w:sz w:val="21"/>
        </w:rPr>
        <w:t xml:space="preserve"> (Notice ARC 8911B, IAB 6/30/10)</w:t>
      </w:r>
      <w:r>
        <w:rPr>
          <w:rFonts w:ascii="Times New Roman" w:hAnsi="Times New Roman"/>
          <w:b w:val="false"/>
          <w:i w:val="false"/>
          <w:color w:val="000000"/>
          <w:sz w:val="21"/>
        </w:rPr>
        <w:t>, IAB 11/3/10, effective 1/1/11]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21.46.12.pdf" Type="http://schemas.openxmlformats.org/officeDocument/2006/relationships/hyperlink" Id="rId5"/>
    <Relationship TargetMode="External" Target="https://www.legis.iowa.gov/docs/ico/chapter/177A.9.pdf" Type="http://schemas.openxmlformats.org/officeDocument/2006/relationships/hyperlink" Id="rId6"/>
    <Relationship TargetMode="External" Target="https://www.legis.iowa.gov/docs/ico/chapter/177A.5.pdf" Type="http://schemas.openxmlformats.org/officeDocument/2006/relationships/hyperlink" Id="rId7"/>
    <Relationship TargetMode="External" Target="https://www.legis.iowa.gov/docs/ico/chapter/177A.pdf" Type="http://schemas.openxmlformats.org/officeDocument/2006/relationships/hyperlink"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