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PESTICIDES</w:t>
      </w:r>
    </w:p>
    <w:p>
      <w:pPr>
        <w:spacing w:before="0" w:after="0"/>
        <w:ind w:left="120"/>
        <w:jc w:val="center"/>
      </w:pPr>
      <w:r>
        <w:rPr>
          <w:rFonts w:ascii="Times New Roman" w:hAnsi="Times New Roman"/>
          <w:b w:val="false"/>
          <w:i w:val="false"/>
          <w:color w:val="000000"/>
          <w:sz w:val="14"/>
        </w:rPr>
        <w:t>[Appeared as Ch 9, 1973 IDR]</w:t>
      </w:r>
    </w:p>
    <w:p>
      <w:pPr>
        <w:spacing w:before="0" w:after="0"/>
        <w:ind w:left="120"/>
        <w:jc w:val="center"/>
      </w:pPr>
      <w:r>
        <w:rPr>
          <w:rFonts w:ascii="Times New Roman" w:hAnsi="Times New Roman"/>
          <w:b w:val="false"/>
          <w:i w:val="false"/>
          <w:color w:val="000000"/>
          <w:sz w:val="14"/>
        </w:rPr>
        <w:t>[Prior to 7/27/88 see Agriculture Department 30—Ch 10]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pBdr>
          <w:top w:space="10"/>
        </w:pBdr>
        <w:spacing w:before="0" w:after="0"/>
        <w:ind w:left="120"/>
        <w:jc w:val="center"/>
      </w:pPr>
      <w:r>
        <w:rPr>
          <w:rFonts w:ascii="Times New Roman" w:hAnsi="Times New Roman"/>
          <w:b w:val="false"/>
          <w:i w:val="false"/>
          <w:color w:val="000000"/>
          <w:sz w:val="16"/>
        </w:rPr>
        <w:t>DIVISION I</w:t>
      </w:r>
    </w:p>
    <w:p>
      <w:pPr>
        <w:spacing w:before="0" w:after="0"/>
        <w:ind w:left="120"/>
        <w:jc w:val="both"/>
      </w:pPr>
      <w:r>
        <w:rPr>
          <w:rFonts w:ascii="Times New Roman" w:hAnsi="Times New Roman"/>
          <w:b/>
          <w:i w:val="false"/>
          <w:color w:val="000000"/>
          <w:sz w:val="22"/>
        </w:rPr>
        <w:t>21—45.1</w:t>
      </w:r>
      <w:r>
        <w:rPr>
          <w:rFonts w:ascii="Times New Roman" w:hAnsi="Times New Roman"/>
          <w:b/>
          <w:i w:val="false"/>
          <w:color w:val="000000"/>
          <w:sz w:val="22"/>
        </w:rPr>
        <w:t xml:space="preserve">(206) </w:t>
      </w:r>
      <w:r>
        <w:rPr>
          <w:rFonts w:ascii="Times New Roman" w:hAnsi="Times New Roman"/>
          <w:b/>
          <w:i w:val="false"/>
          <w:color w:val="000000"/>
          <w:sz w:val="22"/>
        </w:rPr>
        <w:t xml:space="preserve">Definitions and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hereby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“Aerial applicator” </w:t>
      </w:r>
      <w:r>
        <w:rPr>
          <w:rFonts w:ascii="Times New Roman" w:hAnsi="Times New Roman"/>
          <w:b w:val="false"/>
          <w:i w:val="false"/>
          <w:color w:val="000000"/>
          <w:sz w:val="22"/>
        </w:rPr>
        <w:t xml:space="preserve">means a licensed commercial applicator, certified in category #11, Aerial Application, who applies pesticides by using aircraft in compliance with Federal Aviation Administration regulations under Title </w:t>
      </w:r>
      <w:r>
        <w:rPr>
          <w:rFonts w:ascii="Times New Roman" w:hAnsi="Times New Roman"/>
          <w:b w:val="false"/>
          <w:i w:val="false"/>
          <w:color w:val="000000"/>
          <w:sz w:val="22"/>
        </w:rPr>
        <w:t>14 CFR Part 137</w:t>
      </w:r>
      <w:r>
        <w:rPr>
          <w:rFonts w:ascii="Times New Roman" w:hAnsi="Times New Roman"/>
          <w:b w:val="false"/>
          <w:i w:val="false"/>
          <w:color w:val="000000"/>
          <w:sz w:val="22"/>
        </w:rPr>
        <w:t xml:space="preserve"> (1-1-08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“Aerial applicator consultant” </w:t>
      </w:r>
      <w:r>
        <w:rPr>
          <w:rFonts w:ascii="Times New Roman" w:hAnsi="Times New Roman"/>
          <w:b w:val="false"/>
          <w:i w:val="false"/>
          <w:color w:val="000000"/>
          <w:sz w:val="22"/>
        </w:rPr>
        <w:t>means a person who is a resident of Iowa and holds a valid applicator certification in category #11, Aerial Application, and either an Iowa commercial applicator license or pesticide dealer license, who coordinates the commercial application of pesticides by aerial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handler” </w:t>
      </w:r>
      <w:r>
        <w:rPr>
          <w:rFonts w:ascii="Times New Roman" w:hAnsi="Times New Roman"/>
          <w:b w:val="false"/>
          <w:i w:val="false"/>
          <w:color w:val="000000"/>
          <w:sz w:val="22"/>
        </w:rPr>
        <w:t>means a person employed by a licensed commercial applicator, noncommercial applicator, public applicator, or pesticide dealer who handles pesticides in other than unopened containers for the purposes of preparing, mixing or loading pesticides for application by another person, repackaging bulk pesticides or disposing of pesticide-related wastes from these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“Defoliant” </w:t>
      </w:r>
      <w:r>
        <w:rPr>
          <w:rFonts w:ascii="Times New Roman" w:hAnsi="Times New Roman"/>
          <w:b w:val="false"/>
          <w:i w:val="false"/>
          <w:color w:val="000000"/>
          <w:sz w:val="22"/>
        </w:rPr>
        <w:t>means any substance or mixture of substances intended for causing the leaves or foliage to drop from the plant with or without causing abscission.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“Desiccant” </w:t>
      </w:r>
      <w:r>
        <w:rPr>
          <w:rFonts w:ascii="Times New Roman" w:hAnsi="Times New Roman"/>
          <w:b w:val="false"/>
          <w:i w:val="false"/>
          <w:color w:val="000000"/>
          <w:sz w:val="22"/>
        </w:rPr>
        <w:t>means any substance or mixture of substances intended for artificially accelerating the drying of plant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“Fungi” </w:t>
      </w:r>
      <w:r>
        <w:rPr>
          <w:rFonts w:ascii="Times New Roman" w:hAnsi="Times New Roman"/>
          <w:b w:val="false"/>
          <w:i w:val="false"/>
          <w:color w:val="000000"/>
          <w:sz w:val="22"/>
        </w:rPr>
        <w:t>means all nonchlorophyll-bearing thallophytes, that is, all noncholorophyll-bearing plants of a lower order than mosses and liverworts, as for example, rusts, smuts, mildews, molds, yeasts and bacteria except those on or in living man or other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“Fungicide” </w:t>
      </w:r>
      <w:r>
        <w:rPr>
          <w:rFonts w:ascii="Times New Roman" w:hAnsi="Times New Roman"/>
          <w:b w:val="false"/>
          <w:i w:val="false"/>
          <w:color w:val="000000"/>
          <w:sz w:val="22"/>
        </w:rPr>
        <w:t>means any substance or mixture of substances intended for preventing, destroying, repelling or mitigating any fungi.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“Herbicide” </w:t>
      </w:r>
      <w:r>
        <w:rPr>
          <w:rFonts w:ascii="Times New Roman" w:hAnsi="Times New Roman"/>
          <w:b w:val="false"/>
          <w:i w:val="false"/>
          <w:color w:val="000000"/>
          <w:sz w:val="22"/>
        </w:rPr>
        <w:t>means any substance or mixture of substances intended for preventing, destroying, repelling or mitigating any weed or undesirable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member” </w:t>
      </w:r>
      <w:r>
        <w:rPr>
          <w:rFonts w:ascii="Times New Roman" w:hAnsi="Times New Roman"/>
          <w:b w:val="false"/>
          <w:i w:val="false"/>
          <w:color w:val="000000"/>
          <w:sz w:val="22"/>
        </w:rPr>
        <w:t>means a spouse, parents, stepparents, foster parents, father-in-law, mother-in-law, children, stepchildren, foster children, sons-in-law, daughters-in-law, grandparents, grandchildren, brothers, sisters, brothers-in-law, sisters-in-law, aunts, uncles, nieces, nephews, and first cousins. “First cousin” means the child of a parent’s sibling, i.e., the child of an aunt or uncle.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“Insect” </w:t>
      </w:r>
      <w:r>
        <w:rPr>
          <w:rFonts w:ascii="Times New Roman" w:hAnsi="Times New Roman"/>
          <w:b w:val="false"/>
          <w:i w:val="false"/>
          <w:color w:val="000000"/>
          <w:sz w:val="22"/>
        </w:rPr>
        <w:t>means any of the numerous small invertebrate animals generally having the body more or less obviously segmented, for the most part belonging to the class Insecta, comprising six-legged, usually winged forms, for example, beetles, bugs, bees, flies and to other allied classes of arthropods whose members are wingless and usually have more than six legs, for example, spiders, mites, ticks, centipedes and wood lice.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“Insecticide” </w:t>
      </w:r>
      <w:r>
        <w:rPr>
          <w:rFonts w:ascii="Times New Roman" w:hAnsi="Times New Roman"/>
          <w:b w:val="false"/>
          <w:i w:val="false"/>
          <w:color w:val="000000"/>
          <w:sz w:val="22"/>
        </w:rPr>
        <w:t>means any substance or mixture of substances intended for preventing, destroying, repelling or mitigating any insects and related forms that may be present in any environment whatsoever.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“Nematicide” </w:t>
      </w:r>
      <w:r>
        <w:rPr>
          <w:rFonts w:ascii="Times New Roman" w:hAnsi="Times New Roman"/>
          <w:b w:val="false"/>
          <w:i w:val="false"/>
          <w:color w:val="000000"/>
          <w:sz w:val="22"/>
        </w:rPr>
        <w:t>means any substance or mixture of substances intended for preventing, destroying, repelling or mitigating nematodes or subterranean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“Nematode” </w:t>
      </w:r>
      <w:r>
        <w:rPr>
          <w:rFonts w:ascii="Times New Roman" w:hAnsi="Times New Roman"/>
          <w:b w:val="false"/>
          <w:i w:val="false"/>
          <w:color w:val="000000"/>
          <w:sz w:val="22"/>
        </w:rPr>
        <w:t>means invertebrate animals of the phylum nemathelminthes and class nematoda, that is, unsegmented round worms with elongated, fusiform or saclike bodies covered with cuticle and inhabiting soil, water, plants or plant parts; may also be called nemas or eelworms.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“Noncertified applicator” </w:t>
      </w:r>
      <w:r>
        <w:rPr>
          <w:rFonts w:ascii="Times New Roman" w:hAnsi="Times New Roman"/>
          <w:b w:val="false"/>
          <w:i w:val="false"/>
          <w:color w:val="000000"/>
          <w:sz w:val="22"/>
        </w:rPr>
        <w:t>means a person who is not certified in accordance with this chapter to use restricted use pesticides in the category appropriate to the type of application being conducted, but who is using restricted use pesticides under the direct supervision of a person certified as a commercial, noncommercial, public, or private applicator, within the first 21 days of initial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“Nonchemical pest control device” </w:t>
      </w:r>
      <w:r>
        <w:rPr>
          <w:rFonts w:ascii="Times New Roman" w:hAnsi="Times New Roman"/>
          <w:b w:val="false"/>
          <w:i w:val="false"/>
          <w:color w:val="000000"/>
          <w:sz w:val="22"/>
        </w:rPr>
        <w:t>means any instrument or contrivance, other than a firearm or trap, intended or purported to be a primary pest control device or a pest control aid for repelling insects or rodents without the use of chemicals through utilization of electromagnetic, sound, ultrasonic, subsonic, cosmic, geotechnical or other similar wave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“Noncommercial applicator” </w:t>
      </w:r>
      <w:r>
        <w:rPr>
          <w:rFonts w:ascii="Times New Roman" w:hAnsi="Times New Roman"/>
          <w:b w:val="false"/>
          <w:i w:val="false"/>
          <w:color w:val="000000"/>
          <w:sz w:val="22"/>
        </w:rPr>
        <w:t>means any person who applies restricted use pesticides on lands or property owned, rented or leased by the applicator or the applicator’s employer. This definition shall not apply to private applicators using restricted use pesticides in the production of agricultural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of Iowa,” </w:t>
      </w:r>
      <w:r>
        <w:rPr>
          <w:rFonts w:ascii="Times New Roman" w:hAnsi="Times New Roman"/>
          <w:b w:val="false"/>
          <w:i w:val="false"/>
          <w:color w:val="000000"/>
          <w:sz w:val="22"/>
        </w:rPr>
        <w:t xml:space="preserve">for purposes of subrule </w:t>
      </w:r>
      <w:hyperlink r:id="rId5">
        <w:r>
          <w:rPr>
            <w:rStyle w:val="Hyperlink"/>
            <w:rFonts w:ascii="Times New Roman" w:hAnsi="Times New Roman"/>
            <w:b w:val="false"/>
            <w:i w:val="false"/>
            <w:color w:val="000000"/>
            <w:sz w:val="22"/>
          </w:rPr>
          <w:t>45.22(14)</w:t>
        </w:r>
      </w:hyperlink>
      <w:r>
        <w:rPr>
          <w:rFonts w:ascii="Times New Roman" w:hAnsi="Times New Roman"/>
          <w:b w:val="false"/>
          <w:i w:val="false"/>
          <w:color w:val="000000"/>
          <w:sz w:val="22"/>
        </w:rPr>
        <w:t>, means a person who meets the following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is an owner or employee of a corporation, association, partnership, company, or firm that maintains a physical place of business located within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Agricultural aircraft owned and operated by the person are registered with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“Rodent” </w:t>
      </w:r>
      <w:r>
        <w:rPr>
          <w:rFonts w:ascii="Times New Roman" w:hAnsi="Times New Roman"/>
          <w:b w:val="false"/>
          <w:i w:val="false"/>
          <w:color w:val="000000"/>
          <w:sz w:val="22"/>
        </w:rPr>
        <w:t>means any animal of the order Rodentia, including but not limited to rats, mice, rabbits, gophers, prairie dogs and squirrels.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“Rodenticide” </w:t>
      </w:r>
      <w:r>
        <w:rPr>
          <w:rFonts w:ascii="Times New Roman" w:hAnsi="Times New Roman"/>
          <w:b w:val="false"/>
          <w:i w:val="false"/>
          <w:color w:val="000000"/>
          <w:sz w:val="22"/>
        </w:rPr>
        <w:t>means any substance or mixture of substances intended for preventing, destroying, repelling or mitigating rodents or any other vertebrate animal that the secretary shall designate to be a pest.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“Sensitive crop registry” </w:t>
      </w:r>
      <w:r>
        <w:rPr>
          <w:rFonts w:ascii="Times New Roman" w:hAnsi="Times New Roman"/>
          <w:b w:val="false"/>
          <w:i w:val="false"/>
          <w:color w:val="000000"/>
          <w:sz w:val="22"/>
        </w:rPr>
        <w:t>means the sensitive crop registry designated by the department, which may include but is not limited to the FieldWatch™, Inc.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 of a pesticide contrary to its labeling” </w:t>
      </w:r>
      <w:r>
        <w:rPr>
          <w:rFonts w:ascii="Times New Roman" w:hAnsi="Times New Roman"/>
          <w:b w:val="false"/>
          <w:i w:val="false"/>
          <w:color w:val="000000"/>
          <w:sz w:val="22"/>
        </w:rPr>
        <w:t>means to use any registered pesticide in a manner not permitted by the labeling provided that the phrase shall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Applying a pesticide for agricultural or horticultural purposes only at any dosage, concentration or frequency less than that specified on the labeling.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Applying a pesticide for agricultural or horticultural purposes only against any target pest not specified on the labeling if the application is to the crop, animal or site specified on the labeling unless the labeling specifically states that the pesticide may be used only for the pests specified on the labeling.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Employing any method of application not prohibited by the labeling for agricultural or horticultural purposes only.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Mixing pesticides or mixing pesticide with a fertilizer when such mixture is not prohibited by the labeling for agricultural or horticultural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“Weed” </w:t>
      </w:r>
      <w:r>
        <w:rPr>
          <w:rFonts w:ascii="Times New Roman" w:hAnsi="Times New Roman"/>
          <w:b w:val="false"/>
          <w:i w:val="false"/>
          <w:color w:val="000000"/>
          <w:sz w:val="22"/>
        </w:rPr>
        <w:t>means any plant that grows where not wanted.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“Wood-destroying insect” </w:t>
      </w:r>
      <w:r>
        <w:rPr>
          <w:rFonts w:ascii="Times New Roman" w:hAnsi="Times New Roman"/>
          <w:b w:val="false"/>
          <w:i w:val="false"/>
          <w:color w:val="000000"/>
          <w:sz w:val="22"/>
        </w:rPr>
        <w:t>means subterranean termites, carpenter ants, and powderpost beetles.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val="false"/>
          <w:color w:val="000000"/>
          <w:sz w:val="22"/>
        </w:rPr>
        <w:t>Additional definitions and standards that are consistent and applicable to the Iowa pesticide Act shall be those established by the Association of American Pesticide Control Officials.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w:t>
      </w:r>
      <w:r>
        <w:rPr>
          <w:rFonts w:ascii="Times New Roman" w:hAnsi="Times New Roman"/>
          <w:b/>
          <w:i w:val="false"/>
          <w:color w:val="000000"/>
          <w:sz w:val="22"/>
        </w:rPr>
        <w:t xml:space="preserve">(206) </w:t>
      </w:r>
      <w:r>
        <w:rPr>
          <w:rFonts w:ascii="Times New Roman" w:hAnsi="Times New Roman"/>
          <w:b/>
          <w:i w:val="false"/>
          <w:color w:val="000000"/>
          <w:sz w:val="22"/>
        </w:rPr>
        <w:t xml:space="preserve">Methods of analysis. </w:t>
      </w:r>
      <w:r>
        <w:rPr>
          <w:rFonts w:ascii="Times New Roman" w:hAnsi="Times New Roman"/>
          <w:b w:val="false"/>
          <w:i w:val="false"/>
          <w:color w:val="000000"/>
          <w:sz w:val="22"/>
        </w:rPr>
        <w:t>The current methods of analysis of the Association of Official Analytical Chemists of North America shall be adopted as the official methods insofar as they are applicable, and such other methods shall be used as may be necessary to determine whether the product complies with the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w:t>
      </w:r>
      <w:r>
        <w:rPr>
          <w:rFonts w:ascii="Times New Roman" w:hAnsi="Times New Roman"/>
          <w:b/>
          <w:i w:val="false"/>
          <w:color w:val="000000"/>
          <w:sz w:val="22"/>
        </w:rPr>
        <w:t xml:space="preserve">(206)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No person shall distribute, give, sell or offer to sell any pesticide that has not been registered with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r>
        <w:rPr>
          <w:rFonts w:ascii="Times New Roman" w:hAnsi="Times New Roman"/>
          <w:b w:val="false"/>
          <w:i w:val="false"/>
          <w:color w:val="000000"/>
          <w:sz w:val="22"/>
        </w:rPr>
        <w:t xml:space="preserve">All pesticides distributed for sale in the state of Iowa shall be registered pursuant to Iowa Code section </w:t>
      </w:r>
      <w:hyperlink r:id="rId8">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 The registration period shall be January 1 through December 31 of each year. A registration fee shall be paid for each brand and grade of pesticide. Each registrant shall submit an application for registration on forms approved by the secretary of agriculture. The registration fee for each product shall be submitted with the application for registration. Application for new or initial registrations of pesticide products shall be accompanied by the minimum registration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minimum fee. </w:t>
      </w:r>
      <w:r>
        <w:rPr>
          <w:rFonts w:ascii="Times New Roman" w:hAnsi="Times New Roman"/>
          <w:b w:val="false"/>
          <w:i w:val="false"/>
          <w:color w:val="000000"/>
          <w:sz w:val="22"/>
        </w:rPr>
        <w:t>A manufacturer or registrant of a pesticide product may file a request for an exemption to the minimum product registration fee and the secretary may grant an exemption to the minimum registration fee for a period not to exceed one year provided that at least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for pesticide product renewal registration, the total annual sales in Iowa are less than $20,000, and no similar pesticides are registered in the state. A similar pesticide shall be of similar composition and labeled for a similar use pattern provided that the applicant submits a signed affidavit reflecting gross annual sales in Iowa of the pesticide produced for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pesticide product is formulated or comprised of naturally occurring substances, including but not limited to plant or animal derivatives or microorganisms, and has an oral LD50 toxicity of 5,000 milligrams per kilogram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Pesticides are registered under the authority of Section 18 of the Federal Insecticide, Fungicide, Rodenticide Act (FIFRA), as revised January 27, 2006, for emergency, crisis or public health quarantine situations, when the secretary of agriculture initiates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Pesticides are registered under the authority of Section 24(c) of FIFRA when the secretary of agriculture initiates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Penalty for nonregistered pesticides.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pesticide distributed in Iowa that is not registered in the state shall be subject to Stop Sale, Use or Removal Order. A penalty shall be assessed the registrant equal to 25 percent of the registration fee due to the department. Upon receipt of the required registration fee due and the required penalty, the pesticide product may be released for sale in Iowa for the effective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registrant shall not be subject to penalties for nonregistered discontinued pesticide products if adequate proof can be provided to the department indicating that all distributors and retailers handling a discontinued pesticide product were properly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45.3(4)</w:t>
      </w:r>
      <w:r>
        <w:rPr>
          <w:rFonts w:ascii="Times New Roman" w:hAnsi="Times New Roman"/>
          <w:b w:val="false"/>
          <w:i w:val="false"/>
          <w:color w:val="000000"/>
          <w:sz w:val="22"/>
        </w:rPr>
        <w:t> </w:t>
      </w:r>
      <w:r>
        <w:rPr>
          <w:rFonts w:ascii="Times New Roman" w:hAnsi="Times New Roman"/>
          <w:b w:val="false"/>
          <w:i/>
          <w:color w:val="000000"/>
          <w:sz w:val="22"/>
        </w:rPr>
        <w:t xml:space="preserve">Discontinued pesticides. </w:t>
      </w:r>
      <w:r>
        <w:rPr>
          <w:rFonts w:ascii="Times New Roman" w:hAnsi="Times New Roman"/>
          <w:b w:val="false"/>
          <w:i w:val="false"/>
          <w:color w:val="000000"/>
          <w:sz w:val="22"/>
        </w:rPr>
        <w:t>Discontinued pesticide product registrations shall be renewed for a minimum of two years after the product is discontinued; and the pesticide product registration renewal application shall identify discontinued products. Any registrant that discontinues registration of a pesticide product shall accept the return of any product in its original unbroken container that remains in the channels of trade after the registration expires. This subrule shall not apply to registered custom blended pesticide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45.3(5)</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grace period. </w:t>
      </w:r>
      <w:r>
        <w:rPr>
          <w:rFonts w:ascii="Times New Roman" w:hAnsi="Times New Roman"/>
          <w:b w:val="false"/>
          <w:i w:val="false"/>
          <w:color w:val="000000"/>
          <w:sz w:val="22"/>
        </w:rPr>
        <w:t>The registration period shall be January 1 through December 31 of each year. However, a registrant shall be granted a grace period of three months ending on the last day of March of each year for registration renewal. A registrant shall be assessed a late fee equaling 25 percent of the registration fees due by the registrant for a registration renewal received on or after the first day of April of each year. Application for registration renewal shall be made on forms prescribed by the secretary and certified by the registrant.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21—45.4</w:t>
      </w:r>
      <w:r>
        <w:rPr>
          <w:rFonts w:ascii="Times New Roman" w:hAnsi="Times New Roman"/>
          <w:b/>
          <w:i w:val="false"/>
          <w:color w:val="000000"/>
          <w:sz w:val="22"/>
        </w:rPr>
        <w:t xml:space="preserve">(206) </w:t>
      </w:r>
      <w:r>
        <w:rPr>
          <w:rFonts w:ascii="Times New Roman" w:hAnsi="Times New Roman"/>
          <w:b/>
          <w:i w:val="false"/>
          <w:color w:val="000000"/>
          <w:sz w:val="22"/>
        </w:rPr>
        <w:t xml:space="preserve">Registration of products. </w:t>
      </w:r>
      <w:r>
        <w:rPr>
          <w:rFonts w:ascii="Times New Roman" w:hAnsi="Times New Roman"/>
          <w:b w:val="false"/>
          <w:i w:val="false"/>
          <w:color w:val="000000"/>
          <w:sz w:val="22"/>
        </w:rPr>
        <w:t xml:space="preserve">One exact copy of the labeling of each proposed product shall be submitted with the application. Also, there shall be submitted an ingredient statement, which shall comply with the provisions of rule </w:t>
      </w:r>
      <w:hyperlink r:id="rId10">
        <w:r>
          <w:rPr>
            <w:rStyle w:val="Hyperlink"/>
            <w:rFonts w:ascii="Times New Roman" w:hAnsi="Times New Roman"/>
            <w:b w:val="false"/>
            <w:i w:val="false"/>
            <w:color w:val="000000"/>
            <w:sz w:val="22"/>
          </w:rPr>
          <w:t>21—45.13(206)</w:t>
        </w:r>
      </w:hyperlink>
      <w:r>
        <w:rPr>
          <w:rFonts w:ascii="Times New Roman" w:hAnsi="Times New Roman"/>
          <w:b w:val="false"/>
          <w:i w:val="false"/>
          <w:color w:val="000000"/>
          <w:sz w:val="22"/>
        </w:rPr>
        <w:t>, the proposed directions for use of the product, and a list of the specific pests that the product to be sold is intended to control, if such information is not contained in the labeling. Other pertinent information concerning ingredients and physical properties of the product shall also be included on request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21—45.5</w:t>
      </w:r>
      <w:r>
        <w:rPr>
          <w:rFonts w:ascii="Times New Roman" w:hAnsi="Times New Roman"/>
          <w:b/>
          <w:i w:val="false"/>
          <w:color w:val="000000"/>
          <w:sz w:val="22"/>
        </w:rPr>
        <w:t xml:space="preserve">(206) </w:t>
      </w:r>
      <w:r>
        <w:rPr>
          <w:rFonts w:ascii="Times New Roman" w:hAnsi="Times New Roman"/>
          <w:b/>
          <w:i w:val="false"/>
          <w:color w:val="000000"/>
          <w:sz w:val="22"/>
        </w:rPr>
        <w:t xml:space="preserve">Registration, general application of. </w:t>
      </w:r>
      <w:r>
        <w:rPr>
          <w:rFonts w:ascii="Times New Roman" w:hAnsi="Times New Roman"/>
          <w:b w:val="false"/>
          <w:i w:val="false"/>
          <w:color w:val="000000"/>
          <w:sz w:val="22"/>
        </w:rPr>
        <w:t>A registration of a pesticide is held to apply to the product even though manufactured at or shipped from other than the registered address. When a product has been registered by a manufacturer or jobber, no registration shall be required of other sellers of the product so registered, provided shipments or deliveries thereof are in the manufacturer’s or registrant’s original unopened and properly labeled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21—45.6</w:t>
      </w:r>
      <w:r>
        <w:rPr>
          <w:rFonts w:ascii="Times New Roman" w:hAnsi="Times New Roman"/>
          <w:b/>
          <w:i w:val="false"/>
          <w:color w:val="000000"/>
          <w:sz w:val="22"/>
        </w:rPr>
        <w:t xml:space="preserve">(206) </w:t>
      </w:r>
      <w:r>
        <w:rPr>
          <w:rFonts w:ascii="Times New Roman" w:hAnsi="Times New Roman"/>
          <w:b/>
          <w:i w:val="false"/>
          <w:color w:val="000000"/>
          <w:sz w:val="22"/>
        </w:rPr>
        <w:t xml:space="preserve">Revocation, suspension or denial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val="false"/>
          <w:color w:val="000000"/>
          <w:sz w:val="22"/>
        </w:rPr>
        <w:t>Any of the following causes is sufficient to justify revocation or suspension of registration or denial of application of renewal of an expired/expiring registration of a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labeling bears any statement, design or graphic representation relative thereto, or to its ingredients, that is false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product is found to be an imitation of, or illegally offered for sale under the name of another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labeling bears reference to Iowa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labeling accompanying the pesticide does not contain directions for use that are necessary and, if complied with, adequate for the protection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label does not contain a warning or caution statement that may be necessary and, if complied with, adequate to prevent injury to humans and other vertebrate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label does not bear an ingredient statement on that part of the immediate container and on the outside container or wrapper, if there be one, through which the ingredient statement on the immediate container cannot be clearly read under customary conditions of purchase. Provided, however, the secretary may permit the ingredient statement to appear prominently on some other part of the container, if the size or form of the container makes it impracticable to place it on the part of the retail package that is displayed;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any word, statement or other information required to appear on the label or labeling is omitted or not prominently placed thereon and in such terms as to render it unlikely to be read and understood under customary conditions of purchase 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an insecticide, nematicide, antibiotic, bactericide, fungicide or herbicide is found to be injurious to humans or other useful vertebrate animals or to vegetation (except weeds), to which it is applied or to the person applying such pesticide when used as directed or in accordance with commonly recognized safe practice; or if a plant regulator, defoliant or desiccant when used as directed is found to be injurious to humans or other vertebrate animals or vegetation to which it is applied, or to the person applying such pesticide; provided, however, that physical or physiological effect on plants or parts thereof shall not be deemed to be injurious, when this is the purpose for which the plant regulator, defoliant or desiccant was applied in accordance with label claims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pesticide is misbranded;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registrant has been guilty of fraudulent and deceptive practices in the evasion or attempted evasion of the Iowa pesticide Act or any rules promulgated thereunder; provided, however, that no registration shall be revoked until the registrant shall have been given an opportunity for a hearing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Special local need registrations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registration of pesticides pursuant to Section 24(c) of FIFRA as amended by Public Law 92-516 October 21, 1972, Public Law 94-140 November 28, 1975, and Public Law 95-396 September 30, 1978, or any special use permit issued pursuant to revisions of FIFRA as amended by Public Law 92-516 October 21, 1972, Public Law 94-140 November 28, 1975, and Public Law 95-396 September 30, 1978, or the Pesticide Control Act, Iowa Code chapter </w:t>
      </w:r>
      <w:hyperlink r:id="rId11">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may be denied, amended or revoked when the secretary has made a determination as follows: that such action is necessary to prevent unreasonable adverse effects to humans or the environment, taking into account the economic, social and environmental costs and benefits of the use of any pesticide; or that special local need that necessitated the registration or permit no longer exists. Expiration of 24(c) registrations and all special use permits shall be governed by Iowa Code section </w:t>
      </w:r>
      <w:hyperlink r:id="rId12">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local need” means a pest problem (existing or likely to occur within a state) that cannot be effectively controlled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pesticide product registered by EPA for such 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EPA-registered pesticide product that, under the conditions of use within the state, would be as safe or as efficacious for such use within the terms and conditions of EPA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appropriate EPA-registered pesticide product is not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206.9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206.11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 along with the cooperative enforcement program entered into between the state of Iowa and EPA pursuant to Section 24(c) of FIFRA amended as of September 30, 1978.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21—45.7</w:t>
      </w:r>
      <w:r>
        <w:rPr>
          <w:rFonts w:ascii="Times New Roman" w:hAnsi="Times New Roman"/>
          <w:b/>
          <w:i w:val="false"/>
          <w:color w:val="000000"/>
          <w:sz w:val="22"/>
        </w:rPr>
        <w:t xml:space="preserve">(206) </w:t>
      </w:r>
      <w:r>
        <w:rPr>
          <w:rFonts w:ascii="Times New Roman" w:hAnsi="Times New Roman"/>
          <w:b/>
          <w:i w:val="false"/>
          <w:color w:val="000000"/>
          <w:sz w:val="22"/>
        </w:rPr>
        <w:t xml:space="preserve">Changes in labeling or ingredient statement. </w:t>
      </w:r>
      <w:r>
        <w:rPr>
          <w:rFonts w:ascii="Times New Roman" w:hAnsi="Times New Roman"/>
          <w:b w:val="false"/>
          <w:i w:val="false"/>
          <w:color w:val="000000"/>
          <w:sz w:val="22"/>
        </w:rPr>
        <w:t>Changes in the labeling or ingredient statement in registered pesticides shall be submitted in advance to the secretary for approval. The registrant must describe the exact change desired and proposed effective date and such other pertinent information that justify such change. After the effective date of a change in labeling or ingredient statement, the product shall be marketed only under the new claims or ingredient statement, except that a reasonable time may be allowed by the secretary for disposal of properly labeled stocks of the old product. Changes in the composition shall not be allowed if such changes would result in a lowering of the product’s value as a pesticide.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21—45.8</w:t>
      </w:r>
      <w:r>
        <w:rPr>
          <w:rFonts w:ascii="Times New Roman" w:hAnsi="Times New Roman"/>
          <w:b/>
          <w:i w:val="false"/>
          <w:color w:val="000000"/>
          <w:sz w:val="22"/>
        </w:rPr>
        <w:t xml:space="preserve">(206) </w:t>
      </w:r>
      <w:r>
        <w:rPr>
          <w:rFonts w:ascii="Times New Roman" w:hAnsi="Times New Roman"/>
          <w:b/>
          <w:i w:val="false"/>
          <w:color w:val="000000"/>
          <w:sz w:val="22"/>
        </w:rPr>
        <w:t xml:space="preserve">Label requirements. </w:t>
      </w:r>
      <w:r>
        <w:rPr>
          <w:rFonts w:ascii="Times New Roman" w:hAnsi="Times New Roman"/>
          <w:b w:val="false"/>
          <w:i w:val="false"/>
          <w:color w:val="000000"/>
          <w:sz w:val="22"/>
        </w:rPr>
        <w:t>Each package of pesticide sold separately shall bear a complete label. The label shall contain the name, brand or trademark of the product; name and address of the manufacturer, registrant or person for whom manufactured; directions for use that are necessary and if complied with, adequate for protection of the public; statement of net content in terms of weight or measure in general use; and an ingredient statement. The label of every pesticide, if necessary to prevent injury to humans, other animals and useful vegetation, must contain a warning or caution statement, in nontechnical language based on the hazard involved in the use of the pesticide. In addition, any pesticide highly toxic to humans shall be labeled with a skull and crossbones and with the word “poison” prominently in red on a background of distinctly contrasting color; the first-aid antidote for the poison shall be given and instructions for safe disposal of containers.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Products subject to deterioration may bear on their label a statement such as “not to be sold or used after....date....” The use of such a statement, however, in no way relieves the manufacturer of the responsibility for label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21—45.9</w:t>
      </w:r>
      <w:r>
        <w:rPr>
          <w:rFonts w:ascii="Times New Roman" w:hAnsi="Times New Roman"/>
          <w:b/>
          <w:i w:val="false"/>
          <w:color w:val="000000"/>
          <w:sz w:val="22"/>
        </w:rPr>
        <w:t xml:space="preserve">(206) </w:t>
      </w:r>
      <w:r>
        <w:rPr>
          <w:rFonts w:ascii="Times New Roman" w:hAnsi="Times New Roman"/>
          <w:b/>
          <w:i w:val="false"/>
          <w:color w:val="000000"/>
          <w:sz w:val="22"/>
        </w:rPr>
        <w:t xml:space="preserve">Directions for use—when necessary. </w:t>
      </w:r>
      <w:r>
        <w:rPr>
          <w:rFonts w:ascii="Times New Roman" w:hAnsi="Times New Roman"/>
          <w:b w:val="false"/>
          <w:i w:val="false"/>
          <w:color w:val="000000"/>
          <w:sz w:val="22"/>
        </w:rPr>
        <w:t>Directions for use are required whenever they are necessary for the protection of the public. The public includes not only users of pesticides but also those who handle them or may be affected by their use, handling, or storage. Directions for use are considered necessary in the case of most small retail containers that go into the hands of users, and in the case of larger containers with the following exception: directions may be omitted if the pesticide is to be used by manufacturers in their regular manufacturing processes, provided the label clearly shows that the product is intended for use only in manufacturing processes and bears an ingredient statement giving the name and percentage of each of the active ingredients.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21—45.10</w:t>
      </w:r>
      <w:r>
        <w:rPr>
          <w:rFonts w:ascii="Times New Roman" w:hAnsi="Times New Roman"/>
          <w:b/>
          <w:i w:val="false"/>
          <w:color w:val="000000"/>
          <w:sz w:val="22"/>
        </w:rPr>
        <w:t xml:space="preserve">(206) </w:t>
      </w:r>
      <w:r>
        <w:rPr>
          <w:rFonts w:ascii="Times New Roman" w:hAnsi="Times New Roman"/>
          <w:b/>
          <w:i w:val="false"/>
          <w:color w:val="000000"/>
          <w:sz w:val="22"/>
        </w:rPr>
        <w:t xml:space="preserve">Other claims. </w:t>
      </w:r>
      <w:r>
        <w:rPr>
          <w:rFonts w:ascii="Times New Roman" w:hAnsi="Times New Roman"/>
          <w:b w:val="false"/>
          <w:i w:val="false"/>
          <w:color w:val="000000"/>
          <w:sz w:val="22"/>
        </w:rPr>
        <w:t>No claim shall be made for products in any written, printed or graphic matter accompanying the product at any time that differ in substance from written representations made in connection with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21—45.11</w:t>
      </w:r>
      <w:r>
        <w:rPr>
          <w:rFonts w:ascii="Times New Roman" w:hAnsi="Times New Roman"/>
          <w:b/>
          <w:i w:val="false"/>
          <w:color w:val="000000"/>
          <w:sz w:val="22"/>
        </w:rPr>
        <w:t xml:space="preserve">(206) </w:t>
      </w:r>
      <w:r>
        <w:rPr>
          <w:rFonts w:ascii="Times New Roman" w:hAnsi="Times New Roman"/>
          <w:b/>
          <w:i w:val="false"/>
          <w:color w:val="000000"/>
          <w:sz w:val="22"/>
        </w:rPr>
        <w:t xml:space="preserve">Name of product. </w:t>
      </w:r>
      <w:r>
        <w:rPr>
          <w:rFonts w:ascii="Times New Roman" w:hAnsi="Times New Roman"/>
          <w:b w:val="false"/>
          <w:i w:val="false"/>
          <w:color w:val="000000"/>
          <w:sz w:val="22"/>
        </w:rPr>
        <w:t>The name of the product shall appear on the labeling so as not to emphasize any one ingredient or otherwise be misleading. It shall not be arranged on the label in such a manner as to be confused with other terms, trade names or legends.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21—45.12</w:t>
      </w:r>
      <w:r>
        <w:rPr>
          <w:rFonts w:ascii="Times New Roman" w:hAnsi="Times New Roman"/>
          <w:b/>
          <w:i w:val="false"/>
          <w:color w:val="000000"/>
          <w:sz w:val="22"/>
        </w:rPr>
        <w:t xml:space="preserve">(206) </w:t>
      </w:r>
      <w:r>
        <w:rPr>
          <w:rFonts w:ascii="Times New Roman" w:hAnsi="Times New Roman"/>
          <w:b/>
          <w:i w:val="false"/>
          <w:color w:val="000000"/>
          <w:sz w:val="22"/>
        </w:rPr>
        <w:t xml:space="preserve">Brand names, duplication of, or infringement on. </w:t>
      </w:r>
      <w:r>
        <w:rPr>
          <w:rFonts w:ascii="Times New Roman" w:hAnsi="Times New Roman"/>
          <w:b w:val="false"/>
          <w:i w:val="false"/>
          <w:color w:val="000000"/>
          <w:sz w:val="22"/>
        </w:rPr>
        <w:t>A brand name is distinctive with reference to the material to which it applies and the registration of a pesticide under the same brand name by two or more manufacturers or shippers should be denied or refused. This principle applies also to the registration of brand names so similar in character as to be likely to be confused by the purchaser. In the event the same name or a closely similar one is offered by another manufacturer, the secretary may decline the said name a second time for registration unless required to do so by an order of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21—45.13</w:t>
      </w:r>
      <w:r>
        <w:rPr>
          <w:rFonts w:ascii="Times New Roman" w:hAnsi="Times New Roman"/>
          <w:b/>
          <w:i w:val="false"/>
          <w:color w:val="000000"/>
          <w:sz w:val="22"/>
        </w:rPr>
        <w:t xml:space="preserve">(206) </w:t>
      </w:r>
      <w:r>
        <w:rPr>
          <w:rFonts w:ascii="Times New Roman" w:hAnsi="Times New Roman"/>
          <w:b/>
          <w:i w:val="false"/>
          <w:color w:val="000000"/>
          <w:sz w:val="22"/>
        </w:rPr>
        <w:t xml:space="preserve">Ingredient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color w:val="000000"/>
          <w:sz w:val="22"/>
        </w:rPr>
        <w:t xml:space="preserve">Location of ingredient statement. </w:t>
      </w:r>
      <w:r>
        <w:rPr>
          <w:rFonts w:ascii="Times New Roman" w:hAnsi="Times New Roman"/>
          <w:b w:val="false"/>
          <w:i w:val="false"/>
          <w:color w:val="000000"/>
          <w:sz w:val="22"/>
        </w:rPr>
        <w:t>The ingredient statement must appear on that part of the label displayed under customary conditions of purchase except in cases where the secretary determines that, due to the size or form of the container, a statement on that portion of the label is impractical, and permits such statement to appear on another side or panel of the label. When so permitted, the ingredient statement must be in larger type and more prominent than would otherwise be possible. The ingredient statement must run parallel with other printed matter on the panel of the label on which it appears and must be on a clear contrasting background not obscured or crowded.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color w:val="000000"/>
          <w:sz w:val="22"/>
        </w:rPr>
        <w:t xml:space="preserve">Names of ingredients. </w:t>
      </w:r>
      <w:r>
        <w:rPr>
          <w:rFonts w:ascii="Times New Roman" w:hAnsi="Times New Roman"/>
          <w:b w:val="false"/>
          <w:i w:val="false"/>
          <w:color w:val="000000"/>
          <w:sz w:val="22"/>
        </w:rPr>
        <w:t>The well-known common name of the ingredient must be given or, if the ingredient has no common name, the correct chemical name. If there is no common name and the chemical composition is unknown or complex, the secretary may permit the use of a new or coined name that the secretary finds to be appropriate for the information and protection of the user. If the use of a new or coined name is permitted, the secretary may prescribe the terms under which it may be used. A trademark or trade name cannot be used as the name of an ingredient except when it has become a common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45.13(3)</w:t>
      </w:r>
      <w:r>
        <w:rPr>
          <w:rFonts w:ascii="Times New Roman" w:hAnsi="Times New Roman"/>
          <w:b w:val="false"/>
          <w:i w:val="false"/>
          <w:color w:val="000000"/>
          <w:sz w:val="22"/>
        </w:rPr>
        <w:t> </w:t>
      </w:r>
      <w:r>
        <w:rPr>
          <w:rFonts w:ascii="Times New Roman" w:hAnsi="Times New Roman"/>
          <w:b w:val="false"/>
          <w:i/>
          <w:color w:val="000000"/>
          <w:sz w:val="22"/>
        </w:rPr>
        <w:t xml:space="preserve">Percentages of ingredients. </w:t>
      </w:r>
      <w:r>
        <w:rPr>
          <w:rFonts w:ascii="Times New Roman" w:hAnsi="Times New Roman"/>
          <w:b w:val="false"/>
          <w:i w:val="false"/>
          <w:color w:val="000000"/>
          <w:sz w:val="22"/>
        </w:rPr>
        <w:t>Percentages of ingredients shall be determined by weight and the sum of the percentages of the ingredients shall be one hundred. Sliding scale forms of ingredient statements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45.13(4)</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ingredients.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ingredients and inert ingredients shall be so designated, and the term “inert ingredient” shall appear in the same size type and be equally as prominent as the term “active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name but not the percentage of each active ingredient is given, the names of the active and inert ingredients shall respectively be shown in the descending order of the percentage of each present in each classification and the name of each ingredient shall be given equal prominence.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45.13(5)</w:t>
      </w:r>
      <w:r>
        <w:rPr>
          <w:rFonts w:ascii="Times New Roman" w:hAnsi="Times New Roman"/>
          <w:b w:val="false"/>
          <w:i w:val="false"/>
          <w:color w:val="000000"/>
          <w:sz w:val="22"/>
        </w:rPr>
        <w:t> </w:t>
      </w:r>
      <w:r>
        <w:rPr>
          <w:rFonts w:ascii="Times New Roman" w:hAnsi="Times New Roman"/>
          <w:b w:val="false"/>
          <w:i/>
          <w:color w:val="000000"/>
          <w:sz w:val="22"/>
        </w:rPr>
        <w:t xml:space="preserve">Active ingredient content. </w:t>
      </w:r>
      <w:r>
        <w:rPr>
          <w:rFonts w:ascii="Times New Roman" w:hAnsi="Times New Roman"/>
          <w:b w:val="false"/>
          <w:i w:val="false"/>
          <w:color w:val="000000"/>
          <w:sz w:val="22"/>
        </w:rPr>
        <w:t>As long as a pesticide is subject to the Act, the percentages of active ingredients declared in the ingredient statement shall be the percentages of such ingredients in the pesticide.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21—45.14</w:t>
      </w:r>
      <w:r>
        <w:rPr>
          <w:rFonts w:ascii="Times New Roman" w:hAnsi="Times New Roman"/>
          <w:b/>
          <w:i w:val="false"/>
          <w:color w:val="000000"/>
          <w:sz w:val="22"/>
        </w:rPr>
        <w:t xml:space="preserve">(206) </w:t>
      </w:r>
      <w:r>
        <w:rPr>
          <w:rFonts w:ascii="Times New Roman" w:hAnsi="Times New Roman"/>
          <w:b/>
          <w:i w:val="false"/>
          <w:color w:val="000000"/>
          <w:sz w:val="22"/>
        </w:rPr>
        <w:t xml:space="preserve">Net contents. </w:t>
      </w:r>
      <w:r>
        <w:rPr>
          <w:rFonts w:ascii="Times New Roman" w:hAnsi="Times New Roman"/>
          <w:b w:val="false"/>
          <w:i w:val="false"/>
          <w:color w:val="000000"/>
          <w:sz w:val="22"/>
        </w:rPr>
        <w:t>Each package of pesticide shall show the net weight or measure of content, either stenciled or printed on the package or container, or on a tag attached thereto. Indefinite statements of content such as “. . . oz. when packed” shall not be used. Statements of liquid measure, or of specific gravity or density of liquid preparations, or expression of composition in terms of pounds per gallon shall be made on the basis of 68°F (20°C) except when other basis has been established through trade custom.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21—45.15</w:t>
      </w:r>
      <w:r>
        <w:rPr>
          <w:rFonts w:ascii="Times New Roman" w:hAnsi="Times New Roman"/>
          <w:b/>
          <w:i w:val="false"/>
          <w:color w:val="000000"/>
          <w:sz w:val="22"/>
        </w:rPr>
        <w:t xml:space="preserve">(206) </w:t>
      </w:r>
      <w:r>
        <w:rPr>
          <w:rFonts w:ascii="Times New Roman" w:hAnsi="Times New Roman"/>
          <w:b/>
          <w:i w:val="false"/>
          <w:color w:val="000000"/>
          <w:sz w:val="22"/>
        </w:rPr>
        <w:t xml:space="preserve">Coloration of highly toxic materials. </w:t>
      </w:r>
      <w:r>
        <w:rPr>
          <w:rFonts w:ascii="Times New Roman" w:hAnsi="Times New Roman"/>
          <w:b w:val="false"/>
          <w:i w:val="false"/>
          <w:color w:val="000000"/>
          <w:sz w:val="22"/>
        </w:rPr>
        <w:t>The white powder pesticides hereinafter named shall be colored or discolored in accordance with this rule. Provided, however, that any such white powder pesticide that is intended solely for use by a textile manufacturer or commercial laundry, cleaner or dyer as a moth-proofing agent, that would not be suitable for such use if colored and that will not come into the hands of the public except when incorporated into a fabric, shall not be required to be so colored or discolored in accordance with this rule. The hues, values and chromas specified are those contained in the appropriate publication of the Munsell Color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45.15(1)</w:t>
      </w:r>
      <w:r>
        <w:rPr>
          <w:rFonts w:ascii="Times New Roman" w:hAnsi="Times New Roman"/>
          <w:b w:val="false"/>
          <w:i w:val="false"/>
          <w:color w:val="000000"/>
          <w:sz w:val="22"/>
        </w:rPr>
        <w:t> </w:t>
      </w:r>
      <w:r>
        <w:rPr>
          <w:rFonts w:ascii="Times New Roman" w:hAnsi="Times New Roman"/>
          <w:b w:val="false"/>
          <w:i w:val="false"/>
          <w:color w:val="000000"/>
          <w:sz w:val="22"/>
        </w:rPr>
        <w:t>The coloring agent must produce a uniformly colored product not subject to change in color beyond the minimum requirements during ordinary conditions of marketing and storage and must not cause the product to become less effective or cause damage when used as directed or in accordance with commonly recognized safe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45.15(2)</w:t>
      </w:r>
      <w:r>
        <w:rPr>
          <w:rFonts w:ascii="Times New Roman" w:hAnsi="Times New Roman"/>
          <w:b w:val="false"/>
          <w:i w:val="false"/>
          <w:color w:val="000000"/>
          <w:sz w:val="22"/>
        </w:rPr>
        <w:t> </w:t>
      </w:r>
      <w:r>
        <w:rPr>
          <w:rFonts w:ascii="Times New Roman" w:hAnsi="Times New Roman"/>
          <w:b w:val="false"/>
          <w:i w:val="false"/>
          <w:color w:val="000000"/>
          <w:sz w:val="22"/>
        </w:rPr>
        <w:t>Standard lead arsenate, basic lead arsenate, calcium arsenate, magnesium arsenate, zinc arsenate, zinc arsenite and barium fluosilicate shall be colored any hue, except the yellow-reds and yellows, having a value of not more than eight or a chroma of not less than four or shall be discolored to a neutral lightness value not over seven.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45.15(3)</w:t>
      </w:r>
      <w:r>
        <w:rPr>
          <w:rFonts w:ascii="Times New Roman" w:hAnsi="Times New Roman"/>
          <w:b w:val="false"/>
          <w:i w:val="false"/>
          <w:color w:val="000000"/>
          <w:sz w:val="22"/>
        </w:rPr>
        <w:t> </w:t>
      </w:r>
      <w:r>
        <w:rPr>
          <w:rFonts w:ascii="Times New Roman" w:hAnsi="Times New Roman"/>
          <w:b w:val="false"/>
          <w:i w:val="false"/>
          <w:color w:val="000000"/>
          <w:sz w:val="22"/>
        </w:rPr>
        <w:t>Sodium fluoride and sodium fluosilicate shall be colored blue or green having a value of not more than eight and a chroma of not less than four or shall be discolored to a neutral lightness value not over seven.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45.15(4)</w:t>
      </w:r>
      <w:r>
        <w:rPr>
          <w:rFonts w:ascii="Times New Roman" w:hAnsi="Times New Roman"/>
          <w:b w:val="false"/>
          <w:i w:val="false"/>
          <w:color w:val="000000"/>
          <w:sz w:val="22"/>
        </w:rPr>
        <w:t> </w:t>
      </w:r>
      <w:r>
        <w:rPr>
          <w:rFonts w:ascii="Times New Roman" w:hAnsi="Times New Roman"/>
          <w:b w:val="false"/>
          <w:i w:val="false"/>
          <w:color w:val="000000"/>
          <w:sz w:val="22"/>
        </w:rPr>
        <w:t>Other white powder pesticides may be required to be colored or discolored after investigation and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45.15(5)</w:t>
      </w:r>
      <w:r>
        <w:rPr>
          <w:rFonts w:ascii="Times New Roman" w:hAnsi="Times New Roman"/>
          <w:b w:val="false"/>
          <w:i w:val="false"/>
          <w:color w:val="000000"/>
          <w:sz w:val="22"/>
        </w:rPr>
        <w:t> </w:t>
      </w:r>
      <w:r>
        <w:rPr>
          <w:rFonts w:ascii="Times New Roman" w:hAnsi="Times New Roman"/>
          <w:b w:val="false"/>
          <w:i w:val="false"/>
          <w:color w:val="000000"/>
          <w:sz w:val="22"/>
        </w:rPr>
        <w:t>The secretary may permit other hues to be used for any particular purpose if the prescribed hues are not feasible for such purposes, and if such action will not be injurious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45.15(6)</w:t>
      </w:r>
      <w:r>
        <w:rPr>
          <w:rFonts w:ascii="Times New Roman" w:hAnsi="Times New Roman"/>
          <w:b w:val="false"/>
          <w:i w:val="false"/>
          <w:color w:val="000000"/>
          <w:sz w:val="22"/>
        </w:rPr>
        <w:t> </w:t>
      </w:r>
      <w:r>
        <w:rPr>
          <w:rFonts w:ascii="Times New Roman" w:hAnsi="Times New Roman"/>
          <w:b w:val="false"/>
          <w:i w:val="false"/>
          <w:color w:val="000000"/>
          <w:sz w:val="22"/>
        </w:rPr>
        <w:t>The coloration requirements above shall apply to the materials named therein and not to nonhighly toxic mixtures consisting of other ingredients with highly toxic materials.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206.11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21—45.16</w:t>
      </w:r>
      <w:r>
        <w:rPr>
          <w:rFonts w:ascii="Times New Roman" w:hAnsi="Times New Roman"/>
          <w:b/>
          <w:i w:val="false"/>
          <w:color w:val="000000"/>
          <w:sz w:val="22"/>
        </w:rPr>
        <w:t xml:space="preserve">(206) </w:t>
      </w:r>
      <w:r>
        <w:rPr>
          <w:rFonts w:ascii="Times New Roman" w:hAnsi="Times New Roman"/>
          <w:b/>
          <w:i w:val="false"/>
          <w:color w:val="000000"/>
          <w:sz w:val="22"/>
        </w:rPr>
        <w:t xml:space="preserve">Illegal 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pesticides, whether registered or not, sold or offered for sale shall comply with the provisions of section </w:t>
      </w:r>
      <w:hyperlink r:id="rId17">
        <w:r>
          <w:rPr>
            <w:rStyle w:val="Hyperlink"/>
            <w:rFonts w:ascii="Times New Roman" w:hAnsi="Times New Roman"/>
            <w:b w:val="false"/>
            <w:i w:val="false"/>
            <w:color w:val="000000"/>
            <w:sz w:val="22"/>
          </w:rPr>
          <w:t>206.11(1)</w:t>
        </w:r>
      </w:hyperlink>
      <w:r>
        <w:rPr>
          <w:rFonts w:ascii="Times New Roman" w:hAnsi="Times New Roman"/>
          <w:b w:val="false"/>
          <w:i w:val="false"/>
          <w:color w:val="000000"/>
          <w:sz w:val="22"/>
        </w:rPr>
        <w:t xml:space="preserve"> of the Iowa pesticide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45.16(2)</w:t>
      </w:r>
      <w:r>
        <w:rPr>
          <w:rFonts w:ascii="Times New Roman" w:hAnsi="Times New Roman"/>
          <w:b w:val="false"/>
          <w:i w:val="false"/>
          <w:color w:val="000000"/>
          <w:sz w:val="22"/>
        </w:rPr>
        <w:t> </w:t>
      </w:r>
      <w:r>
        <w:rPr>
          <w:rFonts w:ascii="Times New Roman" w:hAnsi="Times New Roman"/>
          <w:b w:val="false"/>
          <w:i w:val="false"/>
          <w:color w:val="000000"/>
          <w:sz w:val="22"/>
        </w:rPr>
        <w:t>The secretary shall examine pesticides from time to time, and if it appears at any time that a pesticide fails to comply with any provision of the Iowa pesticide Act, notice may be given to the manufacturer or seller thereof and an opportunity to present views either orally or in writing about the alleged violation. If it then appears that the provisions of this Act have been violated, a statement of the facts may be sent to the county attorney in the county in which the violation occurred for the purpose of instituting criminal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21—45.17</w:t>
      </w:r>
      <w:r>
        <w:rPr>
          <w:rFonts w:ascii="Times New Roman" w:hAnsi="Times New Roman"/>
          <w:b/>
          <w:i w:val="false"/>
          <w:color w:val="000000"/>
          <w:sz w:val="22"/>
        </w:rPr>
        <w:t xml:space="preserve">(206) </w:t>
      </w:r>
      <w:r>
        <w:rPr>
          <w:rFonts w:ascii="Times New Roman" w:hAnsi="Times New Roman"/>
          <w:b/>
          <w:i w:val="false"/>
          <w:color w:val="000000"/>
          <w:sz w:val="22"/>
        </w:rPr>
        <w:t xml:space="preserve">Guarantee of pesticide.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45.17(1)</w:t>
      </w:r>
      <w:r>
        <w:rPr>
          <w:rFonts w:ascii="Times New Roman" w:hAnsi="Times New Roman"/>
          <w:b w:val="false"/>
          <w:i w:val="false"/>
          <w:color w:val="000000"/>
          <w:sz w:val="22"/>
        </w:rPr>
        <w:t> </w:t>
      </w:r>
      <w:r>
        <w:rPr>
          <w:rFonts w:ascii="Times New Roman" w:hAnsi="Times New Roman"/>
          <w:b w:val="false"/>
          <w:i w:val="false"/>
          <w:color w:val="000000"/>
          <w:sz w:val="22"/>
        </w:rPr>
        <w:t>Any manufacturer or distributor or other person residing in the United States may furnish to any person to whom it sells a pesticide a guarantee that the pesticide was lawfully registered at the time of sale and delivery to such person, and that the pesticide complies with all the requirements of the Act and rules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45.17(2)</w:t>
      </w:r>
      <w:r>
        <w:rPr>
          <w:rFonts w:ascii="Times New Roman" w:hAnsi="Times New Roman"/>
          <w:b w:val="false"/>
          <w:i w:val="false"/>
          <w:color w:val="000000"/>
          <w:sz w:val="22"/>
        </w:rPr>
        <w:t> </w:t>
      </w:r>
      <w:r>
        <w:rPr>
          <w:rFonts w:ascii="Times New Roman" w:hAnsi="Times New Roman"/>
          <w:b w:val="false"/>
          <w:i w:val="false"/>
          <w:color w:val="000000"/>
          <w:sz w:val="22"/>
        </w:rPr>
        <w:t>No reference to or suggestion that a guarantee of registration has been given shall be made in the labeling of any pesticide.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21—45.18</w:t>
      </w:r>
      <w:r>
        <w:rPr>
          <w:rFonts w:ascii="Times New Roman" w:hAnsi="Times New Roman"/>
          <w:b/>
          <w:i w:val="false"/>
          <w:color w:val="000000"/>
          <w:sz w:val="22"/>
        </w:rPr>
        <w:t xml:space="preserve">(206) </w:t>
      </w:r>
      <w:r>
        <w:rPr>
          <w:rFonts w:ascii="Times New Roman" w:hAnsi="Times New Roman"/>
          <w:b/>
          <w:i w:val="false"/>
          <w:color w:val="000000"/>
          <w:sz w:val="22"/>
        </w:rPr>
        <w:t xml:space="preserve">Shipments for experimental use. </w:t>
      </w:r>
      <w:r>
        <w:rPr>
          <w:rFonts w:ascii="Times New Roman" w:hAnsi="Times New Roman"/>
          <w:b w:val="false"/>
          <w:i w:val="false"/>
          <w:color w:val="000000"/>
          <w:sz w:val="22"/>
        </w:rPr>
        <w:t xml:space="preserve">A pesticide shipped or delivered for experimental use shall not be considered a violation of section </w:t>
      </w:r>
      <w:hyperlink r:id="rId18">
        <w:r>
          <w:rPr>
            <w:rStyle w:val="Hyperlink"/>
            <w:rFonts w:ascii="Times New Roman" w:hAnsi="Times New Roman"/>
            <w:b w:val="false"/>
            <w:i w:val="false"/>
            <w:color w:val="000000"/>
            <w:sz w:val="22"/>
          </w:rPr>
          <w:t>206.11(1)</w:t>
        </w:r>
      </w:hyperlink>
      <w:r>
        <w:rPr>
          <w:rFonts w:ascii="Times New Roman" w:hAnsi="Times New Roman"/>
          <w:b w:val="false"/>
          <w:i w:val="false"/>
          <w:color w:val="000000"/>
          <w:sz w:val="22"/>
        </w:rPr>
        <w:t xml:space="preserve"> of the Iowa pesticide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45.18(1)</w:t>
      </w:r>
      <w:r>
        <w:rPr>
          <w:rFonts w:ascii="Times New Roman" w:hAnsi="Times New Roman"/>
          <w:b w:val="false"/>
          <w:i w:val="false"/>
          <w:color w:val="000000"/>
          <w:sz w:val="22"/>
        </w:rPr>
        <w:t> </w:t>
      </w:r>
      <w:r>
        <w:rPr>
          <w:rFonts w:ascii="Times New Roman" w:hAnsi="Times New Roman"/>
          <w:b w:val="false"/>
          <w:i w:val="false"/>
          <w:color w:val="000000"/>
          <w:sz w:val="22"/>
        </w:rPr>
        <w:t>When the pesticide is shipped or delivered for experimental use under the supervision of any federal or state agency authorized by law to conduct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45.18(2)</w:t>
      </w:r>
      <w:r>
        <w:rPr>
          <w:rFonts w:ascii="Times New Roman" w:hAnsi="Times New Roman"/>
          <w:b w:val="false"/>
          <w:i w:val="false"/>
          <w:color w:val="000000"/>
          <w:sz w:val="22"/>
        </w:rPr>
        <w:t> </w:t>
      </w:r>
      <w:r>
        <w:rPr>
          <w:rFonts w:ascii="Times New Roman" w:hAnsi="Times New Roman"/>
          <w:b w:val="false"/>
          <w:i w:val="false"/>
          <w:color w:val="000000"/>
          <w:sz w:val="22"/>
        </w:rPr>
        <w:t>By others if the pesticide is not sold and if the container thereof is plainly and conspicuously marked “For Experimental Use Only—Not To Be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45.18(3)</w:t>
      </w:r>
      <w:r>
        <w:rPr>
          <w:rFonts w:ascii="Times New Roman" w:hAnsi="Times New Roman"/>
          <w:b w:val="false"/>
          <w:i w:val="false"/>
          <w:color w:val="000000"/>
          <w:sz w:val="22"/>
        </w:rPr>
        <w:t> </w:t>
      </w:r>
      <w:r>
        <w:rPr>
          <w:rFonts w:ascii="Times New Roman" w:hAnsi="Times New Roman"/>
          <w:b w:val="false"/>
          <w:i w:val="false"/>
          <w:color w:val="000000"/>
          <w:sz w:val="22"/>
        </w:rPr>
        <w:t>Or provided that a written permit has been obtained from the secretary either specific or general subject to such restrictions or conditions as may be set forth in the permit. The application for such a permit shall contain such information as may be required by the secretary; and in addition the proposed labeling thereon shall bear (1) the prominent statement “For Experimental Use Only” on the container label; (2) a caution or warning statement that may be necessary and if complied with adequate for the protection of those who may handle or be exposed to the experimental products; (3) the name and address of the applicant; (4) the name or designation of the formulation; (5) if the pesticide is to be sold, the statement of the names and percentages of the principal active ingredients in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45.18(4)</w:t>
      </w:r>
      <w:r>
        <w:rPr>
          <w:rFonts w:ascii="Times New Roman" w:hAnsi="Times New Roman"/>
          <w:b w:val="false"/>
          <w:i w:val="false"/>
          <w:color w:val="000000"/>
          <w:sz w:val="22"/>
        </w:rPr>
        <w:t> </w:t>
      </w:r>
      <w:r>
        <w:rPr>
          <w:rFonts w:ascii="Times New Roman" w:hAnsi="Times New Roman"/>
          <w:b w:val="false"/>
          <w:i w:val="false"/>
          <w:color w:val="000000"/>
          <w:sz w:val="22"/>
        </w:rPr>
        <w:t>A pesticide intended for experimental use shall not be offered for general sale by a retailer or others or advertised for general sale.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21—45.19</w:t>
      </w:r>
      <w:r>
        <w:rPr>
          <w:rFonts w:ascii="Times New Roman" w:hAnsi="Times New Roman"/>
          <w:b/>
          <w:i w:val="false"/>
          <w:color w:val="000000"/>
          <w:sz w:val="22"/>
        </w:rPr>
        <w:t xml:space="preserve">(206)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45.19(1)</w:t>
      </w:r>
      <w:r>
        <w:rPr>
          <w:rFonts w:ascii="Times New Roman" w:hAnsi="Times New Roman"/>
          <w:b w:val="false"/>
          <w:i w:val="false"/>
          <w:color w:val="000000"/>
          <w:sz w:val="22"/>
        </w:rPr>
        <w:t> </w:t>
      </w:r>
      <w:r>
        <w:rPr>
          <w:rFonts w:ascii="Times New Roman" w:hAnsi="Times New Roman"/>
          <w:b w:val="false"/>
          <w:i w:val="false"/>
          <w:color w:val="000000"/>
          <w:sz w:val="22"/>
        </w:rPr>
        <w:t>Collection of samples. Samples of pesticides and devices shall be collected by an official investigator or by any employee of the state who has been duly designated by the secretary, by entry into any place during reasonable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45.19(2)</w:t>
      </w:r>
      <w:r>
        <w:rPr>
          <w:rFonts w:ascii="Times New Roman" w:hAnsi="Times New Roman"/>
          <w:b w:val="false"/>
          <w:i w:val="false"/>
          <w:color w:val="000000"/>
          <w:sz w:val="22"/>
        </w:rPr>
        <w:t> </w:t>
      </w:r>
      <w:r>
        <w:rPr>
          <w:rFonts w:ascii="Times New Roman" w:hAnsi="Times New Roman"/>
          <w:b w:val="false"/>
          <w:i w:val="false"/>
          <w:color w:val="000000"/>
          <w:sz w:val="22"/>
        </w:rPr>
        <w:t>Nonchemical pest control devices. Manufacturers or their representatives intending to sell or lease a nonchemical pest control device in the state shall submit efficacy and safety data to the department of agriculture and land stewardship prior to the sale or lease. This requirement may include the furnishing of specimen devices or samples. The department or the department’s designee shall examine or test the device as may be necessary to ascertain the reliability, efficacy and safety data of the device and actual or potential adverse effects of the device upon human health and safety. The costs of conducting the examination or test shall be borne by the manufacturer or the manufacturer’s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45.19(3)</w:t>
      </w:r>
      <w:r>
        <w:rPr>
          <w:rFonts w:ascii="Times New Roman" w:hAnsi="Times New Roman"/>
          <w:b w:val="false"/>
          <w:i w:val="false"/>
          <w:color w:val="000000"/>
          <w:sz w:val="22"/>
        </w:rPr>
        <w:t> </w:t>
      </w:r>
      <w:r>
        <w:rPr>
          <w:rFonts w:ascii="Times New Roman" w:hAnsi="Times New Roman"/>
          <w:b w:val="false"/>
          <w:i w:val="false"/>
          <w:color w:val="000000"/>
          <w:sz w:val="22"/>
        </w:rPr>
        <w:t>Notice of apparent violation. If from an examination or analysis a pesticide appears to be in noncompliance with the Iowa pesticide Act, a written stop sale, use or removal notice will be initiated by the secretary or the secretary’s duly appointed authority. The notice shall state the manner in which the product fails to meet the requirements of the Act and the regulations and that the recipient shall be given an opportunity to offer such written explanation as the recipient may desire.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45.19(4)</w:t>
      </w:r>
      <w:r>
        <w:rPr>
          <w:rFonts w:ascii="Times New Roman" w:hAnsi="Times New Roman"/>
          <w:b w:val="false"/>
          <w:i w:val="false"/>
          <w:color w:val="000000"/>
          <w:sz w:val="22"/>
        </w:rPr>
        <w:t> </w:t>
      </w:r>
      <w:r>
        <w:rPr>
          <w:rFonts w:ascii="Times New Roman" w:hAnsi="Times New Roman"/>
          <w:b w:val="false"/>
          <w:i w:val="false"/>
          <w:color w:val="000000"/>
          <w:sz w:val="22"/>
        </w:rPr>
        <w:t>Any person may obtain an opportunity to present relevant arguments or comments by submitting a written request within 20 days from the date of mailing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45.19(5)</w:t>
      </w:r>
      <w:r>
        <w:rPr>
          <w:rFonts w:ascii="Times New Roman" w:hAnsi="Times New Roman"/>
          <w:b w:val="false"/>
          <w:i w:val="false"/>
          <w:color w:val="000000"/>
          <w:sz w:val="22"/>
        </w:rPr>
        <w:t> </w:t>
      </w:r>
      <w:r>
        <w:rPr>
          <w:rFonts w:ascii="Times New Roman" w:hAnsi="Times New Roman"/>
          <w:b w:val="false"/>
          <w:i w:val="false"/>
          <w:color w:val="000000"/>
          <w:sz w:val="22"/>
        </w:rPr>
        <w:t>The secretary may suspend an applicator’s license, permit or certification pending inquiry and, after opportunity for a hearing, may deny, suspend, revoke or modify any provision of any license, permit or certification issued under the Act, upon receipt of information from the environmental protection agency that the applicator has been convicted under the criminal provision of Section 14(b) of FIFRA or has been assessed a civil penalty under Section 14(a) of FIFRA, as revised March 3, 2017.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21—45.20</w:t>
      </w:r>
      <w:r>
        <w:rPr>
          <w:rFonts w:ascii="Times New Roman" w:hAnsi="Times New Roman"/>
          <w:b/>
          <w:i w:val="false"/>
          <w:color w:val="000000"/>
          <w:sz w:val="22"/>
        </w:rPr>
        <w:t xml:space="preserve">(206) </w:t>
      </w:r>
      <w:r>
        <w:rPr>
          <w:rFonts w:ascii="Times New Roman" w:hAnsi="Times New Roman"/>
          <w:b/>
          <w:i w:val="false"/>
          <w:color w:val="000000"/>
          <w:sz w:val="22"/>
        </w:rPr>
        <w:t xml:space="preserve">Hazardous rodenticides. </w:t>
      </w:r>
      <w:r>
        <w:rPr>
          <w:rFonts w:ascii="Times New Roman" w:hAnsi="Times New Roman"/>
          <w:b w:val="false"/>
          <w:i w:val="false"/>
          <w:color w:val="000000"/>
          <w:sz w:val="22"/>
        </w:rPr>
        <w:t>Before the rodenticides sodium fluoroacetate (1080), thallium sulfate, and phosphorous pastes are to be used by any federal, state, county, municipal, or public officers, or their deputies, employees, or agents, in their official duties in pest control; or licensed pest control operators for use in their service work; the applicator shall notify the department of agriculture and land stewardship prior to use, of (1) the location or site where the rodenticide is to be used; (2) the date the application is to be made; and (3) the amount of hazardous rodenticide to be used. At the time of notification, the licensee must give assurance that the certified applicator understands the hazards of the product, the standard operating procedures as provided by the manufacturer, and, assure the department that the certified applicator will comply with all label precautions. Failure to comply with this rule may result in the suspension or revocation of the applicator’s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21—45.21</w:t>
      </w:r>
      <w:r>
        <w:rPr>
          <w:rFonts w:ascii="Times New Roman" w:hAnsi="Times New Roman"/>
          <w:b/>
          <w:i w:val="false"/>
          <w:color w:val="000000"/>
          <w:sz w:val="22"/>
        </w:rPr>
        <w:t xml:space="preserve">(206) </w:t>
      </w:r>
      <w:r>
        <w:rPr>
          <w:rFonts w:ascii="Times New Roman" w:hAnsi="Times New Roman"/>
          <w:b/>
          <w:i w:val="false"/>
          <w:color w:val="000000"/>
          <w:sz w:val="22"/>
        </w:rPr>
        <w:t xml:space="preserve">Highly toxic. </w:t>
      </w:r>
      <w:r>
        <w:rPr>
          <w:rFonts w:ascii="Times New Roman" w:hAnsi="Times New Roman"/>
          <w:b w:val="false"/>
          <w:i w:val="false"/>
          <w:color w:val="000000"/>
          <w:sz w:val="22"/>
        </w:rPr>
        <w:t>A pesticide that falls within any of the following categories when tested on laboratory animals (mice, rats and rabbits) is highly toxic to humans within the meaning of these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45.21(1)</w:t>
      </w:r>
      <w:r>
        <w:rPr>
          <w:rFonts w:ascii="Times New Roman" w:hAnsi="Times New Roman"/>
          <w:b w:val="false"/>
          <w:i w:val="false"/>
          <w:color w:val="000000"/>
          <w:sz w:val="22"/>
        </w:rPr>
        <w:t> </w:t>
      </w:r>
      <w:r>
        <w:rPr>
          <w:rFonts w:ascii="Times New Roman" w:hAnsi="Times New Roman"/>
          <w:b w:val="false"/>
          <w:i/>
          <w:color w:val="000000"/>
          <w:sz w:val="22"/>
        </w:rPr>
        <w:t xml:space="preserve">Oral toxicity. </w:t>
      </w:r>
      <w:r>
        <w:rPr>
          <w:rFonts w:ascii="Times New Roman" w:hAnsi="Times New Roman"/>
          <w:b w:val="false"/>
          <w:i w:val="false"/>
          <w:color w:val="000000"/>
          <w:sz w:val="22"/>
        </w:rPr>
        <w:t>Those that produce death within 14 days in half or more than half the animals of any species at a dosage of 50 milligrams at a single dose, or less, per kilogram of body weight when administered orally to ten or more such animals of each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45.21(2)</w:t>
      </w:r>
      <w:r>
        <w:rPr>
          <w:rFonts w:ascii="Times New Roman" w:hAnsi="Times New Roman"/>
          <w:b w:val="false"/>
          <w:i w:val="false"/>
          <w:color w:val="000000"/>
          <w:sz w:val="22"/>
        </w:rPr>
        <w:t> </w:t>
      </w:r>
      <w:r>
        <w:rPr>
          <w:rFonts w:ascii="Times New Roman" w:hAnsi="Times New Roman"/>
          <w:b w:val="false"/>
          <w:i/>
          <w:color w:val="000000"/>
          <w:sz w:val="22"/>
        </w:rPr>
        <w:t xml:space="preserve">Toxicity on inhalation. </w:t>
      </w:r>
      <w:r>
        <w:rPr>
          <w:rFonts w:ascii="Times New Roman" w:hAnsi="Times New Roman"/>
          <w:b w:val="false"/>
          <w:i w:val="false"/>
          <w:color w:val="000000"/>
          <w:sz w:val="22"/>
        </w:rPr>
        <w:t>Those that produce death within 14 days in half or more than half of the animals of any species at a dosage of 200 parts or less by volume of the gas or vapor per million parts by volume of air when administered by continuous inhalation for one hour or less to ten or more animals of each species, provided such concentration is likely to be encountered by humans when the pesticide is used in any reasonably foreseeable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45.21(3)</w:t>
      </w:r>
      <w:r>
        <w:rPr>
          <w:rFonts w:ascii="Times New Roman" w:hAnsi="Times New Roman"/>
          <w:b w:val="false"/>
          <w:i w:val="false"/>
          <w:color w:val="000000"/>
          <w:sz w:val="22"/>
        </w:rPr>
        <w:t> </w:t>
      </w:r>
      <w:r>
        <w:rPr>
          <w:rFonts w:ascii="Times New Roman" w:hAnsi="Times New Roman"/>
          <w:b w:val="false"/>
          <w:i/>
          <w:color w:val="000000"/>
          <w:sz w:val="22"/>
        </w:rPr>
        <w:t xml:space="preserve">Toxicity by skin absorption. </w:t>
      </w:r>
      <w:r>
        <w:rPr>
          <w:rFonts w:ascii="Times New Roman" w:hAnsi="Times New Roman"/>
          <w:b w:val="false"/>
          <w:i w:val="false"/>
          <w:color w:val="000000"/>
          <w:sz w:val="22"/>
        </w:rPr>
        <w:t>Those that produce death within 14 days in half or more than half of the animals (rabbits only) tested at a dosage of 200 milligrams or less per kilogram of body weight when administered by continuous contact with the bare skin for 24 hours or less to ten or more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45.21(4)</w:t>
      </w:r>
      <w:r>
        <w:rPr>
          <w:rFonts w:ascii="Times New Roman" w:hAnsi="Times New Roman"/>
          <w:b w:val="false"/>
          <w:i w:val="false"/>
          <w:color w:val="000000"/>
          <w:sz w:val="22"/>
        </w:rPr>
        <w:t> </w:t>
      </w:r>
      <w:r>
        <w:rPr>
          <w:rFonts w:ascii="Times New Roman" w:hAnsi="Times New Roman"/>
          <w:b w:val="false"/>
          <w:i/>
          <w:color w:val="000000"/>
          <w:sz w:val="22"/>
        </w:rPr>
        <w:t xml:space="preserve">Designation as highly toxic. </w:t>
      </w:r>
      <w:r>
        <w:rPr>
          <w:rFonts w:ascii="Times New Roman" w:hAnsi="Times New Roman"/>
          <w:b w:val="false"/>
          <w:i w:val="false"/>
          <w:color w:val="000000"/>
          <w:sz w:val="22"/>
        </w:rPr>
        <w:t>Provided, however, that the secretary may exempt any pesticide that meets the above standard but that is not in fact highly toxic to humans, from these principles with respect to pesticides highly toxic to humans, and may after a hearing designate as highly toxic to humans any pesticide which experience has shown to be so in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45.21(5)</w:t>
      </w:r>
      <w:r>
        <w:rPr>
          <w:rFonts w:ascii="Times New Roman" w:hAnsi="Times New Roman"/>
          <w:b w:val="false"/>
          <w:i w:val="false"/>
          <w:color w:val="000000"/>
          <w:sz w:val="22"/>
        </w:rPr>
        <w:t> </w:t>
      </w:r>
      <w:r>
        <w:rPr>
          <w:rFonts w:ascii="Times New Roman" w:hAnsi="Times New Roman"/>
          <w:b w:val="false"/>
          <w:i/>
          <w:color w:val="000000"/>
          <w:sz w:val="22"/>
        </w:rPr>
        <w:t xml:space="preserve">Human data. </w:t>
      </w:r>
      <w:r>
        <w:rPr>
          <w:rFonts w:ascii="Times New Roman" w:hAnsi="Times New Roman"/>
          <w:b w:val="false"/>
          <w:i w:val="false"/>
          <w:color w:val="000000"/>
          <w:sz w:val="22"/>
        </w:rPr>
        <w:t>If the secretary finds, after opportunity for hearing that available data on human experience with any pesticide indicates a toxicity greater than that indicated from the above described tests on animals, the human data shall take precedence and if that protection of the public health so requires, the secretary shall declare such pesticide to be highly toxic to humans for the purposes of this Act and the regulations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21—45.22</w:t>
      </w:r>
      <w:r>
        <w:rPr>
          <w:rFonts w:ascii="Times New Roman" w:hAnsi="Times New Roman"/>
          <w:b/>
          <w:i w:val="false"/>
          <w:color w:val="000000"/>
          <w:sz w:val="22"/>
        </w:rPr>
        <w:t xml:space="preserve">(206) </w:t>
      </w:r>
      <w:r>
        <w:rPr>
          <w:rFonts w:ascii="Times New Roman" w:hAnsi="Times New Roman"/>
          <w:b/>
          <w:i w:val="false"/>
          <w:color w:val="000000"/>
          <w:sz w:val="22"/>
        </w:rPr>
        <w:t xml:space="preserve">License and certification standards for pesticide applicators. </w:t>
      </w:r>
      <w:r>
        <w:rPr>
          <w:rFonts w:ascii="Times New Roman" w:hAnsi="Times New Roman"/>
          <w:b w:val="false"/>
          <w:i w:val="false"/>
          <w:color w:val="000000"/>
          <w:sz w:val="22"/>
        </w:rPr>
        <w:t>No person shall engage in the business of applying pesticides to the land or property of another at any time without being licensed and certified by the secretary. No person shall apply any restricted use pesticide without first complying with certification standards or unless the application is made under the direct supervision of a certified applicator as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w:t>
      </w:r>
      <w:r>
        <w:rPr>
          <w:rFonts w:ascii="Times New Roman" w:hAnsi="Times New Roman"/>
          <w:b w:val="false"/>
          <w:i w:val="false"/>
          <w:color w:val="000000"/>
          <w:sz w:val="22"/>
        </w:rPr>
        <w:t> </w:t>
      </w:r>
      <w:r>
        <w:rPr>
          <w:rFonts w:ascii="Times New Roman" w:hAnsi="Times New Roman"/>
          <w:b w:val="false"/>
          <w:i/>
          <w:color w:val="000000"/>
          <w:sz w:val="22"/>
        </w:rPr>
        <w:t xml:space="preserve">License for commercial, noncommercial and public applicators. </w:t>
      </w:r>
      <w:r>
        <w:rPr>
          <w:rFonts w:ascii="Times New Roman" w:hAnsi="Times New Roman"/>
          <w:b w:val="false"/>
          <w:i w:val="false"/>
          <w:color w:val="000000"/>
          <w:sz w:val="22"/>
        </w:rPr>
        <w:t>Before a license is issued, each commercial, noncommercial and public applicator shall demonstrate competence by qualifying for a commercial, noncommercial and public applicator’s license by successfully completing the appropriate certification examinations administered by the secretary to demonstrate knowledge regarding the potential for pesticides contaminating groundwater aquifers and proper pesticide handling practices that will aid in preventing the contamination of groundwater aquifers, calibration, integrated pest management, recognition of common pests to be controlled, timing and methods of application, interpretation of label and labeling information, safety precautions and preharvest or reentry restrictions, specific procedures to be used in disposing of pesticides and containers, and related legal responsibility under the classifications for which such applicant is to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Examination scores for individuals not completing certification requirements or paying the required fees shall be maintained on file as valid test scores for a maximum of one year following the date each examination was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categories that are added to an individual’s current certification shall expire on the same date the individual’s current certification card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commercial, noncommercial and public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certification. To be initially certified as a commercial, noncommercial or public applicator, a person shall demonstrate a fundamental knowledge of the minimum state and federal standards of competency for commercial applicators by passing an examination administered by the department. The examination must cover subjects relating to the safe handling, application and storage of pesticides; the correct calibration of equipment used for the application of pesticides; the effects of pesticides upon groundwater; and subjects related to the minimum standards of competency for commercial applicators outlined in </w:t>
      </w:r>
      <w:r>
        <w:rPr>
          <w:rFonts w:ascii="Times New Roman" w:hAnsi="Times New Roman"/>
          <w:b w:val="false"/>
          <w:i w:val="false"/>
          <w:color w:val="000000"/>
          <w:sz w:val="22"/>
        </w:rPr>
        <w:t>40 CFR 171.101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171.103</w:t>
      </w:r>
      <w:r>
        <w:rPr>
          <w:rFonts w:ascii="Times New Roman" w:hAnsi="Times New Roman"/>
          <w:b w:val="false"/>
          <w:i w:val="false"/>
          <w:color w:val="000000"/>
          <w:sz w:val="22"/>
        </w:rPr>
        <w:t xml:space="preserve">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employs noncommercial applicators shall apply for a noncommercial applicator’s license; and all noncommercial applicators shall be certified by successfully completing the appropriate examinations for the type of restricted use pesticide applications being made and shall be required to pay the certification fee of $75 for a three-year certification for each employee certified. Noncommercial applicators shall be subject to the $25 annual license fee. The provisions of Iowa Code section </w:t>
      </w:r>
      <w:hyperlink r:id="rId19">
        <w:r>
          <w:rPr>
            <w:rStyle w:val="Hyperlink"/>
            <w:rFonts w:ascii="Times New Roman" w:hAnsi="Times New Roman"/>
            <w:b w:val="false"/>
            <w:i w:val="false"/>
            <w:color w:val="000000"/>
            <w:sz w:val="22"/>
          </w:rPr>
          <w:t>206.13</w:t>
        </w:r>
      </w:hyperlink>
      <w:r>
        <w:rPr>
          <w:rFonts w:ascii="Times New Roman" w:hAnsi="Times New Roman"/>
          <w:b w:val="false"/>
          <w:i w:val="false"/>
          <w:color w:val="000000"/>
          <w:sz w:val="22"/>
        </w:rPr>
        <w:t xml:space="preserve"> relating to licenses and requirements for their insurance shall not apply to a noncommercial applicator, providing that the noncommercial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full-time employee of a privately held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publicly claim to be a commercial pesticide applicator nor engage in the business of applying pesticides other than as an employee of a company on company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Separate examinations shall be taken and passed for each category or subcategory in which the commercial, noncommercial or public applicator intends to become certified. A person must demonstrate practical knowledge and meet the competency standards outlined to be certified in each category or subcategory. The category descriptions and competency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Agricultural pest control. Includes persons who use or supervise the use of pesticides to control pests in crops grown where the ultimate uses of the many commodities may be food or feed products, or both, and include other industrial or manufacturing uses, or both, of agricultural commodities. Persons who use or supervise the use of pesticides directly on animals or areas or places on or in which animals are confined are included. Agricultural pest control is comprised of five subcategories: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Agricultural weed control. Includes persons using or supervising the use of pesticides to control plant pests in the production of agricultural crops, including but not limited to feed, small grains, or both; corn; soybeans; forage; grasslands; and non-crop agricultural 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Agricultural insect control. Includes persons using or supervising the use of pesticides to control insect pests in the production of agricultural crops, including but not limited to feed, small grains, or both; corn; soybeans; forage; grasslands; and non-crop agricultural 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Agricultural crop disease control. Includes persons using or supervising the use of pesticides to control plant diseases in the production of agricultural crops, including but not limited to feed, small grains, or both corn; soybeans; forage; grasslands; and non-crop agricultural 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Agricultural fruit and vegetable control. Includes persons using or supervising the use of pesticides to control plant, insect, or disease pests in the production of food for human consumption, including but not limited to vegetables, small fruits, tree fruits, and nuts.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Animal pest control. Includes persons using or supervising use of pesticides directly on animals in the production of an agricultural commodity including but not limited to beef cattle, dairy cattle, swine, sheep, horses, goats, poultry, or any other livestock, or areas or places on or in which animals are confined.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Forest pest control. Includes persons using or supervising the use of pesticides in forests, forest nurseries, and forest seed production areas.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(2)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Ornamental and turf pest control. Includes persons who use or supervise the use of pesticides to control pests in the maintenance and production of ornamental plants and turf grass, including in and around structures. Ornamental and turf pest control is comprised of four subcategories: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Ornamental and turf pest control. Includes persons using or supervising the use of pesticides to control pests in the maintenance and production of ornamental trees, shrubs, flowers, and turf grass, including in and around structures (except greenhouses), plant nurseries, golf courses, athletic fields, public or private grounds, turf farms, or similar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Turf pest control. Includes persons using or supervising the use of pesticides to control pests only in the maintenance and production of turf grasses, including in and around structures (except greenhouses or other enclosed, climate-controlled environments), plant nurseries, golf courses, athletic fields, public or private grounds, turf farms, or similar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Ornamental pest control. Includes persons using or supervising the use of pesticides to control pests in the maintenance and production of ornamental trees, shrubs, flowers, and other ornamental plants, except turf, in areas other than a greenhouse or other enclosed, climate-controlled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Greenhouse pest control. Includes persons using or supervising the use of pesticides in the production and maintenance of ornamental trees, shrubs, or any other plants in a greenhouse setting and also in any other indoor, controlled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Seed treatment. Includes persons using or supervising the use of pesticides to seeds.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(4)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Aquatic pest control. Includes persons using or supervising the use of pesticides to standing or running water to control aquatic pests, excluding applicators engaged in public health-related activities.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(5)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Right-of-way pest control. Includes persons using or supervising the use of pesticides in the maintenance of public roads, electric power lines, pipelines, railroad rights-of-way, industrial site weed control, fence lines, structural perimeters, or other similar areas to control unwanted vegetation.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(6)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Industrial, institutional, and structural pest control. Includes persons who use or supervise the use of pesticides in, on, or around the following: food handling establishments, packing houses, food processing facilities, human dwellings, institutions, industrial establishments, and any other structures and adjacent areas, public or private, for the protection of stored, processed, or manufactured products. Industrial, institutional, and structural pest control is comprised of six subcategories: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and household pest control. Includes persons using or supervising the use of pesticides, except fumigants, for general and household pest control in human dwellings, including indoor areas normally frequented or inhabited by humans, such as but not limited to schools, hospitals, institutions, dining facilities, food dispensing and food handling establishments, food manufacturers and processors, industrial establishments, warehouses, and any other structures and adjacent areas, public or private. This subcategory also covers the protection of stored, processed, or manufactured products from insects and similar organisms, pest birds, or vertebrate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Termite control. Includes persons conducting wood-destroying insect inspections for the purpose of issuing a wood-destroying insect report for real estate transactions and real estate refinance transactions or for treatment or supervision of treatment for control or prevention of wood-destroying insect infestations.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Non-soil fumigation. Includes persons using or supervising use of pesticides in a gaseous form that are classified as fumigants to control pests in anything other than soil.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(14)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insect control. Includes persons using or supervising the use of pesticides to control flies or mosquitoes in a community or public health program. Public applicators as defined by Iowa Code section </w:t>
      </w:r>
      <w:hyperlink r:id="rId20">
        <w:r>
          <w:rPr>
            <w:rStyle w:val="Hyperlink"/>
            <w:rFonts w:ascii="Times New Roman" w:hAnsi="Times New Roman"/>
            <w:b w:val="false"/>
            <w:i w:val="false"/>
            <w:color w:val="000000"/>
            <w:sz w:val="22"/>
          </w:rPr>
          <w:t>206.2(23)</w:t>
        </w:r>
      </w:hyperlink>
      <w:r>
        <w:rPr>
          <w:rFonts w:ascii="Times New Roman" w:hAnsi="Times New Roman"/>
          <w:b w:val="false"/>
          <w:i w:val="false"/>
          <w:color w:val="000000"/>
          <w:sz w:val="22"/>
        </w:rPr>
        <w:t xml:space="preserve"> who apply or supervise the use of pesticides to control pests in a public health program are required to be certified in the public health pest control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Wood preservatives. Includes persons using or supervising the use of wood-preserving pesticides to control or protect against wood-destroying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Antifouling paints. Includes persons using or supervising use of tributyltin (TBT) paints for the purpose of inhibiting the growth of aquatic plant and animal organisms on submerged marine structures and on the hulls of boats and 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health pest control. Includes persons using or supervising the use of pesticides in any designated public health program for the management and control of pests, vertebrate or invertebrate, that may have medical or public health importance or both.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Regulatory pest control. Includes state, federal, or other governmental employees who use or supervise the use of pesticides in the control of pests as part of official regulatory responsibilities.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(9)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Demonstration and research pest control. Includes persons who demonstrate to the public the proper use and techniques of application or persons who research the use of pesticides and in doing so use or supervise the use of pesticides. Individuals certified in demonstration and research pest control are also required to be certified in another category that is specific to the particular type of pesticide being employed for the particular project.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(10)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Aerial application. Includes persons who use any aircraft to apply pesticides to control plant, insects or similar organisms; plant diseases in the production of agricultural commodities; food for human consumption, including but not limited to vegetables, small fruits, tree fruits and nuts, feed or small grains, corn, soybeans, forage, grasslands, and pasture; or a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Soil fumigation. Includes persons using or supervising the use of gaseous pesticides in soil. To be certified in this category, a person shall demonstrate practical knowledge and competency as outlined in </w:t>
      </w:r>
      <w:r>
        <w:rPr>
          <w:rFonts w:ascii="Times New Roman" w:hAnsi="Times New Roman"/>
          <w:b w:val="false"/>
          <w:i w:val="false"/>
          <w:color w:val="000000"/>
          <w:sz w:val="22"/>
        </w:rPr>
        <w:t>40 CFR 171.103(d)</w:t>
      </w:r>
      <w:r>
        <w:rPr>
          <w:rFonts w:ascii="Times New Roman" w:hAnsi="Times New Roman"/>
          <w:b w:val="false"/>
          <w:i w:val="false"/>
          <w:color w:val="000000"/>
          <w:sz w:val="22"/>
        </w:rPr>
        <w:t>(13)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Commercial applicator minimum age. A commercial applicator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private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certification. To be initially certified as a private applicator, a person shall demonstrate a fundamental knowledge of the minimum state and federal standards of competency for private applicators by passing an examination administered by the department and submitting a $15 certification fee. The examination shall cover subjects related to the minimum standards of competency for private applicators outlined in </w:t>
      </w:r>
      <w:r>
        <w:rPr>
          <w:rFonts w:ascii="Times New Roman" w:hAnsi="Times New Roman"/>
          <w:b w:val="false"/>
          <w:i w:val="false"/>
          <w:color w:val="000000"/>
          <w:sz w:val="22"/>
        </w:rPr>
        <w:t>40 CFR 171.105</w:t>
      </w:r>
      <w:r>
        <w:rPr>
          <w:rFonts w:ascii="Times New Roman" w:hAnsi="Times New Roman"/>
          <w:b w:val="false"/>
          <w:i w:val="false"/>
          <w:color w:val="000000"/>
          <w:sz w:val="22"/>
        </w:rPr>
        <w:t xml:space="preserve"> as revised March 6, 2017. A private applicator shall pay a certification fee of $15 for a period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private applicator certification. A private applicator’s certification shall be renewed upon evidence that the applicator has paid the required certification fee and has successfully completed an instructional course consisting of either an examination or continuing instructional courses as prescribed by the department. A private applicator shall pass an examination each third year following initial certification or may elect to attend two hours of approved continuing instructional courses each year during the renewal period. A private applicator failing to complete the required two hours of approved instruction for each year during the renewal period following initial certification or recertification shall be required to pass an examination prior to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applicator who purchases or applies a soil or non-soil fumigant that is classified as a restricted use pesticide shall pass an examination prescribed by the department for initial certification in the private fumigation category in addition to the examination required for initial private certification. To be certified in this category, a person shall demonstrate practical knowledge and competency as outlined in </w:t>
      </w:r>
      <w:r>
        <w:rPr>
          <w:rFonts w:ascii="Times New Roman" w:hAnsi="Times New Roman"/>
          <w:b w:val="false"/>
          <w:i w:val="false"/>
          <w:color w:val="000000"/>
          <w:sz w:val="22"/>
        </w:rPr>
        <w:t>40 CFR 171.105(d)</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w:t>
      </w:r>
      <w:r>
        <w:rPr>
          <w:rFonts w:ascii="Times New Roman" w:hAnsi="Times New Roman"/>
          <w:b w:val="false"/>
          <w:i w:val="false"/>
          <w:color w:val="000000"/>
          <w:sz w:val="22"/>
        </w:rPr>
        <w:t xml:space="preserve"> 171.105(e) as revised March 3, 2017. Upon successfully completing the required private fumigation examination, the private applicator’s certification credentials shall be so designated. The fumigation category designation shall remain valid until the private applicator’s certification expires. To renew the fumigation category certification, a private applicator may elect to complete an instructional course consisting of either an examination or instructional course as prescribed by the department in addition to the examination or instruction required for private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private applicator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45.22(4)</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classification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commercial, noncommercial and public applicator’s license classification shall expire annually on December 31 and shall be renewed upon payment of the required license fee provided that all of the applicant’s personnel who apply pesticides are certified commercial, noncommercial or public applicators and are certified in the appropriate classifications covering their pesticide application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commercial, noncommercial and public applicator’s certification shall expire December 31 of the third year of the three-year certification and shall be renewed by the department upon receipt of evidence that the applicator has paid the required certification fee and has completed an instructional course consisting of either an examination or continuing instructional courses as prescribed by the department. A commercial, noncommercial or public applicator shall pass an examination each third year following initial certification or may elect to attend two hours of approved continuing instructional courses each year during the renewal period. A commercial, noncommercial or public applicator seeking recertification by attending continuing instructional courses shall attend courses approved for each certification category in which the person is seeking recertification. A two-hour continuing instructional course may be approved for more than one certification category. A commercial, noncommercial or public applicator failing to complete the required two hours of approved instruction for each year during the renewal period shall be required to pass an examination prior to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attempts to misrepresent anyone or attempts to use unauthorized assistance in passing any examination shall be denied the privilege of taking any examination for the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secretary may revise certification periods for pesticide applicators with certification fees adjusted to reflect an equivalent certification fee based on fees currently established in order to provide a more uniform distribution of pesticide applicator certification renewal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45.22(5)</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renewal periods for commercial, noncommercial, public and private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periods for commercial, noncommercial, and public applicators. The renewal period is the time within which the commercial, noncommercial, public and private applicators have to renew their certification by either completing the required certification examination or completing instructional courses and paying the required certification fee. Except as provided in paragraph </w:t>
      </w:r>
      <w:hyperlink r:id="rId21">
        <w:r>
          <w:rPr>
            <w:rStyle w:val="Hyperlink"/>
            <w:rFonts w:ascii="Times New Roman" w:hAnsi="Times New Roman"/>
            <w:b w:val="false"/>
            <w:i w:val="false"/>
            <w:color w:val="000000"/>
            <w:sz w:val="22"/>
          </w:rPr>
          <w:t>45.22(5)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renewal period for commercial, noncommercial and public applicators shall begin on the date a person has completed the required certification examination or instructional courses and paid the required certification fee. The renewal period shall end on December 31 of the third calendar year of the certification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period for private applicators. The renewal period for a private applicator shall begin on the date a person has completed the required certification examination or instructional courses and paid the required certification fee. The renewal period shall end on April 15 of the calendar year following the certification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renewal period for a person completing initial certification requirements on October 1 or any time thereafter during a calendar year shall begin on January 1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22">
        <w:r>
          <w:rPr>
            <w:rStyle w:val="Hyperlink"/>
            <w:rFonts w:ascii="Times New Roman" w:hAnsi="Times New Roman"/>
            <w:b w:val="false"/>
            <w:i w:val="false"/>
            <w:color w:val="000000"/>
            <w:sz w:val="22"/>
          </w:rPr>
          <w:t>45.22(5)</w:t>
        </w:r>
      </w:hyperlink>
      <w:r>
        <w:rPr>
          <w:rFonts w:ascii="Times New Roman" w:hAnsi="Times New Roman"/>
          <w:b w:val="false"/>
          <w:i/>
          <w:color w:val="000000"/>
          <w:sz w:val="22"/>
        </w:rPr>
        <w:t>“a,”</w:t>
      </w:r>
      <w:r>
        <w:rPr>
          <w:rFonts w:ascii="Times New Roman" w:hAnsi="Times New Roman"/>
          <w:b w:val="false"/>
          <w:i w:val="false"/>
          <w:color w:val="000000"/>
          <w:sz w:val="22"/>
          <w:u w:val="single"/>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continuing instruction credits from a previous year in a certification renewal period shall not be accepted nor shall credits accumulated be accepted for use in a future year in a certification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45.22(6)</w:t>
      </w:r>
      <w:r>
        <w:rPr>
          <w:rFonts w:ascii="Times New Roman" w:hAnsi="Times New Roman"/>
          <w:b w:val="false"/>
          <w:i w:val="false"/>
          <w:color w:val="000000"/>
          <w:sz w:val="22"/>
        </w:rPr>
        <w:t> </w:t>
      </w:r>
      <w:r>
        <w:rPr>
          <w:rFonts w:ascii="Times New Roman" w:hAnsi="Times New Roman"/>
          <w:b w:val="false"/>
          <w:i/>
          <w:color w:val="000000"/>
          <w:sz w:val="22"/>
        </w:rPr>
        <w:t xml:space="preserve">Report of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commercial, noncommercial or public applicator applying for recertification without retesting shall file a report on a form provided by the department certifying that the required continuing instructional courses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 file of the certificates of completion required under subrule </w:t>
      </w:r>
      <w:hyperlink r:id="rId23">
        <w:r>
          <w:rPr>
            <w:rStyle w:val="Hyperlink"/>
            <w:rFonts w:ascii="Times New Roman" w:hAnsi="Times New Roman"/>
            <w:b w:val="false"/>
            <w:i w:val="false"/>
            <w:color w:val="000000"/>
            <w:sz w:val="22"/>
          </w:rPr>
          <w:t>45.52(4)</w:t>
        </w:r>
      </w:hyperlink>
      <w:r>
        <w:rPr>
          <w:rFonts w:ascii="Times New Roman" w:hAnsi="Times New Roman"/>
          <w:b w:val="false"/>
          <w:i w:val="false"/>
          <w:color w:val="000000"/>
          <w:sz w:val="22"/>
        </w:rPr>
        <w:t xml:space="preserve"> for each employee recertifying by attending continuing instruction courses. The file shall contain the certificates of completion for the period covering the previous certification period and current certification period for each employee receiving continuing instruction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who transfers to a new employer shall, upon request, be provided copies of the certificates of completion on file with the previous employer for filing with a new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Files containing certificates of completion shall be open for inspection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45.22(7)</w:t>
      </w:r>
      <w:r>
        <w:rPr>
          <w:rFonts w:ascii="Times New Roman" w:hAnsi="Times New Roman"/>
          <w:b w:val="false"/>
          <w:i w:val="false"/>
          <w:color w:val="000000"/>
          <w:sz w:val="22"/>
        </w:rPr>
        <w:t> </w:t>
      </w:r>
      <w:r>
        <w:rPr>
          <w:rFonts w:ascii="Times New Roman" w:hAnsi="Times New Roman"/>
          <w:b w:val="false"/>
          <w:i/>
          <w:color w:val="000000"/>
          <w:sz w:val="22"/>
        </w:rPr>
        <w:t xml:space="preserve">Direct supervision of noncertified applicators. </w:t>
      </w:r>
      <w:r>
        <w:rPr>
          <w:rFonts w:ascii="Times New Roman" w:hAnsi="Times New Roman"/>
          <w:b w:val="false"/>
          <w:i w:val="false"/>
          <w:color w:val="000000"/>
          <w:sz w:val="22"/>
        </w:rPr>
        <w:t>Certified applicators whose activities indicate a supervisory role in the use of restricted use pesticides by noncertified applicators must demonstrate a practical knowledge of federal and state supervisory requirements, including any requirements on the product label and labeling, regarding the use of restricted use 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noncertified applicator must be at least 18 years old to apply a restricted use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noncertified applicator may use restricted use pesticides to property owned or rented by a private applicator who is an immediate family member if the uncertified applicator works under the direct supervision and instruction and control of a certified private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noncertified applicator cannot use a restricted use pesticide as a fumigant or through aerial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noncertified applicator cannot use a restricted use pesticide that contains sodium cyanide or sodium fluoroacetate.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noncertified applicator must have been instructed within the last 12 months in the safe operation of any equipment for use in mixing, loading, transferring, or applying 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noncertified applicator must meet qualification requirements under </w:t>
      </w:r>
      <w:r>
        <w:rPr>
          <w:rFonts w:ascii="Times New Roman" w:hAnsi="Times New Roman"/>
          <w:b w:val="false"/>
          <w:i w:val="false"/>
          <w:color w:val="000000"/>
          <w:sz w:val="22"/>
        </w:rPr>
        <w:t>40 CFR 171.201(c)</w:t>
      </w:r>
      <w:r>
        <w:rPr>
          <w:rFonts w:ascii="Times New Roman" w:hAnsi="Times New Roman"/>
          <w:b w:val="false"/>
          <w:i w:val="false"/>
          <w:color w:val="000000"/>
          <w:sz w:val="22"/>
        </w:rPr>
        <w:t xml:space="preserve"> as revised March 3,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supervising certified applicator must be certified in each category applicable to the supervised pesticide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45.22(8)</w:t>
      </w:r>
      <w:r>
        <w:rPr>
          <w:rFonts w:ascii="Times New Roman" w:hAnsi="Times New Roman"/>
          <w:b w:val="false"/>
          <w:i w:val="false"/>
          <w:color w:val="000000"/>
          <w:sz w:val="22"/>
        </w:rPr>
        <w:t> </w:t>
      </w:r>
      <w:r>
        <w:rPr>
          <w:rFonts w:ascii="Times New Roman" w:hAnsi="Times New Roman"/>
          <w:b w:val="false"/>
          <w:i/>
          <w:color w:val="000000"/>
          <w:sz w:val="22"/>
        </w:rPr>
        <w:t xml:space="preserve">Certified handler.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employed by a licensed commercial applicator, noncommercial applicator, public applicator, or pesticide dealer who handles pesticides in other than unopened containers for the purposes of preparing, mixing or loading pesticides for application by another person, repackaging bulk pesticides or disposing of pesticide-related wastes from these activities shall become certified by taking and passing an examination as prescribed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handler shall demonstrate a fundamental knowledge of the potential for pesticides contaminating groundwater aquifers or surface waters and proper handling practices that will aid in preventing the contamination of groundwater aquifers or surface waters, adverse effects on the environment and any other personal or public hazards associated with the use of pesticides by passing a fundamental examination administered by the secretary covering interpretation of label and labeling information, mixing and application of pesticides in accordance with label instructions including proper concentration of pesticides to be used and local environmental situations that shall be considered during handling of pesticides to avoid contamination, specific procedures to be used in disposing of pesticides and containers, recognition of poisoning symptoms, procedures to follow in case of a pesticide accident, safe handling of pesticides and the effects on groundwater and surface water, the proper use of personal safety equipment and related legal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handler’s certification shall expire December 31 of the third year of the three-year certification and shall be renewed by the secretary upon receipt of evidence that the applicator has passed a written examination similar and equal to that required to obtain initial certification and has paid the required certification fee. A 21-day grace period from the day of initial employment shall be allowed to meet the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handler employed by a licensed applicator shall work under the direct supervision of a certified commercial, noncommercial or public applicator employed by the same firm or agency. “Under direct supervision” shall not require the physical presence of the supervising certified applicator in reference to agricultural crop general use pesticide applications if the supervisor is immediately available if and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handler may apply restricted use pesticides as a noncertified applicator if the requirements for direct supervision of noncertified applicators in subrule </w:t>
      </w:r>
      <w:hyperlink r:id="rId24">
        <w:r>
          <w:rPr>
            <w:rStyle w:val="Hyperlink"/>
            <w:rFonts w:ascii="Times New Roman" w:hAnsi="Times New Roman"/>
            <w:b w:val="false"/>
            <w:i w:val="false"/>
            <w:color w:val="000000"/>
            <w:sz w:val="22"/>
          </w:rPr>
          <w:t>45.22(7)</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handler shall not act in the capacity of a supervisor of other certified handlers or certified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45.22(9)</w:t>
      </w:r>
      <w:r>
        <w:rPr>
          <w:rFonts w:ascii="Times New Roman" w:hAnsi="Times New Roman"/>
          <w:b w:val="false"/>
          <w:i w:val="false"/>
          <w:color w:val="000000"/>
          <w:sz w:val="22"/>
        </w:rPr>
        <w:t> </w:t>
      </w:r>
      <w:r>
        <w:rPr>
          <w:rFonts w:ascii="Times New Roman" w:hAnsi="Times New Roman"/>
          <w:b w:val="false"/>
          <w:i/>
          <w:color w:val="000000"/>
          <w:sz w:val="22"/>
        </w:rPr>
        <w:t xml:space="preserve">Temporary exemption from certification. </w:t>
      </w:r>
      <w:r>
        <w:rPr>
          <w:rFonts w:ascii="Times New Roman" w:hAnsi="Times New Roman"/>
          <w:b w:val="false"/>
          <w:i w:val="false"/>
          <w:color w:val="000000"/>
          <w:sz w:val="22"/>
        </w:rPr>
        <w:t>A commercial, noncommercial, public or private applicator need not be certified to apply general use pesticides for a period of 21 days from the date of initial employment if the commercial, noncommercial, public or private applicator is under the direct supervision of a certified applicator. “Under the direct supervision of” means the application of a pesticide is made by a competent person acting under the instructions and control of a certified applicator who is physically present by being in sight or hearing distance of the supervised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Temporary exemption for certification for agricultural applicators. </w:t>
      </w:r>
      <w:r>
        <w:rPr>
          <w:rFonts w:ascii="Times New Roman" w:hAnsi="Times New Roman"/>
          <w:b w:val="false"/>
          <w:i w:val="false"/>
          <w:color w:val="000000"/>
          <w:sz w:val="22"/>
        </w:rPr>
        <w:t xml:space="preserve">A commercial applicator who applies pesticides to agricultural land may elect to be exempt from the certification requirements for a commercial applicator for a period of 21 days from the date of initial employment if the applicator meets the requirements of a private applicator. A private applicator who applies restricted use pesticides to agricultural land and elects to take advantage of the exemption as provided for in Iowa Code section </w:t>
      </w:r>
      <w:hyperlink r:id="rId25">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shall work under the direct supervision of a certified commercial applicator and meet the requirements for direct supervision of noncertified applicators in subrule </w:t>
      </w:r>
      <w:hyperlink r:id="rId26">
        <w:r>
          <w:rPr>
            <w:rStyle w:val="Hyperlink"/>
            <w:rFonts w:ascii="Times New Roman" w:hAnsi="Times New Roman"/>
            <w:b w:val="false"/>
            <w:i w:val="false"/>
            <w:color w:val="000000"/>
            <w:sz w:val="22"/>
          </w:rPr>
          <w:t>45.22(7)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Employees of food processing and distribution establishments. </w:t>
      </w:r>
      <w:r>
        <w:rPr>
          <w:rFonts w:ascii="Times New Roman" w:hAnsi="Times New Roman"/>
          <w:b w:val="false"/>
          <w:i w:val="false"/>
          <w:color w:val="000000"/>
          <w:sz w:val="22"/>
        </w:rPr>
        <w:t xml:space="preserve">An employee of a food processing and distribution establishment is exempt from the certification requirements of Iowa Code section </w:t>
      </w:r>
      <w:hyperlink r:id="rId27">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has at least one person holding a supervisory position who is a certified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employer provides a program approved by the department for training, testing and certification of personnel who apply, as an incidental part of their duties, any restricted use pesticide on property owned or rented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exempt employee does not apply restricted use 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exempt employee applies general use pesticides under the direct supervision of a certified applicator. “Under direct supervision” shall not require the physical presence of the supervising certified applicator if the supervising applicator is immediately available if and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supervising certified applicator must be certified in each category applicable to the supervised pesticide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45.22(10)</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application—contents. </w:t>
      </w:r>
      <w:r>
        <w:rPr>
          <w:rFonts w:ascii="Times New Roman" w:hAnsi="Times New Roman"/>
          <w:b w:val="false"/>
          <w:i w:val="false"/>
          <w:color w:val="000000"/>
          <w:sz w:val="22"/>
        </w:rPr>
        <w:t xml:space="preserve">Each license application submitted pursuant to Iowa Code section </w:t>
      </w:r>
      <w:hyperlink r:id="rId28">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shall include a complete list of all employees who may apply pesticides. Any changes regarding the status of the employees named on the application or new employees shall be reported immediately to the pesticide section of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certification. </w:t>
      </w:r>
      <w:r>
        <w:rPr>
          <w:rFonts w:ascii="Times New Roman" w:hAnsi="Times New Roman"/>
          <w:b w:val="false"/>
          <w:i w:val="false"/>
          <w:color w:val="000000"/>
          <w:sz w:val="22"/>
        </w:rPr>
        <w:t xml:space="preserve">An employee of a public agency who applies pesticides that are classified for general use and that are in ready-to-use formulations shall be exempt from the certification requirements of Iowa Code chapter </w:t>
      </w:r>
      <w:hyperlink r:id="rId29">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provided that the application of pesticides is an incidental part of the 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45.22(12)</w:t>
      </w:r>
      <w:r>
        <w:rPr>
          <w:rFonts w:ascii="Times New Roman" w:hAnsi="Times New Roman"/>
          <w:b w:val="false"/>
          <w:i w:val="false"/>
          <w:color w:val="000000"/>
          <w:sz w:val="22"/>
        </w:rPr>
        <w:t> </w:t>
      </w:r>
      <w:r>
        <w:rPr>
          <w:rFonts w:ascii="Times New Roman" w:hAnsi="Times New Roman"/>
          <w:b w:val="false"/>
          <w:i/>
          <w:color w:val="000000"/>
          <w:sz w:val="22"/>
        </w:rPr>
        <w:t xml:space="preserve">Pesticide use on private golf courses. </w:t>
      </w:r>
      <w:r>
        <w:rPr>
          <w:rFonts w:ascii="Times New Roman" w:hAnsi="Times New Roman"/>
          <w:b w:val="false"/>
          <w:i w:val="false"/>
          <w:color w:val="000000"/>
          <w:sz w:val="22"/>
        </w:rPr>
        <w:t>Employees of private golf courses who apply pesticides shall comply with the same requirements for employees applying pesticides for public golf courses including but not limited to certification and notification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45.22(13)</w:t>
      </w:r>
      <w:r>
        <w:rPr>
          <w:rFonts w:ascii="Times New Roman" w:hAnsi="Times New Roman"/>
          <w:b w:val="false"/>
          <w:i w:val="false"/>
          <w:color w:val="000000"/>
          <w:sz w:val="22"/>
        </w:rPr>
        <w:t> </w:t>
      </w:r>
      <w:r>
        <w:rPr>
          <w:rFonts w:ascii="Times New Roman" w:hAnsi="Times New Roman"/>
          <w:b w:val="false"/>
          <w:i/>
          <w:color w:val="000000"/>
          <w:sz w:val="22"/>
        </w:rPr>
        <w:t xml:space="preserve">Transition to recertification by instruction. </w:t>
      </w:r>
      <w:r>
        <w:rPr>
          <w:rFonts w:ascii="Times New Roman" w:hAnsi="Times New Roman"/>
          <w:b w:val="false"/>
          <w:i w:val="false"/>
          <w:color w:val="000000"/>
          <w:sz w:val="22"/>
        </w:rPr>
        <w:t>Recertification may be accomplished by successful completion of the required written examination every third year or completion of an approved two-hour instructional course each year of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Private applicator recertification. </w:t>
      </w:r>
      <w:r>
        <w:rPr>
          <w:rFonts w:ascii="Times New Roman" w:hAnsi="Times New Roman"/>
          <w:b w:val="false"/>
          <w:i w:val="false"/>
          <w:color w:val="000000"/>
          <w:sz w:val="22"/>
        </w:rPr>
        <w:t>A private applicator may apply for recertification by providing evidence of completion of an approved two-hour instructional course for each year during the preceding three-year renewal period. A private applicator failing to meet the required annual two-hour instruction requirement for recertification during the three-year certification renewal period shall apply for recertification by providing evidence of satisfactorily completing an examination. Applications for recertification shall be submitted with a $15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Commercial, noncommercial, and public applicator recertification. </w:t>
      </w:r>
      <w:r>
        <w:rPr>
          <w:rFonts w:ascii="Times New Roman" w:hAnsi="Times New Roman"/>
          <w:b w:val="false"/>
          <w:i w:val="false"/>
          <w:color w:val="000000"/>
          <w:sz w:val="22"/>
        </w:rPr>
        <w:t>A commercial, noncommercial or public applicator may apply for recertification by providing evidence of completion of an approved two-hour instructional course in each of the three calendar years preceding the expiration date. Applications for recertification shall be submitted with the appropriate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commercial aerial applicator and aerial applicator consultant.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Commercial aerial applicator license. </w:t>
      </w:r>
      <w:r>
        <w:rPr>
          <w:rFonts w:ascii="Times New Roman" w:hAnsi="Times New Roman"/>
          <w:b w:val="false"/>
          <w:i w:val="false"/>
          <w:color w:val="000000"/>
          <w:sz w:val="22"/>
        </w:rPr>
        <w:t xml:space="preserve">The licensed aerial applicator applying pesticides to agricultural land shall operate in Iowa in consultation with an aerial applicator consultant. The application form for a commercial aerial applicator license shall be provided by the pesticide bureau. The completed application form, together with supporting documentation, will verify compliance with Iowa Code chapter </w:t>
      </w:r>
      <w:hyperlink r:id="rId30">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and the rules of this chapter. An aerial applicator license may be issued when the applicant has provided the name and license number of the aerial applicator consultant and other required information on the application form, passed the required certification examinations, and paid the commercial applicator license and certification fees in compliance with Iowa Code sections </w:t>
      </w:r>
      <w:hyperlink r:id="rId31">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Aerial applicator consultant duties. </w:t>
      </w:r>
      <w:r>
        <w:rPr>
          <w:rFonts w:ascii="Times New Roman" w:hAnsi="Times New Roman"/>
          <w:b w:val="false"/>
          <w:i w:val="false"/>
          <w:color w:val="000000"/>
          <w:sz w:val="22"/>
        </w:rPr>
        <w:t>An aerial applicator consultant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requirements for category #11 aerial applicator certification and either a commercial pesticide applicator license or pesticide dealer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Register with the pesticide bureau on forms provided by the pesticide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with each aerial applicator under the consultant’s consultation prior to application of pesticides and verify compliance with Iowa’s pesticide rules, the requirements of the Federal Aviation Administration, and the requirements of the Iowa department of transportation using a checklist provided by the pesticide bureau. A copy of the completed checklist shall be maintained on file for three years with the aerial applicator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detailed aerial maps for the intended application location that clearly depict field boundaries, roads, dwellings, adjacent fields, water bodies, and other pertinent information, as well as county, township and section and latitude/longitude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Maintain daily communication with the aerial applicator when pesticide applications are performed with a minimum of one meeting in person each day to emphasize safe pesticide application and handling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 daily oversight of pesticide handlers who supply or mix pesticides for the aerial applicator under the consultant’s consultation to ensure required personal protective equipment is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the aerial applicator regarding sensitive areas listed on the department’s sensitive crop registry and arrange for proper protection of registered apiaries. The aerial applicator consultant shall identify nearby sensitive areas including the location of endangered species as identified by the U.S. Environmental Protection Agency (EPA) and listed on the pesticide bureau’s website, water bodies in or adjoining the field of application, roads adjoining the field of application, and places adjoining the field of application that may be occupied by people, including farmworkers.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Provide instructions for proper emergency response procedures for the aerial applicator and pesticide handlers in the case of a pesticide spill or accident. Require that while in the air all pilots have an electronic communication device capable of communicating with a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Provide information immediately upon request to regulatory officials regarding the identification of a pesticide applied to an area of concern and the name and license number of the applicator working under the consultant’s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Notify the aerial applicator in person and in writing upon termination of consultation services. The aerial applicator shall notify the pesticide bureau when the aerial applicator begins working with a new aerial applicator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aerial application. </w:t>
      </w:r>
      <w:r>
        <w:rPr>
          <w:rFonts w:ascii="Times New Roman" w:hAnsi="Times New Roman"/>
          <w:b w:val="false"/>
          <w:i w:val="false"/>
          <w:color w:val="000000"/>
          <w:sz w:val="22"/>
        </w:rPr>
        <w:t>The aerial applicator consultant shall provide the licensed aerial applicator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where the consultant may be reached during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or location of the property where the pesticide will be applied including detailed maps of fields that clearly depict the field boundaries, roads, dwellings, adjacent fields, water bodies, and other pertinent information, as well as county, township and section and latitude/longitude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of the pesticide(s) to be applied and copies of each label along with instructions necessary to comply with Iowa’s pesticide rules. The aerial applicator consultant shall verify that the aerial applicator has read and understands the label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Maps of the intended location for each pesticide application reviewed and approved by the aerial applicator consultant. The aerial applicator consultant shall provide information to the aerial applicator regarding sensitive areas listed on the department’s sensitive crop registry and shall arrange for proper safety precautions to protect registered apiaries.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identification of nearby sensitive areas including the location of endangered species as identified by EPA and listed on the pesticide bureau’s website, water bodies in or adjoining the field of application, roads adjoining the field of application, and places adjoining the field of application that may be occupied by people, including farmworkers.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The aerial applicator is responsible for applying pesticides in compliance with label directions and Iowa’s pesticide rules. The aerial applicator consultant supplying a pesticide for application by the aerial applicator is responsible for handling and mixing the pesticides according to label directions and Iowa’s pesticide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Aerial applicator certification and continuing instruction. </w:t>
      </w:r>
      <w:r>
        <w:rPr>
          <w:rFonts w:ascii="Times New Roman" w:hAnsi="Times New Roman"/>
          <w:b w:val="false"/>
          <w:i w:val="false"/>
          <w:color w:val="000000"/>
          <w:sz w:val="22"/>
        </w:rPr>
        <w:t>An aerial applicator and aerial applicator consultant shall pass an examination for initial certification. An aerial applicator from a state with an approved reciprocal certification agreement will be eligible for reciprocal certification. Each certified aerial applicator and aerial applicator consultant shall participate in a program of continuing instruction that shall consist of either an examination or educational program approved by the department. The continuing instruction program shall include information regarding the safe application and handling of pesticides and responsible operation of aircraft spray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45.22(15)</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for supervisions of noncertified applicators by certified commercial applicators. </w:t>
      </w:r>
      <w:r>
        <w:rPr>
          <w:rFonts w:ascii="Times New Roman" w:hAnsi="Times New Roman"/>
          <w:b w:val="false"/>
          <w:i w:val="false"/>
          <w:color w:val="000000"/>
          <w:sz w:val="22"/>
        </w:rPr>
        <w:t xml:space="preserve">Commercial applicators shall maintain records of noncertified applicator qualifications in accordance with </w:t>
      </w:r>
      <w:hyperlink r:id="rId33">
        <w:r>
          <w:rPr>
            <w:rStyle w:val="Hyperlink"/>
            <w:rFonts w:ascii="Times New Roman" w:hAnsi="Times New Roman"/>
            <w:b w:val="false"/>
            <w:i w:val="false"/>
            <w:color w:val="000000"/>
            <w:sz w:val="22"/>
          </w:rPr>
          <w:t>45.26(3)</w:t>
        </w:r>
      </w:hyperlink>
      <w:r>
        <w:rPr>
          <w:rFonts w:ascii="Times New Roman" w:hAnsi="Times New Roman"/>
          <w:b w:val="false"/>
          <w:i w:val="false"/>
          <w:color w:val="000000"/>
          <w:sz w:val="22"/>
        </w:rPr>
        <w:t xml:space="preserve"> for two years from the date of the restricted use pesticide application and shall furnish copies to the secretary upon request in writing. Records of each transaction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noncertified applicator and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certified applicator’s certification number on the document evidencing that person’s certification, the state or other governmental unit that issued the document, and the expiration date of the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206.4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206.7</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206.31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21—45.23</w:t>
      </w:r>
      <w:r>
        <w:rPr>
          <w:rFonts w:ascii="Times New Roman" w:hAnsi="Times New Roman"/>
          <w:b/>
          <w:i w:val="false"/>
          <w:color w:val="000000"/>
          <w:sz w:val="22"/>
        </w:rPr>
        <w:t xml:space="preserve">(206) </w:t>
      </w:r>
      <w:r>
        <w:rPr>
          <w:rFonts w:ascii="Times New Roman" w:hAnsi="Times New Roman"/>
          <w:b/>
          <w:i w:val="false"/>
          <w:color w:val="000000"/>
          <w:sz w:val="22"/>
        </w:rPr>
        <w:t xml:space="preserve">Sale or possession of thallium. </w:t>
      </w:r>
      <w:r>
        <w:rPr>
          <w:rFonts w:ascii="Times New Roman" w:hAnsi="Times New Roman"/>
          <w:b w:val="false"/>
          <w:i w:val="false"/>
          <w:color w:val="000000"/>
          <w:sz w:val="22"/>
        </w:rPr>
        <w:t>No person shall sell or possess any thallium or thallium compound except federal, state, county, or municipal officers or their deputies for use in their official duties in pest control; research or chemical laboratories in their respective fields; regularly licensed pest control operators for use in their own service work; properly registered ant, mole and rodent poisons containing thallium expressed as metallic not more than one percent; wholesalers or jobbers of pesticides for sale to the aforementioned persons; or for export.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21—45.24</w:t>
      </w:r>
      <w:r>
        <w:rPr>
          <w:rFonts w:ascii="Times New Roman" w:hAnsi="Times New Roman"/>
          <w:b/>
          <w:i w:val="false"/>
          <w:color w:val="000000"/>
          <w:sz w:val="22"/>
        </w:rPr>
        <w:t xml:space="preserve">(206) </w:t>
      </w:r>
      <w:r>
        <w:rPr>
          <w:rFonts w:ascii="Times New Roman" w:hAnsi="Times New Roman"/>
          <w:b/>
          <w:i w:val="false"/>
          <w:color w:val="000000"/>
          <w:sz w:val="22"/>
        </w:rPr>
        <w:t xml:space="preserve">Warning, caution and antidote statements. </w:t>
      </w:r>
      <w:r>
        <w:rPr>
          <w:rFonts w:ascii="Times New Roman" w:hAnsi="Times New Roman"/>
          <w:b w:val="false"/>
          <w:i w:val="false"/>
          <w:color w:val="000000"/>
          <w:sz w:val="22"/>
        </w:rPr>
        <w:t xml:space="preserve">In order to promote uniformity among the requirements of the Iowa pesticide Act and requirements of the several states and the federal government, Iowa Code section </w:t>
      </w:r>
      <w:hyperlink r:id="rId40">
        <w:r>
          <w:rPr>
            <w:rStyle w:val="Hyperlink"/>
            <w:rFonts w:ascii="Times New Roman" w:hAnsi="Times New Roman"/>
            <w:b w:val="false"/>
            <w:i w:val="false"/>
            <w:color w:val="000000"/>
            <w:sz w:val="22"/>
          </w:rPr>
          <w:t>206.21</w:t>
        </w:r>
      </w:hyperlink>
      <w:r>
        <w:rPr>
          <w:rFonts w:ascii="Times New Roman" w:hAnsi="Times New Roman"/>
          <w:b w:val="false"/>
          <w:i w:val="false"/>
          <w:color w:val="000000"/>
          <w:sz w:val="22"/>
        </w:rPr>
        <w:t xml:space="preserve"> of the Iowa pesticide Act provides for the adoption of rules and regulations in conformity with those prescribed by the United States department of agriculture. Warning, caution and antidote statements required to appear on labels of pesticides under the Iowa pesticide Act shall conform to the warning, caution and antidote statements required under 40 CFR 156 as revised December 14, 2001, and any associated regulations are hereby incorporated into this rule by reference and make a part hereof for the enforcement of FIFRA.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21—45.25</w:t>
      </w:r>
      <w:r>
        <w:rPr>
          <w:rFonts w:ascii="Times New Roman" w:hAnsi="Times New Roman"/>
          <w:b/>
          <w:i w:val="false"/>
          <w:color w:val="000000"/>
          <w:sz w:val="22"/>
        </w:rPr>
        <w:t xml:space="preserve">(206) </w:t>
      </w:r>
      <w:r>
        <w:rPr>
          <w:rFonts w:ascii="Times New Roman" w:hAnsi="Times New Roman"/>
          <w:b/>
          <w:i w:val="false"/>
          <w:color w:val="000000"/>
          <w:sz w:val="22"/>
        </w:rPr>
        <w:t xml:space="preserve">Declaration of pests. </w:t>
      </w:r>
      <w:r>
        <w:rPr>
          <w:rFonts w:ascii="Times New Roman" w:hAnsi="Times New Roman"/>
          <w:b w:val="false"/>
          <w:i w:val="false"/>
          <w:color w:val="000000"/>
          <w:sz w:val="22"/>
        </w:rPr>
        <w:t>The secretary declares the following to be pests: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insect, rodent, nematode, fungus, weed,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form of plant and animal life, virus, or other microorganism, except viruses or other microorganisms on or in living man or other living animals, that exists under circumstances that make it unduly injurious to plants, man, domestic animals, other useful vertebrates, useful invertebrates, or other articles or substances.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21—45.26</w:t>
      </w:r>
      <w:r>
        <w:rPr>
          <w:rFonts w:ascii="Times New Roman" w:hAnsi="Times New Roman"/>
          <w:b/>
          <w:i w:val="false"/>
          <w:color w:val="000000"/>
          <w:sz w:val="22"/>
        </w:rPr>
        <w:t xml:space="preserve">(206) </w:t>
      </w:r>
      <w:r>
        <w:rPr>
          <w:rFonts w:ascii="Times New Roman" w:hAnsi="Times New Roman"/>
          <w:b/>
          <w:i w:val="false"/>
          <w:color w:val="000000"/>
          <w:sz w:val="22"/>
        </w:rPr>
        <w:t xml:space="preserve">Recordkeeping requirements. </w:t>
      </w:r>
      <w:r>
        <w:rPr>
          <w:rFonts w:ascii="Times New Roman" w:hAnsi="Times New Roman"/>
          <w:b w:val="false"/>
          <w:i w:val="false"/>
          <w:color w:val="000000"/>
          <w:sz w:val="22"/>
        </w:rPr>
        <w:t>Commercial applicators and retail dealers shall maintain records with respect to application of pesticides for a period of three years from the date of application of the pesticides to which the records refer and shall furnish copies to the secretary upon request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45.26(1)</w:t>
      </w:r>
      <w:r>
        <w:rPr>
          <w:rFonts w:ascii="Times New Roman" w:hAnsi="Times New Roman"/>
          <w:b w:val="false"/>
          <w:i w:val="false"/>
          <w:color w:val="000000"/>
          <w:sz w:val="22"/>
        </w:rPr>
        <w:t> </w:t>
      </w:r>
      <w:r>
        <w:rPr>
          <w:rFonts w:ascii="Times New Roman" w:hAnsi="Times New Roman"/>
          <w:b w:val="false"/>
          <w:i/>
          <w:color w:val="000000"/>
          <w:sz w:val="22"/>
        </w:rPr>
        <w:t xml:space="preserve">Retail dealers—sales to certified applicators. </w:t>
      </w:r>
      <w:r>
        <w:rPr>
          <w:rFonts w:ascii="Times New Roman" w:hAnsi="Times New Roman"/>
          <w:b w:val="false"/>
          <w:i w:val="false"/>
          <w:color w:val="000000"/>
          <w:sz w:val="22"/>
        </w:rPr>
        <w:t>Each restricted use pesticide retail dealer shall maintain at each individual dealership records of each transaction where a restricted use pesticide is made available for use by that dealership to a certified applicator. Record of each transaction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residence or principal place of business of each person to whom the pesticide was made available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certification number on the document evidencing that person’s certification, the state (or other governmental unit) that issued the document, the expiration date of the certification and the categories in which the applicator is certified,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product name, EPA registration number granted under Section 24(c) of FIFRA (if any) on the label of the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quantity of the pesticide made available for use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45.26(2)</w:t>
      </w:r>
      <w:r>
        <w:rPr>
          <w:rFonts w:ascii="Times New Roman" w:hAnsi="Times New Roman"/>
          <w:b w:val="false"/>
          <w:i w:val="false"/>
          <w:color w:val="000000"/>
          <w:sz w:val="22"/>
        </w:rPr>
        <w:t> </w:t>
      </w:r>
      <w:r>
        <w:rPr>
          <w:rFonts w:ascii="Times New Roman" w:hAnsi="Times New Roman"/>
          <w:b w:val="false"/>
          <w:i/>
          <w:color w:val="000000"/>
          <w:sz w:val="22"/>
        </w:rPr>
        <w:t xml:space="preserve">Sales to uncertified persons. </w:t>
      </w:r>
      <w:r>
        <w:rPr>
          <w:rFonts w:ascii="Times New Roman" w:hAnsi="Times New Roman"/>
          <w:b w:val="false"/>
          <w:i w:val="false"/>
          <w:color w:val="000000"/>
          <w:sz w:val="22"/>
        </w:rPr>
        <w:t>No dealership may make a restricted use pesticide available to an uncertified person unless the dealer or dealership can document that the restricted use pesticide will be used by a certified applicator and the dealer or dealership maintains the records required in this subrule. Each restricted use pesticide retail dealer shall maintain records at each individual dealership of each transaction where a restricted use pesticide was made available to an uncertified person for use by a certified applicator. Records of each transaction shall be maintained for a period of 36 months after the date of the transaction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residence or principal place of business of the uncertified person to whom the restricted use pesticide is made available for use by a certified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residence or principal place of business of the certified applicator who will use the restricted use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applicator’s certification number, the state (or other governmental unit) that issued the certification document, the expiration date of the certification and the categories in which the applicator is certified,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product name, EPA registration number and the state special local need registration number granted under Section 24(c) of FIFRA (if any) on the label of the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quantity of the pesticide made available for use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45.26(3)</w:t>
      </w:r>
      <w:r>
        <w:rPr>
          <w:rFonts w:ascii="Times New Roman" w:hAnsi="Times New Roman"/>
          <w:b w:val="false"/>
          <w:i w:val="false"/>
          <w:color w:val="000000"/>
          <w:sz w:val="22"/>
        </w:rPr>
        <w:t> </w:t>
      </w:r>
      <w:r>
        <w:rPr>
          <w:rFonts w:ascii="Times New Roman" w:hAnsi="Times New Roman"/>
          <w:b w:val="false"/>
          <w:i/>
          <w:color w:val="000000"/>
          <w:sz w:val="22"/>
        </w:rPr>
        <w:t xml:space="preserve">Commercial applicators. </w:t>
      </w:r>
      <w:r>
        <w:rPr>
          <w:rFonts w:ascii="Times New Roman" w:hAnsi="Times New Roman"/>
          <w:b w:val="false"/>
          <w:i w:val="false"/>
          <w:color w:val="000000"/>
          <w:sz w:val="22"/>
        </w:rPr>
        <w:t>Every commercial applicator shall make, or cause to have made, office records of all application activities on each pesticide applied. Records for application activities involving more than one licensed commercial applicator or billed through a licensed pesticide dealer shall be maintained by each licensee. Each set of records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license number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landowner or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of the place of application of restricted use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pesticide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Trade name and EPA registration number of the pesticide product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quantity of pesticide product used, the concentration or rate of application, and the size of the treatment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applicable, the temperature and the direction and estimated velocity of wind at time of application to any outdoor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 of “restricted use” pesticide to include the crop, commodity, stored product or site to which the pesticide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Time pesticide application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applicator who made or supervised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name of any noncertified applicator(s) who made the application under direct supervision as required under subrule </w:t>
      </w:r>
      <w:hyperlink r:id="rId41">
        <w:r>
          <w:rPr>
            <w:rStyle w:val="Hyperlink"/>
            <w:rFonts w:ascii="Times New Roman" w:hAnsi="Times New Roman"/>
            <w:b w:val="false"/>
            <w:i w:val="false"/>
            <w:color w:val="000000"/>
            <w:sz w:val="22"/>
          </w:rPr>
          <w:t>45.22(15)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206.11(3)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206.15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21—45.27</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high volatile esters. </w:t>
      </w:r>
      <w:r>
        <w:rPr>
          <w:rFonts w:ascii="Times New Roman" w:hAnsi="Times New Roman"/>
          <w:b w:val="false"/>
          <w:i w:val="false"/>
          <w:color w:val="000000"/>
          <w:sz w:val="22"/>
        </w:rPr>
        <w:t>The use of high volatile esters formulations of 2,4-D and 2,4,5-T, the alcohol fraction of which contains five or fewer carbons, shall be prohibited in the counties of Harrison, Mills, Lee, Muscatine and that part of Pottawattamie county west of Range 41 West of the 5th P.M. to become effective upon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21—45.28</w:t>
      </w:r>
      <w:r>
        <w:rPr>
          <w:rFonts w:ascii="Times New Roman" w:hAnsi="Times New Roman"/>
          <w:b/>
          <w:i w:val="false"/>
          <w:color w:val="000000"/>
          <w:sz w:val="22"/>
        </w:rPr>
        <w:t xml:space="preserve">(206) </w:t>
      </w:r>
      <w:r>
        <w:rPr>
          <w:rFonts w:ascii="Times New Roman" w:hAnsi="Times New Roman"/>
          <w:b/>
          <w:i w:val="false"/>
          <w:color w:val="000000"/>
          <w:sz w:val="22"/>
        </w:rPr>
        <w:t xml:space="preserve">Emergency single purchase of restricted use pesticide. </w:t>
      </w:r>
      <w:r>
        <w:rPr>
          <w:rFonts w:ascii="Times New Roman" w:hAnsi="Times New Roman"/>
          <w:b w:val="false"/>
          <w:i w:val="false"/>
          <w:color w:val="000000"/>
          <w:sz w:val="22"/>
        </w:rPr>
        <w:t xml:space="preserve">The department shall issue a temporary certificate to private applicators for a single purchase of restricted use pesticides in situations declared to be an emergency by the department, upon receipt of the following completed and signed affidavit. No person shall use a restricted use pesticide without first complying with the requirements for applicator certification outlined in subrule </w:t>
      </w:r>
      <w:hyperlink r:id="rId44">
        <w:r>
          <w:rPr>
            <w:rStyle w:val="Hyperlink"/>
            <w:rFonts w:ascii="Times New Roman" w:hAnsi="Times New Roman"/>
            <w:b w:val="false"/>
            <w:i w:val="false"/>
            <w:color w:val="000000"/>
            <w:sz w:val="22"/>
          </w:rPr>
          <w:t>45.22(7)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center"/>
      </w:pPr>
      <w:hyperlink r:id="rId45">
        <w:r>
          <w:rPr>
            <w:rStyle w:val="Hyperlink"/>
            <w:rFonts w:ascii="Times New Roman" w:hAnsi="Times New Roman"/>
            <w:b w:val="false"/>
            <w:i w:val="false"/>
            <w:color w:val="000000"/>
            <w:sz w:val="22"/>
          </w:rPr>
          <w:t>21—45.28(206)</w:t>
        </w:r>
      </w:hyperlink>
      <w:r>
        <w:rPr>
          <w:rFonts w:ascii="Times New Roman" w:hAnsi="Times New Roman"/>
          <w:b w:val="false"/>
          <w:i w:val="false"/>
          <w:color w:val="000000"/>
          <w:sz w:val="22"/>
        </w:rPr>
        <w:t xml:space="preserve"> EMERGENCY SALE OF A RESTRICTED USE </w:t>
      </w:r>
    </w:p>
    <w:p>
      <w:pPr>
        <w:spacing w:before="0" w:after="0"/>
        <w:ind w:left="120"/>
        <w:jc w:val="center"/>
      </w:pPr>
      <w:r>
        <w:rPr>
          <w:rFonts w:ascii="Times New Roman" w:hAnsi="Times New Roman"/>
          <w:b w:val="false"/>
          <w:i w:val="false"/>
          <w:color w:val="000000"/>
          <w:sz w:val="22"/>
        </w:rPr>
        <w:t>PESTICIDE BY A PRIVATE APPLICATOR</w:t>
      </w:r>
    </w:p>
    <w:p>
      <w:pPr>
        <w:spacing w:before="0" w:after="0"/>
        <w:ind w:left="120"/>
        <w:jc w:val="both"/>
      </w:pPr>
      <w:r>
        <w:rPr>
          <w:rFonts w:ascii="Times New Roman" w:hAnsi="Times New Roman"/>
          <w:b w:val="false"/>
          <w:i w:val="false"/>
          <w:color w:val="000000"/>
          <w:sz w:val="22"/>
        </w:rPr>
        <w:t>Emergency Single Purchase of Restricted Use Pesticide—Affidavit.</w:t>
      </w:r>
    </w:p>
    <w:p>
      <w:pPr>
        <w:spacing w:before="0" w:after="0"/>
        <w:ind w:left="120"/>
        <w:jc w:val="both"/>
      </w:pPr>
      <w:r>
        <w:rPr>
          <w:rFonts w:ascii="Times New Roman" w:hAnsi="Times New Roman"/>
          <w:b w:val="false"/>
          <w:i w:val="false"/>
          <w:color w:val="000000"/>
          <w:sz w:val="22"/>
        </w:rPr>
        <w:t>The Label which I have read, indicates:</w:t>
      </w:r>
    </w:p>
    <w:p>
      <w:pPr>
        <w:spacing w:before="0" w:after="0"/>
        <w:ind w:left="120"/>
        <w:jc w:val="both"/>
      </w:pPr>
      <w:r>
        <w:rPr>
          <w:rFonts w:ascii="Times New Roman" w:hAnsi="Times New Roman"/>
          <w:b w:val="false"/>
          <w:i w:val="false"/>
          <w:color w:val="000000"/>
          <w:sz w:val="22"/>
        </w:rPr>
        <w:t xml:space="preserve">Brand name of pesticide: </w:t>
      </w:r>
    </w:p>
    <w:p>
      <w:pPr>
        <w:spacing w:before="0" w:after="0"/>
        <w:ind w:left="120"/>
        <w:jc w:val="both"/>
      </w:pPr>
      <w:r>
        <w:rPr>
          <w:rFonts w:ascii="Times New Roman" w:hAnsi="Times New Roman"/>
          <w:b w:val="false"/>
          <w:i w:val="false"/>
          <w:color w:val="000000"/>
          <w:sz w:val="22"/>
        </w:rPr>
        <w:t xml:space="preserve">Federal Registration Number: </w:t>
      </w:r>
    </w:p>
    <w:p>
      <w:pPr>
        <w:spacing w:before="0" w:after="0"/>
        <w:ind w:left="120"/>
        <w:jc w:val="both"/>
      </w:pPr>
      <w:r>
        <w:rPr>
          <w:rFonts w:ascii="Times New Roman" w:hAnsi="Times New Roman"/>
          <w:b w:val="false"/>
          <w:i w:val="false"/>
          <w:color w:val="000000"/>
          <w:sz w:val="22"/>
        </w:rPr>
        <w:t xml:space="preserve">Name of Active Ingredient(s): </w:t>
      </w:r>
    </w:p>
    <w:p>
      <w:pPr>
        <w:spacing w:before="0" w:after="0"/>
        <w:ind w:left="120"/>
        <w:jc w:val="both"/>
      </w:pPr>
      <w:r>
        <w:rPr>
          <w:rFonts w:ascii="Times New Roman" w:hAnsi="Times New Roman"/>
          <w:b w:val="false"/>
          <w:i w:val="false"/>
          <w:color w:val="000000"/>
          <w:sz w:val="22"/>
        </w:rPr>
        <w:t xml:space="preserve">Percentage of Active Ingredient(s): </w:t>
      </w:r>
    </w:p>
    <w:p>
      <w:pPr>
        <w:spacing w:before="0" w:after="0"/>
        <w:ind w:left="120"/>
        <w:jc w:val="both"/>
      </w:pPr>
      <w:r>
        <w:rPr>
          <w:rFonts w:ascii="Times New Roman" w:hAnsi="Times New Roman"/>
          <w:b w:val="false"/>
          <w:i w:val="false"/>
          <w:color w:val="000000"/>
          <w:sz w:val="22"/>
        </w:rPr>
        <w:t>If the pesticide product is to be mixed with a carrier, show the amount of pesticide product per gallon of tank mix:</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Application rate per acre: </w:t>
      </w:r>
    </w:p>
    <w:p>
      <w:pPr>
        <w:spacing w:before="0" w:after="0"/>
        <w:ind w:left="120"/>
        <w:jc w:val="both"/>
      </w:pPr>
      <w:r>
        <w:rPr>
          <w:rFonts w:ascii="Times New Roman" w:hAnsi="Times New Roman"/>
          <w:b w:val="false"/>
          <w:i w:val="false"/>
          <w:color w:val="000000"/>
          <w:sz w:val="22"/>
        </w:rPr>
        <w:t xml:space="preserve">Name pest to be controlled: </w:t>
      </w:r>
    </w:p>
    <w:p>
      <w:pPr>
        <w:spacing w:before="0" w:after="0"/>
        <w:ind w:left="120"/>
        <w:jc w:val="both"/>
      </w:pPr>
      <w:r>
        <w:rPr>
          <w:rFonts w:ascii="Times New Roman" w:hAnsi="Times New Roman"/>
          <w:b w:val="false"/>
          <w:i w:val="false"/>
          <w:color w:val="000000"/>
          <w:sz w:val="22"/>
        </w:rPr>
        <w:t>At what stage of development is the pest most easily controlled:</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State degree of hazard (signal word): </w:t>
      </w:r>
    </w:p>
    <w:p>
      <w:pPr>
        <w:spacing w:before="0" w:after="0"/>
        <w:ind w:left="120"/>
        <w:jc w:val="both"/>
      </w:pPr>
      <w:r>
        <w:rPr>
          <w:rFonts w:ascii="Times New Roman" w:hAnsi="Times New Roman"/>
          <w:b w:val="false"/>
          <w:i w:val="false"/>
          <w:color w:val="000000"/>
          <w:sz w:val="22"/>
        </w:rPr>
        <w:t xml:space="preserve">Describe safety equipment required: </w:t>
      </w:r>
    </w:p>
    <w:p>
      <w:pPr>
        <w:spacing w:before="0" w:after="0"/>
        <w:ind w:left="120"/>
        <w:jc w:val="both"/>
      </w:pPr>
      <w:r>
        <w:rPr>
          <w:rFonts w:ascii="Times New Roman" w:hAnsi="Times New Roman"/>
          <w:b w:val="false"/>
          <w:i w:val="false"/>
          <w:color w:val="000000"/>
          <w:sz w:val="22"/>
        </w:rPr>
        <w:t xml:space="preserve">What is the recommended antidote for this product: </w:t>
      </w:r>
    </w:p>
    <w:p>
      <w:pPr>
        <w:spacing w:before="0" w:after="0"/>
        <w:ind w:left="120"/>
        <w:jc w:val="both"/>
      </w:pPr>
      <w:r>
        <w:rPr>
          <w:rFonts w:ascii="Times New Roman" w:hAnsi="Times New Roman"/>
          <w:b w:val="false"/>
          <w:i w:val="false"/>
          <w:color w:val="000000"/>
          <w:sz w:val="22"/>
        </w:rPr>
        <w:t xml:space="preserve">List environmental precaution shown on label: </w:t>
      </w:r>
    </w:p>
    <w:p>
      <w:pPr>
        <w:spacing w:before="0" w:after="0"/>
        <w:ind w:left="120"/>
        <w:jc w:val="both"/>
      </w:pPr>
      <w:r>
        <w:rPr>
          <w:rFonts w:ascii="Times New Roman" w:hAnsi="Times New Roman"/>
          <w:b w:val="false"/>
          <w:i w:val="false"/>
          <w:color w:val="000000"/>
          <w:sz w:val="22"/>
        </w:rPr>
        <w:t xml:space="preserve">Length of time until re-entry, if given: </w:t>
      </w:r>
    </w:p>
    <w:p>
      <w:pPr>
        <w:spacing w:before="0" w:after="0"/>
        <w:ind w:left="120"/>
        <w:jc w:val="both"/>
      </w:pPr>
      <w:r>
        <w:rPr>
          <w:rFonts w:ascii="Times New Roman" w:hAnsi="Times New Roman"/>
          <w:b w:val="false"/>
          <w:i w:val="false"/>
          <w:color w:val="000000"/>
          <w:sz w:val="22"/>
        </w:rPr>
        <w:t xml:space="preserve">Preharvest interval days required: </w:t>
      </w:r>
    </w:p>
    <w:p>
      <w:pPr>
        <w:spacing w:before="0" w:after="0"/>
        <w:ind w:left="120"/>
        <w:jc w:val="both"/>
      </w:pPr>
      <w:r>
        <w:rPr>
          <w:rFonts w:ascii="Times New Roman" w:hAnsi="Times New Roman"/>
          <w:b w:val="false"/>
          <w:i w:val="false"/>
          <w:color w:val="000000"/>
          <w:sz w:val="22"/>
        </w:rPr>
        <w:t xml:space="preserve">Describe method of container disposal: </w:t>
      </w:r>
    </w:p>
    <w:p>
      <w:pPr>
        <w:spacing w:before="0" w:after="0"/>
        <w:ind w:left="120"/>
        <w:jc w:val="both"/>
      </w:pPr>
      <w:r>
        <w:rPr>
          <w:rFonts w:ascii="Times New Roman" w:hAnsi="Times New Roman"/>
          <w:b w:val="false"/>
          <w:i w:val="false"/>
          <w:color w:val="000000"/>
          <w:sz w:val="22"/>
        </w:rPr>
        <w:t>I wish to make purchase of this pesticide on (date)</w:t>
      </w:r>
    </w:p>
    <w:p>
      <w:pPr>
        <w:spacing w:before="0" w:after="0"/>
        <w:ind w:left="120"/>
        <w:jc w:val="both"/>
      </w:pPr>
      <w:r>
        <w:rPr>
          <w:rFonts w:ascii="Times New Roman" w:hAnsi="Times New Roman"/>
          <w:b w:val="false"/>
          <w:i w:val="false"/>
          <w:color w:val="000000"/>
          <w:sz w:val="22"/>
        </w:rPr>
        <w:t>and I hereby swear under penalty of perjury that I understand the above label information and warnings.</w:t>
      </w:r>
    </w:p>
    <w:p>
      <w:pPr>
        <w:spacing w:before="0" w:after="0"/>
        <w:ind w:left="120"/>
        <w:jc w:val="right"/>
      </w:pPr>
      <w:r>
        <w:rPr>
          <w:rFonts w:ascii="Times New Roman" w:hAnsi="Times New Roman"/>
          <w:b w:val="false"/>
          <w:i w:val="false"/>
          <w:color w:val="000000"/>
          <w:sz w:val="22"/>
        </w:rPr>
        <w:t>_________________________________________</w:t>
      </w:r>
    </w:p>
    <w:p>
      <w:pPr>
        <w:spacing w:before="0" w:after="0"/>
        <w:ind w:left="120"/>
        <w:jc w:val="right"/>
      </w:pPr>
      <w:r>
        <w:rPr>
          <w:rFonts w:ascii="Times New Roman" w:hAnsi="Times New Roman"/>
          <w:b w:val="false"/>
          <w:i w:val="false"/>
          <w:color w:val="000000"/>
          <w:sz w:val="22"/>
        </w:rPr>
        <w:t xml:space="preserve"> (name of private applicator)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206.4</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21—45.29</w:t>
      </w:r>
      <w:r>
        <w:rPr>
          <w:rFonts w:ascii="Times New Roman" w:hAnsi="Times New Roman"/>
          <w:b/>
          <w:i w:val="false"/>
          <w:color w:val="000000"/>
          <w:sz w:val="22"/>
        </w:rPr>
        <w:t xml:space="preserve">(206) </w:t>
      </w:r>
      <w:r>
        <w:rPr>
          <w:rFonts w:ascii="Times New Roman" w:hAnsi="Times New Roman"/>
          <w:b/>
          <w:i w:val="false"/>
          <w:color w:val="000000"/>
          <w:sz w:val="22"/>
        </w:rPr>
        <w:t xml:space="preserve">Application of general use pesticide by nonlicensed commercial applicator. </w:t>
      </w:r>
      <w:r>
        <w:rPr>
          <w:rFonts w:ascii="Times New Roman" w:hAnsi="Times New Roman"/>
          <w:b w:val="false"/>
          <w:i w:val="false"/>
          <w:color w:val="000000"/>
          <w:sz w:val="22"/>
        </w:rPr>
        <w:t xml:space="preserve">A person may apply a general use pesticide without satisfying the licensing requirements of Iowa Code chapter </w:t>
      </w:r>
      <w:hyperlink r:id="rId48">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upon presenting evidence to the secretary of applying the pesticide under the direct supervision of a licensed commercial applicator or a public applicator.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21—45.30</w:t>
      </w:r>
      <w:r>
        <w:rPr>
          <w:rFonts w:ascii="Times New Roman" w:hAnsi="Times New Roman"/>
          <w:b/>
          <w:i w:val="false"/>
          <w:color w:val="000000"/>
          <w:sz w:val="22"/>
        </w:rPr>
        <w:t xml:space="preserve">(206) </w:t>
      </w:r>
      <w:r>
        <w:rPr>
          <w:rFonts w:ascii="Times New Roman" w:hAnsi="Times New Roman"/>
          <w:b/>
          <w:i w:val="false"/>
          <w:color w:val="000000"/>
          <w:sz w:val="22"/>
        </w:rPr>
        <w:t xml:space="preserve">Restricted use pesticides classified. </w:t>
      </w:r>
      <w:r>
        <w:rPr>
          <w:rFonts w:ascii="Times New Roman" w:hAnsi="Times New Roman"/>
          <w:b w:val="false"/>
          <w:i w:val="false"/>
          <w:color w:val="000000"/>
          <w:sz w:val="22"/>
        </w:rPr>
        <w:t xml:space="preserve">Pesticide products containing active ingredients classified as restricted use are limited to use by or under the direct supervision of a certified applicator. In addition to any pesticide product containing active ingredients classified as restricted use by the department, a pesticide product containing active ingredients classified as restricted use shall include any pesticide product classified as restricted use by the EPA under the FIFRA, </w:t>
      </w:r>
      <w:r>
        <w:rPr>
          <w:rFonts w:ascii="Times New Roman" w:hAnsi="Times New Roman"/>
          <w:b w:val="false"/>
          <w:i w:val="false"/>
          <w:color w:val="000000"/>
          <w:sz w:val="22"/>
        </w:rPr>
        <w:t>3 U.S.C.</w:t>
      </w:r>
      <w:r>
        <w:rPr>
          <w:rFonts w:ascii="Times New Roman" w:hAnsi="Times New Roman"/>
          <w:b w:val="false"/>
          <w:i w:val="false"/>
          <w:color w:val="000000"/>
          <w:sz w:val="22"/>
        </w:rPr>
        <w:t xml:space="preserve"> section 136a(d), as amended to October 9, 2007, or </w:t>
      </w:r>
      <w:r>
        <w:rPr>
          <w:rFonts w:ascii="Times New Roman" w:hAnsi="Times New Roman"/>
          <w:b w:val="false"/>
          <w:i w:val="false"/>
          <w:color w:val="000000"/>
          <w:sz w:val="22"/>
        </w:rPr>
        <w:t>40 CFR §152.164(c)</w:t>
      </w:r>
      <w:r>
        <w:rPr>
          <w:rFonts w:ascii="Times New Roman" w:hAnsi="Times New Roman"/>
          <w:b w:val="false"/>
          <w:i w:val="false"/>
          <w:color w:val="000000"/>
          <w:sz w:val="22"/>
        </w:rPr>
        <w:t>, as amended to June 19, 1995.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21—45.31</w:t>
      </w:r>
      <w:r>
        <w:rPr>
          <w:rFonts w:ascii="Times New Roman" w:hAnsi="Times New Roman"/>
          <w:b/>
          <w:i w:val="false"/>
          <w:color w:val="000000"/>
          <w:sz w:val="22"/>
        </w:rPr>
        <w:t xml:space="preserve">(206) </w:t>
      </w:r>
      <w:r>
        <w:rPr>
          <w:rFonts w:ascii="Times New Roman" w:hAnsi="Times New Roman"/>
          <w:b/>
          <w:i w:val="false"/>
          <w:color w:val="000000"/>
          <w:sz w:val="22"/>
        </w:rPr>
        <w:t xml:space="preserve">Application of pesticides toxic to bees.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45.31(1)</w:t>
      </w:r>
      <w:r>
        <w:rPr>
          <w:rFonts w:ascii="Times New Roman" w:hAnsi="Times New Roman"/>
          <w:b w:val="false"/>
          <w:i w:val="false"/>
          <w:color w:val="000000"/>
          <w:sz w:val="22"/>
        </w:rPr>
        <w:t> </w:t>
      </w:r>
      <w:r>
        <w:rPr>
          <w:rFonts w:ascii="Times New Roman" w:hAnsi="Times New Roman"/>
          <w:b w:val="false"/>
          <w:i w:val="false"/>
          <w:color w:val="000000"/>
          <w:sz w:val="22"/>
        </w:rPr>
        <w:t>Owners of apiaries, in order to protect their bees from pesticide applications, shall register the location of their apiaries with the state apiarist. Registration shall be on forms provided by the department. The registration expires December 31 each year and may be renewed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45.31(2)</w:t>
      </w:r>
      <w:r>
        <w:rPr>
          <w:rFonts w:ascii="Times New Roman" w:hAnsi="Times New Roman"/>
          <w:b w:val="false"/>
          <w:i w:val="false"/>
          <w:color w:val="000000"/>
          <w:sz w:val="22"/>
        </w:rPr>
        <w:t> </w:t>
      </w:r>
      <w:r>
        <w:rPr>
          <w:rFonts w:ascii="Times New Roman" w:hAnsi="Times New Roman"/>
          <w:b w:val="false"/>
          <w:i w:val="false"/>
          <w:color w:val="000000"/>
          <w:sz w:val="22"/>
        </w:rPr>
        <w:t>Between 8 a.m. and 6 p.m., a commercial applicator shall not apply to blooming crops pesticides labeled as toxic to bees when the commercial applicator is located within one mile of a registered apiary. A commercial applicator shall be responsible for maintaining the one-mile distance from apiaries that are registered and listed on the sensitive crop registry on the first day of each month.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206.6(5)</w:t>
        </w:r>
      </w:hyperlink>
      <w:r>
        <w:rPr>
          <w:rFonts w:ascii="Times New Roman" w:hAnsi="Times New Roman"/>
          <w:b w:val="false"/>
          <w:i/>
          <w:color w:val="000000"/>
          <w:sz w:val="22"/>
        </w:rPr>
        <w:t>“a”</w:t>
      </w:r>
      <w:r>
        <w:rPr>
          <w:rFonts w:ascii="Times New Roman" w:hAnsi="Times New Roman"/>
          <w:b w:val="false"/>
          <w:i w:val="false"/>
          <w:color w:val="000000"/>
          <w:sz w:val="22"/>
        </w:rPr>
        <w:t>(3) and 206.19(2).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21—45.32</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DDT and DDD. </w:t>
      </w:r>
      <w:r>
        <w:rPr>
          <w:rFonts w:ascii="Times New Roman" w:hAnsi="Times New Roman"/>
          <w:b w:val="false"/>
          <w:i w:val="false"/>
          <w:color w:val="000000"/>
          <w:sz w:val="22"/>
        </w:rPr>
        <w:t>Pesticides containing dichloro diphenyl trichloroethane (DDT) or dichloro diphenyl dichloroethane (DDD) shall not be distributed, sold or used except for control of pests of public health importance and pests subject to state or federal quarantines where applications of pesticides are made under the direct supervision of public health officials or state or federal quarantine officials.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21—45.33</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inorganic arsenic.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45.33(1)</w:t>
      </w:r>
      <w:r>
        <w:rPr>
          <w:rFonts w:ascii="Times New Roman" w:hAnsi="Times New Roman"/>
          <w:b w:val="false"/>
          <w:i w:val="false"/>
          <w:color w:val="000000"/>
          <w:sz w:val="22"/>
        </w:rPr>
        <w:t> </w:t>
      </w:r>
      <w:r>
        <w:rPr>
          <w:rFonts w:ascii="Times New Roman" w:hAnsi="Times New Roman"/>
          <w:b w:val="false"/>
          <w:i/>
          <w:color w:val="000000"/>
          <w:sz w:val="22"/>
        </w:rPr>
        <w:t xml:space="preserve">Home use. </w:t>
      </w:r>
      <w:r>
        <w:rPr>
          <w:rFonts w:ascii="Times New Roman" w:hAnsi="Times New Roman"/>
          <w:b w:val="false"/>
          <w:i w:val="false"/>
          <w:color w:val="000000"/>
          <w:sz w:val="22"/>
        </w:rPr>
        <w:t>Formulations of inorganic arsenic containing more than 1 percent arsenic (expressed as elemental arsenic) shall not be distributed or sold for use as a pesticide in or around the home for the purpose of preventing, destroying or repelling any weed, rodent, insect or other pests.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45.33(2)</w:t>
      </w:r>
      <w:r>
        <w:rPr>
          <w:rFonts w:ascii="Times New Roman" w:hAnsi="Times New Roman"/>
          <w:b w:val="false"/>
          <w:i w:val="false"/>
          <w:color w:val="000000"/>
          <w:sz w:val="22"/>
        </w:rPr>
        <w:t> </w:t>
      </w:r>
      <w:r>
        <w:rPr>
          <w:rFonts w:ascii="Times New Roman" w:hAnsi="Times New Roman"/>
          <w:b w:val="false"/>
          <w:i/>
          <w:color w:val="000000"/>
          <w:sz w:val="22"/>
        </w:rPr>
        <w:t xml:space="preserve">Other uses. </w:t>
      </w:r>
      <w:r>
        <w:rPr>
          <w:rFonts w:ascii="Times New Roman" w:hAnsi="Times New Roman"/>
          <w:b w:val="false"/>
          <w:i w:val="false"/>
          <w:color w:val="000000"/>
          <w:sz w:val="22"/>
        </w:rPr>
        <w:t>Formulations of inorganic arsenic shall not be distributed or sold for use as a pesticide for the purpose of preventing, destroying or repelling any weed, rodent, insect or other pests, unless there are no acceptable alternative methods of control available, as determined by the department. Where no acceptable alternative methods of control are available, and an inorganic arsenic formulation is approved for use by the department, such approval shall include specific conditions designed to protect the applicator, as well as the public health and welfare; and a permit must be secured by the user from the department prior to the application or use of the product.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206.23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21—45.34</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heptachlor. </w:t>
      </w:r>
      <w:r>
        <w:rPr>
          <w:rFonts w:ascii="Times New Roman" w:hAnsi="Times New Roman"/>
          <w:b w:val="false"/>
          <w:i w:val="false"/>
          <w:color w:val="000000"/>
          <w:sz w:val="22"/>
        </w:rPr>
        <w:t>Pesticides containing heptachlor shall not be distributed, sold or used for the purposes of preventing, destroying or repelling mosquitoes or flies.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206.23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21—45.35</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lindane. </w:t>
      </w:r>
      <w:r>
        <w:rPr>
          <w:rFonts w:ascii="Times New Roman" w:hAnsi="Times New Roman"/>
          <w:b w:val="false"/>
          <w:i w:val="false"/>
          <w:color w:val="000000"/>
          <w:sz w:val="22"/>
        </w:rPr>
        <w:t>Formulations of pesticides containing lindane or crystalline lindane shall not be distributed, sold or used when the lindane is prepared, identified, packaged or advertised to be vaporized through the use of thermal vaporizing devices.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206.23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21—45.36</w:t>
      </w:r>
      <w:r>
        <w:rPr>
          <w:rFonts w:ascii="Times New Roman" w:hAnsi="Times New Roman"/>
          <w:b/>
          <w:i w:val="false"/>
          <w:color w:val="000000"/>
          <w:sz w:val="22"/>
        </w:rPr>
        <w:t xml:space="preserve">(206) </w:t>
      </w:r>
      <w:r>
        <w:rPr>
          <w:rFonts w:ascii="Times New Roman" w:hAnsi="Times New Roman"/>
          <w:b/>
          <w:i w:val="false"/>
          <w:color w:val="000000"/>
          <w:sz w:val="22"/>
        </w:rPr>
        <w:t xml:space="preserve">Reports of livestock poisoning. </w:t>
      </w:r>
      <w:r>
        <w:rPr>
          <w:rFonts w:ascii="Times New Roman" w:hAnsi="Times New Roman"/>
          <w:b w:val="false"/>
          <w:i w:val="false"/>
          <w:color w:val="000000"/>
          <w:sz w:val="22"/>
        </w:rPr>
        <w:t xml:space="preserve">Any person practicing veterinary medicine under the provisions of Iowa Code chapter </w:t>
      </w:r>
      <w:hyperlink r:id="rId60">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encountering a case of poisoning, or suspected poisoning, of domestic livestock through injury from contact with, exposure to, or ingestion of any biological or chemical agent or compound, shall immediately report by telephone or telegraph such poisoning to the head of the veterinary diagnostic laboratory of Iowa state university of science and technology, who shall immediately notify the state veterinarian of any such reports. Reports made pursuant to this rule shall be confirmed in writing as provided in subrule </w:t>
      </w:r>
      <w:hyperlink r:id="rId61">
        <w:r>
          <w:rPr>
            <w:rStyle w:val="Hyperlink"/>
            <w:rFonts w:ascii="Times New Roman" w:hAnsi="Times New Roman"/>
            <w:b w:val="false"/>
            <w:i w:val="false"/>
            <w:color w:val="000000"/>
            <w:sz w:val="22"/>
          </w:rPr>
          <w:t>45.36(2)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45.36(1)</w:t>
      </w:r>
      <w:r>
        <w:rPr>
          <w:rFonts w:ascii="Times New Roman" w:hAnsi="Times New Roman"/>
          <w:b w:val="false"/>
          <w:i w:val="false"/>
          <w:color w:val="000000"/>
          <w:sz w:val="22"/>
        </w:rPr>
        <w:t> </w:t>
      </w:r>
      <w:r>
        <w:rPr>
          <w:rFonts w:ascii="Times New Roman" w:hAnsi="Times New Roman"/>
          <w:b w:val="false"/>
          <w:i/>
          <w:color w:val="000000"/>
          <w:sz w:val="22"/>
        </w:rPr>
        <w:t xml:space="preserve">Verbal report. </w:t>
      </w:r>
      <w:r>
        <w:rPr>
          <w:rFonts w:ascii="Times New Roman" w:hAnsi="Times New Roman"/>
          <w:b w:val="false"/>
          <w:i w:val="false"/>
          <w:color w:val="000000"/>
          <w:sz w:val="22"/>
        </w:rPr>
        <w:t xml:space="preserve">The verbal report of a case of such poisoning shall provide information on as many of the items listed in subrule </w:t>
      </w:r>
      <w:hyperlink r:id="rId62">
        <w:r>
          <w:rPr>
            <w:rStyle w:val="Hyperlink"/>
            <w:rFonts w:ascii="Times New Roman" w:hAnsi="Times New Roman"/>
            <w:b w:val="false"/>
            <w:i w:val="false"/>
            <w:color w:val="000000"/>
            <w:sz w:val="22"/>
          </w:rPr>
          <w:t>45.36(2)</w:t>
        </w:r>
      </w:hyperlink>
      <w:r>
        <w:rPr>
          <w:rFonts w:ascii="Times New Roman" w:hAnsi="Times New Roman"/>
          <w:b w:val="false"/>
          <w:i w:val="false"/>
          <w:color w:val="000000"/>
          <w:sz w:val="22"/>
        </w:rPr>
        <w:t xml:space="preserve"> as available data allows.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written report of a case of such poisoning shall be submitted within 48 hours, with one copy to the department and one copy to the veterinary diagnostic laboratory, and shall contain the following information on forms provided by the veterinary diagnostic laboratory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Location of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and date of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and type of livestock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Poison agent, known or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Location of source of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Type and degree of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mailing address and telephone number of livestock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release of poisoning agent is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poisoning agent is on land or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that may assist in evaluation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Name and address of reporting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45.36(3)</w:t>
      </w:r>
      <w:r>
        <w:rPr>
          <w:rFonts w:ascii="Times New Roman" w:hAnsi="Times New Roman"/>
          <w:b w:val="false"/>
          <w:i w:val="false"/>
          <w:color w:val="000000"/>
          <w:sz w:val="22"/>
        </w:rPr>
        <w:t> </w:t>
      </w:r>
      <w:r>
        <w:rPr>
          <w:rFonts w:ascii="Times New Roman" w:hAnsi="Times New Roman"/>
          <w:b w:val="false"/>
          <w:i/>
          <w:color w:val="000000"/>
          <w:sz w:val="22"/>
        </w:rPr>
        <w:t xml:space="preserve">Subsequent findings. </w:t>
      </w:r>
      <w:r>
        <w:rPr>
          <w:rFonts w:ascii="Times New Roman" w:hAnsi="Times New Roman"/>
          <w:b w:val="false"/>
          <w:i w:val="false"/>
          <w:color w:val="000000"/>
          <w:sz w:val="22"/>
        </w:rPr>
        <w:t>All subsequent findings and diagnostic results shall be submitted as soon as they become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206.23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21—45.37</w:t>
      </w:r>
      <w:r>
        <w:rPr>
          <w:rFonts w:ascii="Times New Roman" w:hAnsi="Times New Roman"/>
          <w:b/>
          <w:i w:val="false"/>
          <w:color w:val="000000"/>
          <w:sz w:val="22"/>
        </w:rPr>
        <w:t xml:space="preserve">(206) </w:t>
      </w:r>
      <w:r>
        <w:rPr>
          <w:rFonts w:ascii="Times New Roman" w:hAnsi="Times New Roman"/>
          <w:b/>
          <w:i w:val="false"/>
          <w:color w:val="000000"/>
          <w:sz w:val="22"/>
        </w:rPr>
        <w:t xml:space="preserve">Approval of use of inorganic arsenic formulation. </w:t>
      </w:r>
      <w:r>
        <w:rPr>
          <w:rFonts w:ascii="Times New Roman" w:hAnsi="Times New Roman"/>
          <w:b w:val="false"/>
          <w:i w:val="false"/>
          <w:color w:val="000000"/>
          <w:sz w:val="22"/>
        </w:rPr>
        <w:t xml:space="preserve">There are two stages in obtaining approval for the use of an inorganic arsenic formulation pursuant to rule </w:t>
      </w:r>
      <w:hyperlink r:id="rId66">
        <w:r>
          <w:rPr>
            <w:rStyle w:val="Hyperlink"/>
            <w:rFonts w:ascii="Times New Roman" w:hAnsi="Times New Roman"/>
            <w:b w:val="false"/>
            <w:i w:val="false"/>
            <w:color w:val="000000"/>
            <w:sz w:val="22"/>
          </w:rPr>
          <w:t>21—45.33</w:t>
        </w:r>
      </w:hyperlink>
      <w:r>
        <w:rPr>
          <w:rFonts w:ascii="Times New Roman" w:hAnsi="Times New Roman"/>
          <w:b w:val="false"/>
          <w:i w:val="false"/>
          <w:color w:val="000000"/>
          <w:sz w:val="22"/>
        </w:rPr>
        <w:t>(206). First, the advisory committee must approve the use of the formulation in the state for a particular pest. Then, each individual desiring to use the approved formulation must secure a permit from the department. The required procedure is set out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45.37(1)</w:t>
      </w:r>
      <w:r>
        <w:rPr>
          <w:rFonts w:ascii="Times New Roman" w:hAnsi="Times New Roman"/>
          <w:b w:val="false"/>
          <w:i w:val="false"/>
          <w:color w:val="000000"/>
          <w:sz w:val="22"/>
        </w:rPr>
        <w:t> </w:t>
      </w:r>
      <w:r>
        <w:rPr>
          <w:rFonts w:ascii="Times New Roman" w:hAnsi="Times New Roman"/>
          <w:b w:val="false"/>
          <w:i/>
          <w:color w:val="000000"/>
          <w:sz w:val="22"/>
        </w:rPr>
        <w:t xml:space="preserve">Who may apply. </w:t>
      </w:r>
      <w:r>
        <w:rPr>
          <w:rFonts w:ascii="Times New Roman" w:hAnsi="Times New Roman"/>
          <w:b w:val="false"/>
          <w:i w:val="false"/>
          <w:color w:val="000000"/>
          <w:sz w:val="22"/>
        </w:rPr>
        <w:t xml:space="preserve">Any person may apply for approval for the use of an inorganic arsenic formulation to control a specific pest or pests pursuant to rule </w:t>
      </w:r>
      <w:hyperlink r:id="rId6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hyperlink r:id="rId68">
        <w:r>
          <w:rPr>
            <w:rStyle w:val="Hyperlink"/>
            <w:rFonts w:ascii="Times New Roman" w:hAnsi="Times New Roman"/>
            <w:b w:val="false"/>
            <w:i w:val="false"/>
            <w:color w:val="000000"/>
            <w:sz w:val="22"/>
          </w:rPr>
          <w:t>45.33(206)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45.37(2)</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All such applications shall be made in writing, signed by the applicant, and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Common name or scientific name of pest or pests to be controlled with the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Crops that the pest or pests endanger,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Chemical name of inorganic arsenic formulation for which approval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Why there are no acceptable alternative methods of controlling the pests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Rate of application needed for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applications needed annually for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45.37(3)</w:t>
      </w:r>
      <w:r>
        <w:rPr>
          <w:rFonts w:ascii="Times New Roman" w:hAnsi="Times New Roman"/>
          <w:b w:val="false"/>
          <w:i w:val="false"/>
          <w:color w:val="000000"/>
          <w:sz w:val="22"/>
        </w:rPr>
        <w:t> </w:t>
      </w:r>
      <w:r>
        <w:rPr>
          <w:rFonts w:ascii="Times New Roman" w:hAnsi="Times New Roman"/>
          <w:b w:val="false"/>
          <w:i/>
          <w:color w:val="000000"/>
          <w:sz w:val="22"/>
        </w:rPr>
        <w:t xml:space="preserve">Hearings, when 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approval shall be considered at public hearings by the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grant, modify, or deny the request for approval within 72 hours of the conclusion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45.37(4)</w:t>
      </w:r>
      <w:r>
        <w:rPr>
          <w:rFonts w:ascii="Times New Roman" w:hAnsi="Times New Roman"/>
          <w:b w:val="false"/>
          <w:i w:val="false"/>
          <w:color w:val="000000"/>
          <w:sz w:val="22"/>
        </w:rPr>
        <w:t> </w:t>
      </w:r>
      <w:r>
        <w:rPr>
          <w:rFonts w:ascii="Times New Roman" w:hAnsi="Times New Roman"/>
          <w:b w:val="false"/>
          <w:i/>
          <w:color w:val="000000"/>
          <w:sz w:val="22"/>
        </w:rPr>
        <w:t xml:space="preserve">Conditions of approval. </w:t>
      </w:r>
      <w:r>
        <w:rPr>
          <w:rFonts w:ascii="Times New Roman" w:hAnsi="Times New Roman"/>
          <w:b w:val="false"/>
          <w:i w:val="false"/>
          <w:color w:val="000000"/>
          <w:sz w:val="22"/>
        </w:rPr>
        <w:t>Approvals shall be valid until revoked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its approval, the committee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inorganic arsenic formulation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pests for which it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crops on which it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number of applications to be made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to be submitted to the department following use of the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also specify the conditions designed to protect the public health and welfare as conditions for the issuance of a permit by the department. Such conditions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permit applicant has sustained or will likely sustain damage from the pest for which control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Topographical requirements to ensure minimal runoff into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Minimum separation distance of area to be treated from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distance of area to be treated from property not under control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Grass or other plant cover to prevent erosion on slopes to which the formulation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45.37(5)</w:t>
      </w:r>
      <w:r>
        <w:rPr>
          <w:rFonts w:ascii="Times New Roman" w:hAnsi="Times New Roman"/>
          <w:b w:val="false"/>
          <w:i w:val="false"/>
          <w:color w:val="000000"/>
          <w:sz w:val="22"/>
        </w:rPr>
        <w:t> </w:t>
      </w:r>
      <w:r>
        <w:rPr>
          <w:rFonts w:ascii="Times New Roman" w:hAnsi="Times New Roman"/>
          <w:b w:val="false"/>
          <w:i/>
          <w:color w:val="000000"/>
          <w:sz w:val="22"/>
        </w:rPr>
        <w:t xml:space="preserve">Permits. </w:t>
      </w:r>
      <w:r>
        <w:rPr>
          <w:rFonts w:ascii="Times New Roman" w:hAnsi="Times New Roman"/>
          <w:b w:val="false"/>
          <w:i w:val="false"/>
          <w:color w:val="000000"/>
          <w:sz w:val="22"/>
        </w:rPr>
        <w:t>After an application for approval is granted, any person may use the formulation approved, provided that a permit is obtained from the department. The department and the committee shall review at least annually its approvals of uses of inorganic arsenic formulations and shall revoke an approval whenever it finds an acceptable alternative method of control is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206.23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21—45.38</w:t>
      </w:r>
      <w:r>
        <w:rPr>
          <w:rFonts w:ascii="Times New Roman" w:hAnsi="Times New Roman"/>
          <w:b w:val="false"/>
          <w:i w:val="false"/>
          <w:color w:val="000000"/>
          <w:sz w:val="22"/>
        </w:rPr>
        <w:t xml:space="preserve"> to </w:t>
      </w:r>
      <w:r>
        <w:rPr>
          <w:rFonts w:ascii="Times New Roman" w:hAnsi="Times New Roman"/>
          <w:b/>
          <w:i w:val="false"/>
          <w:color w:val="000000"/>
          <w:sz w:val="22"/>
        </w:rPr>
        <w:t>45.44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21—45.45</w:t>
      </w:r>
      <w:r>
        <w:rPr>
          <w:rFonts w:ascii="Times New Roman" w:hAnsi="Times New Roman"/>
          <w:b/>
          <w:i w:val="false"/>
          <w:color w:val="000000"/>
          <w:sz w:val="22"/>
        </w:rPr>
        <w:t xml:space="preserve">(206) </w:t>
      </w:r>
      <w:r>
        <w:rPr>
          <w:rFonts w:ascii="Times New Roman" w:hAnsi="Times New Roman"/>
          <w:b/>
          <w:i w:val="false"/>
          <w:color w:val="000000"/>
          <w:sz w:val="22"/>
        </w:rPr>
        <w:t xml:space="preserve">Ethylene dibromide (EDB) residue levels in food. </w:t>
      </w:r>
      <w:r>
        <w:rPr>
          <w:rFonts w:ascii="Times New Roman" w:hAnsi="Times New Roman"/>
          <w:b w:val="false"/>
          <w:i w:val="false"/>
          <w:color w:val="000000"/>
          <w:sz w:val="22"/>
        </w:rPr>
        <w:t>The following is the maximum allowable residue levels of EDB for each of the three primary tiers of grain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45.45(1)</w:t>
      </w:r>
      <w:r>
        <w:rPr>
          <w:rFonts w:ascii="Times New Roman" w:hAnsi="Times New Roman"/>
          <w:b w:val="false"/>
          <w:i w:val="false"/>
          <w:color w:val="000000"/>
          <w:sz w:val="22"/>
        </w:rPr>
        <w:t> </w:t>
      </w:r>
      <w:r>
        <w:rPr>
          <w:rFonts w:ascii="Times New Roman" w:hAnsi="Times New Roman"/>
          <w:b w:val="false"/>
          <w:i w:val="false"/>
          <w:color w:val="000000"/>
          <w:sz w:val="22"/>
        </w:rPr>
        <w:t>For raw grain, the level should not exceed 900 parts per billion.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45.45(2)</w:t>
      </w:r>
      <w:r>
        <w:rPr>
          <w:rFonts w:ascii="Times New Roman" w:hAnsi="Times New Roman"/>
          <w:b w:val="false"/>
          <w:i w:val="false"/>
          <w:color w:val="000000"/>
          <w:sz w:val="22"/>
        </w:rPr>
        <w:t> </w:t>
      </w:r>
      <w:r>
        <w:rPr>
          <w:rFonts w:ascii="Times New Roman" w:hAnsi="Times New Roman"/>
          <w:b w:val="false"/>
          <w:i w:val="false"/>
          <w:color w:val="000000"/>
          <w:sz w:val="22"/>
        </w:rPr>
        <w:t>Intermediate level products—flour, various mixes for preparing baked goods, soft cereals and other products that would normally require cooking or baking before eating—the level should not exceed 150 parts per billion.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45.45(3)</w:t>
      </w:r>
      <w:r>
        <w:rPr>
          <w:rFonts w:ascii="Times New Roman" w:hAnsi="Times New Roman"/>
          <w:b w:val="false"/>
          <w:i w:val="false"/>
          <w:color w:val="000000"/>
          <w:sz w:val="22"/>
        </w:rPr>
        <w:t> </w:t>
      </w:r>
      <w:r>
        <w:rPr>
          <w:rFonts w:ascii="Times New Roman" w:hAnsi="Times New Roman"/>
          <w:b w:val="false"/>
          <w:i w:val="false"/>
          <w:color w:val="000000"/>
          <w:sz w:val="22"/>
        </w:rPr>
        <w:t>For ready-to-eat products—cold cereals, snack foods, bread and all baked goods—the level should not exceed 30 parts per billion.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45.45(4)</w:t>
      </w:r>
      <w:r>
        <w:rPr>
          <w:rFonts w:ascii="Times New Roman" w:hAnsi="Times New Roman"/>
          <w:b w:val="false"/>
          <w:i w:val="false"/>
          <w:color w:val="000000"/>
          <w:sz w:val="22"/>
        </w:rPr>
        <w:t> </w:t>
      </w:r>
      <w:r>
        <w:rPr>
          <w:rFonts w:ascii="Times New Roman" w:hAnsi="Times New Roman"/>
          <w:b w:val="false"/>
          <w:i w:val="false"/>
          <w:color w:val="000000"/>
          <w:sz w:val="22"/>
        </w:rPr>
        <w:t>For baby food, zero tolerance—no acceptable level of EDB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45.45(5)</w:t>
      </w:r>
      <w:r>
        <w:rPr>
          <w:rFonts w:ascii="Times New Roman" w:hAnsi="Times New Roman"/>
          <w:b w:val="false"/>
          <w:i w:val="false"/>
          <w:color w:val="000000"/>
          <w:sz w:val="22"/>
        </w:rPr>
        <w:t> </w:t>
      </w:r>
      <w:r>
        <w:rPr>
          <w:rFonts w:ascii="Times New Roman" w:hAnsi="Times New Roman"/>
          <w:b w:val="false"/>
          <w:i w:val="false"/>
          <w:color w:val="000000"/>
          <w:sz w:val="22"/>
        </w:rPr>
        <w:t>For fruit, the level should not exceed 250 parts per billion tolerance for the total fruit and should not exceed 30 parts per billion in the edible portion of the fruit.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189.17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190.2</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206.21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21—45.46</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pesticide Command 6EC. </w:t>
      </w:r>
      <w:r>
        <w:rPr>
          <w:rFonts w:ascii="Times New Roman" w:hAnsi="Times New Roman"/>
          <w:b w:val="false"/>
          <w:i w:val="false"/>
          <w:color w:val="000000"/>
          <w:sz w:val="22"/>
        </w:rPr>
        <w:t>The pesticide Command 6EC Herbicide EPA Reg. No. 279-3054 (active ingredient: 2-(2-Chlorophenyl) methyl-4, 4-dimethyl-3-isoxazolidinone . . . 64.3%) or any identically formulated compound shall be soil incorporated immediately following application. The method of application shall be limited to ground equipment.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21—45.47</w:t>
      </w:r>
      <w:r>
        <w:rPr>
          <w:rFonts w:ascii="Times New Roman" w:hAnsi="Times New Roman"/>
          <w:b/>
          <w:i w:val="false"/>
          <w:color w:val="000000"/>
          <w:sz w:val="22"/>
        </w:rPr>
        <w:t xml:space="preserve">(206) </w:t>
      </w:r>
      <w:r>
        <w:rPr>
          <w:rFonts w:ascii="Times New Roman" w:hAnsi="Times New Roman"/>
          <w:b/>
          <w:i w:val="false"/>
          <w:color w:val="000000"/>
          <w:sz w:val="22"/>
        </w:rPr>
        <w:t xml:space="preserve">Reporting of pesticide sales. </w:t>
      </w:r>
      <w:r>
        <w:rPr>
          <w:rFonts w:ascii="Times New Roman" w:hAnsi="Times New Roman"/>
          <w:b w:val="false"/>
          <w:i w:val="false"/>
          <w:color w:val="000000"/>
          <w:sz w:val="22"/>
        </w:rPr>
        <w:t>Commercial pesticide applicators, pesticide dealers, pesticide manufacturers and pesticide distributors with the exception of manufacturers or distributors that distribute pesticides for resale purposes only shall submit annual reports to the Iowa department of agriculture and land stewardship by October 1 of each year on forms approved by the secretary of agriculture except that pesticide manufacturers or pesticide distributors that distribute pesticides only for resale purposes shall not be required to submit a report. The reports shall include information related to the gross dollar amount for all pesticides sold at retail for use in this state. The reports shall also list the individual label name, EPA registration number and the gross dollar amount of each pesticide sold at retail for which gross retail sales are $3,000 or more.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5">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206.8</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21—45.48</w:t>
      </w:r>
      <w:r>
        <w:rPr>
          <w:rFonts w:ascii="Times New Roman" w:hAnsi="Times New Roman"/>
          <w:b/>
          <w:i w:val="false"/>
          <w:color w:val="000000"/>
          <w:sz w:val="22"/>
        </w:rPr>
        <w:t xml:space="preserve">(206) </w:t>
      </w:r>
      <w:r>
        <w:rPr>
          <w:rFonts w:ascii="Times New Roman" w:hAnsi="Times New Roman"/>
          <w:b/>
          <w:i w:val="false"/>
          <w:color w:val="000000"/>
          <w:sz w:val="22"/>
        </w:rPr>
        <w:t xml:space="preserve">Dealer license fees. </w:t>
      </w:r>
      <w:r>
        <w:rPr>
          <w:rFonts w:ascii="Times New Roman" w:hAnsi="Times New Roman"/>
          <w:b w:val="false"/>
          <w:i w:val="false"/>
          <w:color w:val="000000"/>
          <w:sz w:val="22"/>
        </w:rPr>
        <w:t>A dealer license fee for a dealer with less than $100,000 in gross retail pesticide sales shall be $10 if the annual gross retail sales are less than $10,000; $25 if the annual gross retail sales are $10,000 or more but less than $25,000; $50 if the annual gross retail sales are $25,000 or more but less than $50,000; $75 if the annual gross retail sales are $50,000 or more but less than $75,000; and $100 if the annual gross retail sales are $75,000 or more but less than $100,000. The annual dealer license fee for a dealer with $100,000 or more in gross retail pesticide sales shall be based on one-tenth of one percent of the gross annual sales of all pesticides sold the previous fiscal year. The fiscal year shall begin July 1 and end June 30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45.48(1)</w:t>
      </w:r>
      <w:r>
        <w:rPr>
          <w:rFonts w:ascii="Times New Roman" w:hAnsi="Times New Roman"/>
          <w:b w:val="false"/>
          <w:i w:val="false"/>
          <w:color w:val="000000"/>
          <w:sz w:val="22"/>
        </w:rPr>
        <w:t> </w:t>
      </w:r>
      <w:r>
        <w:rPr>
          <w:rFonts w:ascii="Times New Roman" w:hAnsi="Times New Roman"/>
          <w:b w:val="false"/>
          <w:i w:val="false"/>
          <w:color w:val="000000"/>
          <w:sz w:val="22"/>
        </w:rPr>
        <w:t>A pesticide dealer license expires on June 30 of each year. However, a three-month grace period shall be allowed for renewal of pesticide dealer licenses. A late fee of $25 is imposed on a dealer with less than $100,000 in gross retail pesticide sales, and a late fee of 5 percent of the license fee due based on the gross pesticide retail sales shall be imposed upon the licensure of a pesticide dealer with $100,000 or more in gross retail pesticide sales. The application for renewal shall be considered complete once the required fees and reports have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45.48(2)</w:t>
      </w:r>
      <w:r>
        <w:rPr>
          <w:rFonts w:ascii="Times New Roman" w:hAnsi="Times New Roman"/>
          <w:b w:val="false"/>
          <w:i w:val="false"/>
          <w:color w:val="000000"/>
          <w:sz w:val="22"/>
        </w:rPr>
        <w:t> </w:t>
      </w:r>
      <w:r>
        <w:rPr>
          <w:rFonts w:ascii="Times New Roman" w:hAnsi="Times New Roman"/>
          <w:b w:val="false"/>
          <w:i w:val="false"/>
          <w:color w:val="000000"/>
          <w:sz w:val="22"/>
        </w:rPr>
        <w:t>The annual license fee for manufacturers or distributors distributing pesticides for resale purposes only shall be $25. License fees required by this rule shall be due July 1 of each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206.8</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21—45.49</w:t>
      </w:r>
      <w:r>
        <w:rPr>
          <w:rFonts w:ascii="Times New Roman" w:hAnsi="Times New Roman"/>
          <w:b/>
          <w:i w:val="false"/>
          <w:color w:val="000000"/>
          <w:sz w:val="22"/>
        </w:rPr>
        <w:t xml:space="preserve">(206) </w:t>
      </w:r>
      <w:r>
        <w:rPr>
          <w:rFonts w:ascii="Times New Roman" w:hAnsi="Times New Roman"/>
          <w:b/>
          <w:i w:val="false"/>
          <w:color w:val="000000"/>
          <w:sz w:val="22"/>
        </w:rPr>
        <w:t xml:space="preserve">Pesticide use recommendations. </w:t>
      </w:r>
      <w:r>
        <w:rPr>
          <w:rFonts w:ascii="Times New Roman" w:hAnsi="Times New Roman"/>
          <w:b w:val="false"/>
          <w:i w:val="false"/>
          <w:color w:val="000000"/>
          <w:sz w:val="22"/>
        </w:rPr>
        <w:t>Persons making pesticide use recommendations shall be familiar with the safe and proper use of each pesticide for which recommendations are made and shall not make any recommendations that are contrary to label instructions. The employer or licensee shall be responsible for all pesticide use recommendations made by their employees that are contrary to label instructions.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206.4</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206.7</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206.31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21—45.50</w:t>
      </w:r>
      <w:r>
        <w:rPr>
          <w:rFonts w:ascii="Times New Roman" w:hAnsi="Times New Roman"/>
          <w:b/>
          <w:i w:val="false"/>
          <w:color w:val="000000"/>
          <w:sz w:val="22"/>
        </w:rPr>
        <w:t xml:space="preserve">(206) </w:t>
      </w:r>
      <w:r>
        <w:rPr>
          <w:rFonts w:ascii="Times New Roman" w:hAnsi="Times New Roman"/>
          <w:b/>
          <w:i w:val="false"/>
          <w:color w:val="000000"/>
          <w:sz w:val="22"/>
        </w:rPr>
        <w:t xml:space="preserve">Notification requirements for urban pesticide applications. </w:t>
      </w:r>
      <w:r>
        <w:rPr>
          <w:rFonts w:ascii="Times New Roman" w:hAnsi="Times New Roman"/>
          <w:b w:val="false"/>
          <w:i w:val="false"/>
          <w:color w:val="000000"/>
          <w:sz w:val="22"/>
        </w:rPr>
        <w:t>All commercial or public applicators who apply pesticides within urban areas in municipalities shall post or affix notification signs at the start of the application and for at least 24 hours following the application or longer if required by the reentry directions on the pesticide label(s). The requirements of this rule shall not apply to the application of pesticides within a structure or within six feet of the outside perimeter of a structure and to pesticide applications made by the homeowner or tenant to their property.</w:t>
      </w:r>
    </w:p>
    <w:p>
      <w:pPr>
        <w:spacing w:before="0" w:after="0"/>
        <w:ind w:left="120"/>
        <w:jc w:val="both"/>
      </w:pPr>
      <w:r>
        <w:rPr>
          <w:rFonts w:ascii="Times New Roman" w:hAnsi="Times New Roman"/>
          <w:b w:val="false"/>
          <w:i w:val="false"/>
          <w:color w:val="000000"/>
          <w:sz w:val="22"/>
        </w:rPr>
        <w:t>For purposes of enforcement of this rule the term “municipality” shall include any city or developed residential area in the state. The term “urban” shall mean any area within or belonging to a city or developed residential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45.50(1)</w:t>
      </w:r>
      <w:r>
        <w:rPr>
          <w:rFonts w:ascii="Times New Roman" w:hAnsi="Times New Roman"/>
          <w:b w:val="false"/>
          <w:i w:val="false"/>
          <w:color w:val="000000"/>
          <w:sz w:val="22"/>
        </w:rPr>
        <w:t> </w:t>
      </w:r>
      <w:r>
        <w:rPr>
          <w:rFonts w:ascii="Times New Roman" w:hAnsi="Times New Roman"/>
          <w:b w:val="false"/>
          <w:i/>
          <w:color w:val="000000"/>
          <w:sz w:val="22"/>
        </w:rPr>
        <w:t xml:space="preserve">Residential lawns.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signs shall project at least 12 inches above the top of the grass line or 18 inches to the top of the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notification sign shall be posted on a lawn or yard between two feet and five feet from the sidewalk or street. Residences that have unfenced or open backyards shall be posted within two feet to five feet from the back lot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landscaping or other obstructions prohibit compliance with the minimum distances specified, the notification signs shall be posted in a manner that is reasonably within the intent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45.50(2)</w:t>
      </w:r>
      <w:r>
        <w:rPr>
          <w:rFonts w:ascii="Times New Roman" w:hAnsi="Times New Roman"/>
          <w:b w:val="false"/>
          <w:i w:val="false"/>
          <w:color w:val="000000"/>
          <w:sz w:val="22"/>
        </w:rPr>
        <w:t> </w:t>
      </w:r>
      <w:r>
        <w:rPr>
          <w:rFonts w:ascii="Times New Roman" w:hAnsi="Times New Roman"/>
          <w:b w:val="false"/>
          <w:i/>
          <w:color w:val="000000"/>
          <w:sz w:val="22"/>
        </w:rPr>
        <w:t xml:space="preserve">Golf courses. </w:t>
      </w:r>
      <w:r>
        <w:rPr>
          <w:rFonts w:ascii="Times New Roman" w:hAnsi="Times New Roman"/>
          <w:b w:val="false"/>
          <w:i w:val="false"/>
          <w:color w:val="000000"/>
          <w:sz w:val="22"/>
        </w:rPr>
        <w:t>Signs including posters or placards shall be posted in a conspicuous manner near the first tee of each nine-hole course. The sign shall be constructed of a weather-resistant material and be a minimum size of 8½ inches by 11 inches. The lettering shall not be less than ½ inch. The sign shall read “Pesticides are periodically applied to the golf course. If desired, you may contact your golf course superintendent or person in charge for further information.” The sign shall be displayed prior to the application of any pesticide on the golf course and left in place for at least 24 hours following any pesticide application. Where pesticide labeling requires specific notification or reentry restrictions, the applicator shall comply with the label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45.50(3)</w:t>
      </w:r>
      <w:r>
        <w:rPr>
          <w:rFonts w:ascii="Times New Roman" w:hAnsi="Times New Roman"/>
          <w:b w:val="false"/>
          <w:i w:val="false"/>
          <w:color w:val="000000"/>
          <w:sz w:val="22"/>
        </w:rPr>
        <w:t> </w:t>
      </w:r>
      <w:r>
        <w:rPr>
          <w:rFonts w:ascii="Times New Roman" w:hAnsi="Times New Roman"/>
          <w:b w:val="false"/>
          <w:i/>
          <w:color w:val="000000"/>
          <w:sz w:val="22"/>
        </w:rPr>
        <w:t xml:space="preserve">Parks, playgrounds and athletic fields. </w:t>
      </w:r>
      <w:r>
        <w:rPr>
          <w:rFonts w:ascii="Times New Roman" w:hAnsi="Times New Roman"/>
          <w:b w:val="false"/>
          <w:i w:val="false"/>
          <w:color w:val="000000"/>
          <w:sz w:val="22"/>
        </w:rPr>
        <w:t>For parks, athletic fields, playgrounds or other similar recreational property, the notification signs shall be posted immediately adjacent to areas within the property where pesticides have been applied and at or near the entrances to the property where pesticides have been applied. The notification signs shall be placed in a conspicuous manner to provide a reasonable notification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45.50(4)</w:t>
      </w:r>
      <w:r>
        <w:rPr>
          <w:rFonts w:ascii="Times New Roman" w:hAnsi="Times New Roman"/>
          <w:b w:val="false"/>
          <w:i w:val="false"/>
          <w:color w:val="000000"/>
          <w:sz w:val="22"/>
        </w:rPr>
        <w:t> </w:t>
      </w:r>
      <w:r>
        <w:rPr>
          <w:rFonts w:ascii="Times New Roman" w:hAnsi="Times New Roman"/>
          <w:b w:val="false"/>
          <w:i/>
          <w:color w:val="000000"/>
          <w:sz w:val="22"/>
        </w:rPr>
        <w:t xml:space="preserve">Public rights-of-way.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the application of pesticides to public rights-of-way of highways, roads, streets, alleys, sidewalks and recreational trails within the corporate limits of municipalities shall be posted in a manner that provides reasonable notice to the occupants of properties immediately adjacent to the area being treated. A minimum of two signs shall be posted to denote the beginning and the end of the area being treated. Within developed residential zones, at least one sign shall be posted at the beginning and one at the end of each block. Signs shall be placed in a manner to be readable from the adjacent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rights-of-way bordered by a chain link fence, noise wall or other structures or enclosures that bar pedestrian access shall be exempt from the posting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licensed pesticide applicator performing the application shall make pesticide application schedules and other community right-to-know information available to the public upon request at the applicator’s place of business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notification signs used for posting public rights-of-way shall consist of a weather-resistant poster or placard measuring at least 10 inches by 12 inches with lettering measuring a minimum of 1 inch. Notification signs shall project at least two feet above the top of the grass line or three feet to the top of the signs. The words “This area chemically treated. Keep off” shall be used for posting public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45.50(5)</w:t>
      </w:r>
      <w:r>
        <w:rPr>
          <w:rFonts w:ascii="Times New Roman" w:hAnsi="Times New Roman"/>
          <w:b w:val="false"/>
          <w:i w:val="false"/>
          <w:color w:val="000000"/>
          <w:sz w:val="22"/>
        </w:rPr>
        <w:t> </w:t>
      </w:r>
      <w:r>
        <w:rPr>
          <w:rFonts w:ascii="Times New Roman" w:hAnsi="Times New Roman"/>
          <w:b w:val="false"/>
          <w:i/>
          <w:color w:val="000000"/>
          <w:sz w:val="22"/>
        </w:rPr>
        <w:t xml:space="preserve">Public pest control programs. </w:t>
      </w:r>
      <w:r>
        <w:rPr>
          <w:rFonts w:ascii="Times New Roman" w:hAnsi="Times New Roman"/>
          <w:b w:val="false"/>
          <w:i w:val="false"/>
          <w:color w:val="000000"/>
          <w:sz w:val="22"/>
        </w:rPr>
        <w:t>Pesticides applied for or by any municipality for the control or abatement of pests related to public health programs, such as mosquitoes or other pest control programs, shall be exempt from posting requirements provided that the intended dates, time and locations are announced to the public in a conspicuous manner at least 24 hours prior to the application. The announcement shall be made on a major radio station, TV station, newspaper or any other means of mass communication that would normally reach the residents of that city or developed residential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45.50(6)</w:t>
      </w:r>
      <w:r>
        <w:rPr>
          <w:rFonts w:ascii="Times New Roman" w:hAnsi="Times New Roman"/>
          <w:b w:val="false"/>
          <w:i w:val="false"/>
          <w:color w:val="000000"/>
          <w:sz w:val="22"/>
        </w:rPr>
        <w:t> </w:t>
      </w:r>
      <w:r>
        <w:rPr>
          <w:rFonts w:ascii="Times New Roman" w:hAnsi="Times New Roman"/>
          <w:b w:val="false"/>
          <w:i/>
          <w:color w:val="000000"/>
          <w:sz w:val="22"/>
        </w:rPr>
        <w:t xml:space="preserve">Notification signs.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notification signs shall be of a material that is rain-resistant for at least a 24-hour period and shall not be removed by the applicator for at least 24 hours from the time pesticides are applied or longer if required by the label of the pesticide applied. Each property owner, tenant, agent or person in charge of the property shall be provided with instructions that the notification sign is required to remain in place for a minimum of 24 hours following the pesticide application. When the labeling of the pesticide(s) applied requires a reentry restriction more than 24 hours, the sign shall be left in place for the specified period restricting reentry. After the required posting period has elapsed, all notification signs should be removed by either a representative of the business, organization, entity or person making said application or the owner, agent, person in charge of the property, or their representative, to which the pesticide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minimum, unless otherwise specified, the following information shall be printed on the notification sign in contrasting colors and block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business, organization, entity or person applying the pesticide;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words: “This area chemically treated. Keep off. Do not remove sign for twenty-four hours.” As an alternative, a universally accepted symbol and text approved by the secretary that is recognized as having the same meaning or intent as specified in this paragraph may be used. When the labeling of the pesticide(s) applied requires a longer reentry restriction it shall be so stated on the notification sign.</w:t>
      </w:r>
    </w:p>
    <w:p>
      <w:pPr>
        <w:spacing w:before="0" w:after="0"/>
        <w:ind w:left="120"/>
        <w:jc w:val="both"/>
      </w:pPr>
      <w:r>
        <w:rPr>
          <w:rFonts w:ascii="Times New Roman" w:hAnsi="Times New Roman"/>
          <w:b w:val="false"/>
          <w:i w:val="false"/>
          <w:color w:val="000000"/>
          <w:sz w:val="22"/>
        </w:rPr>
        <w:t>The lettering for notification signs used for posting residential, commercial or public lawns or gardens or other similar areas shall measure at least three-eighths inch. The lettering for notification signs used for right-of-way areas required to be posted shall measure at least one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sign used for posting residential, commercial or public lawns or gardens or other similar areas shall consist of a sign or placard measuring at least four inches by five inches with letters measuring a minimum of three-eighths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label and other information normally associated with the use of the pesticide(s) being applied to any urban area that is required to be posted shall be provided to any individual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or public applicator who applies a pesticide with labeling that requires further maintenance after application shall provide the homeowner or agent in charge of property with a copy of the complete label of the pesticide(s) applied if requested and instructions on proper maintenance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Officials of the municipalities affected by this rule shall cooperate with the department in enforcing the requirements of this rule and shall report any infractions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45.50(7)</w:t>
      </w:r>
      <w:r>
        <w:rPr>
          <w:rFonts w:ascii="Times New Roman" w:hAnsi="Times New Roman"/>
          <w:b w:val="false"/>
          <w:i w:val="false"/>
          <w:color w:val="000000"/>
          <w:sz w:val="22"/>
        </w:rPr>
        <w:t> </w:t>
      </w:r>
      <w:r>
        <w:rPr>
          <w:rFonts w:ascii="Times New Roman" w:hAnsi="Times New Roman"/>
          <w:b w:val="false"/>
          <w:i/>
          <w:color w:val="000000"/>
          <w:sz w:val="22"/>
        </w:rPr>
        <w:t xml:space="preserve">Prenotification registry. </w:t>
      </w:r>
      <w:r>
        <w:rPr>
          <w:rFonts w:ascii="Times New Roman" w:hAnsi="Times New Roman"/>
          <w:b w:val="false"/>
          <w:i w:val="false"/>
          <w:color w:val="000000"/>
          <w:sz w:val="22"/>
        </w:rPr>
        <w:t xml:space="preserve">In lieu of the requirement for public notification as specified in subrule </w:t>
      </w:r>
      <w:hyperlink r:id="rId87">
        <w:r>
          <w:rPr>
            <w:rStyle w:val="Hyperlink"/>
            <w:rFonts w:ascii="Times New Roman" w:hAnsi="Times New Roman"/>
            <w:b w:val="false"/>
            <w:i w:val="false"/>
            <w:color w:val="000000"/>
            <w:sz w:val="22"/>
          </w:rPr>
          <w:t>45.50(5)</w:t>
        </w:r>
      </w:hyperlink>
      <w:r>
        <w:rPr>
          <w:rFonts w:ascii="Times New Roman" w:hAnsi="Times New Roman"/>
          <w:b w:val="false"/>
          <w:i w:val="false"/>
          <w:color w:val="000000"/>
          <w:sz w:val="22"/>
        </w:rPr>
        <w:t>, a municipality may maintain a registry of persons requesting to receive notification prior to pesticide applications and provide notification to those individuals at least 24 hours prior to a pesticide application made adjacent to their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municipality may also choose to make arrangements with those persons upon request to refrain from applying pesticides to adjacent properties in lieu of prenotification.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registry shall be updated annually and contain at least the name, address, and telephone number where occupant may be reached during normal business hours. The registry shall be made available upon request to licensed commercial and public pesticide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45.50(8)</w:t>
      </w:r>
      <w:r>
        <w:rPr>
          <w:rFonts w:ascii="Times New Roman" w:hAnsi="Times New Roman"/>
          <w:b w:val="false"/>
          <w:i w:val="false"/>
          <w:color w:val="000000"/>
          <w:sz w:val="22"/>
        </w:rPr>
        <w:t> </w:t>
      </w:r>
      <w:r>
        <w:rPr>
          <w:rFonts w:ascii="Times New Roman" w:hAnsi="Times New Roman"/>
          <w:b w:val="false"/>
          <w:i/>
          <w:color w:val="000000"/>
          <w:sz w:val="22"/>
        </w:rPr>
        <w:t xml:space="preserve">Prior notification of pesticide application to lawns, parks, playgrounds and athletic fields located in urban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occupant of a property adjoining property where pesticides are applied by a commercial or public applicator may receive prior notification of a pesticide application by personally contacting the applicator in writing in a timely manner and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telephone number of a location where occupant may be contacted during normal business hours and evening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each property that adjoins occupant’s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applicator receiving a written request for prior notification shall provide notice at least the calendar day before a scheduled application to property adjoining the occupant’s property. The notice may be made in writing, in person or by telephone and shall disclose the date and approximate time of day for the scheduled application. If the notice to the occupant is in a form other than writing the applicator shall document that notice was given and maintain a record of that notice at its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applicator is not successful in contacting an occupant of an adjoining property as provided in paragraph </w:t>
      </w:r>
      <w:hyperlink r:id="rId88">
        <w:r>
          <w:rPr>
            <w:rStyle w:val="Hyperlink"/>
            <w:rFonts w:ascii="Times New Roman" w:hAnsi="Times New Roman"/>
            <w:b w:val="false"/>
            <w:i w:val="false"/>
            <w:color w:val="000000"/>
            <w:sz w:val="22"/>
          </w:rPr>
          <w:t>45.50(8)</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applicator shall, at least the calendar day before a scheduled application, leave a written notice at the residence of the person requesting prior notification indicating the date and approximate time of day for the scheduled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prior notification shall expire on December 31 of each year, or the date when the occupant no longer occupies the property,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45.50(9)</w:t>
      </w:r>
      <w:r>
        <w:rPr>
          <w:rFonts w:ascii="Times New Roman" w:hAnsi="Times New Roman"/>
          <w:b w:val="false"/>
          <w:i w:val="false"/>
          <w:color w:val="000000"/>
          <w:sz w:val="22"/>
        </w:rPr>
        <w:t> </w:t>
      </w:r>
      <w:r>
        <w:rPr>
          <w:rFonts w:ascii="Times New Roman" w:hAnsi="Times New Roman"/>
          <w:b w:val="false"/>
          <w:i/>
          <w:color w:val="000000"/>
          <w:sz w:val="22"/>
        </w:rPr>
        <w:t xml:space="preserve">Prior notification of pesticide application to golf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occupant of a property adjoining a golf course may receive prior notice of an application by contacting the golf course superintendent or other responsible person in a timely manner and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Telephone number of a location where the occupant may be contacted during normal business hours and evening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golf course representative receiving a request for prior notification shall provide notice at least the day before the scheduled application. The notice may be made in writing, in person or by telephone and shall disclose the date and approximate time of day for the scheduled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golf course representative is not successful in contacting an occupant of an adjoining property the day before a scheduled application, the representative shall leave a written notice at the residence of the person requesting prior notification that shall disclose the date and approximate time of day for the scheduled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prior notification shall expire on December 31 of each year, or the date when the occupant no longer occupies the property,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9">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1995 Iowa Acts, Senate File 256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21—45.51</w:t>
      </w:r>
      <w:r>
        <w:rPr>
          <w:rFonts w:ascii="Times New Roman" w:hAnsi="Times New Roman"/>
          <w:b/>
          <w:i w:val="false"/>
          <w:color w:val="000000"/>
          <w:sz w:val="22"/>
        </w:rPr>
        <w:t xml:space="preserve">(206) </w:t>
      </w:r>
      <w:r>
        <w:rPr>
          <w:rFonts w:ascii="Times New Roman" w:hAnsi="Times New Roman"/>
          <w:b/>
          <w:i w:val="false"/>
          <w:color w:val="000000"/>
          <w:sz w:val="22"/>
        </w:rPr>
        <w:t xml:space="preserve">Restrictions on the distribution and use of pesticides containing the active ingredient atrazine or any combination of active ingredients including atrazine.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45.51(1)</w:t>
      </w:r>
      <w:r>
        <w:rPr>
          <w:rFonts w:ascii="Times New Roman" w:hAnsi="Times New Roman"/>
          <w:b w:val="false"/>
          <w:i w:val="false"/>
          <w:color w:val="000000"/>
          <w:sz w:val="22"/>
        </w:rPr>
        <w:t> </w:t>
      </w:r>
      <w:r>
        <w:rPr>
          <w:rFonts w:ascii="Times New Roman" w:hAnsi="Times New Roman"/>
          <w:b w:val="false"/>
          <w:i w:val="false"/>
          <w:color w:val="000000"/>
          <w:sz w:val="22"/>
        </w:rPr>
        <w:t>Atrazine is the common name for the pesticide chemical 2-chloro-4-ethylamino-6-isopropylamino-1,3,5 triazine.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45.51(2)</w:t>
      </w:r>
      <w:r>
        <w:rPr>
          <w:rFonts w:ascii="Times New Roman" w:hAnsi="Times New Roman"/>
          <w:b w:val="false"/>
          <w:i w:val="false"/>
          <w:color w:val="000000"/>
          <w:sz w:val="22"/>
        </w:rPr>
        <w:t> </w:t>
      </w:r>
      <w:r>
        <w:rPr>
          <w:rFonts w:ascii="Times New Roman" w:hAnsi="Times New Roman"/>
          <w:b w:val="false"/>
          <w:i w:val="false"/>
          <w:color w:val="000000"/>
          <w:sz w:val="22"/>
        </w:rPr>
        <w:t>All pesticides containing the active ingredient atrazine or any combination of active ingredients including atrazine distributed for sale or use in Iowa shall be classified as restricted use pesticides. All pesticides containing the active ingredient atrazine shall be restricted for retail sale to and use by certified pesticide applicators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pesticide dealer selling a pesticide containing the active ingredient atrazine shall file an annual report listing the full trade name of the pesticide product, EPA registration number and total volume in gallons or pounds of product sold. This report shall be included with the annual report required under rule </w:t>
      </w:r>
      <w:hyperlink r:id="rId90">
        <w:r>
          <w:rPr>
            <w:rStyle w:val="Hyperlink"/>
            <w:rFonts w:ascii="Times New Roman" w:hAnsi="Times New Roman"/>
            <w:b w:val="false"/>
            <w:i w:val="false"/>
            <w:color w:val="000000"/>
            <w:sz w:val="22"/>
          </w:rPr>
          <w:t>21—45.47(206)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45.51(4)</w:t>
      </w:r>
      <w:r>
        <w:rPr>
          <w:rFonts w:ascii="Times New Roman" w:hAnsi="Times New Roman"/>
          <w:b w:val="false"/>
          <w:i w:val="false"/>
          <w:color w:val="000000"/>
          <w:sz w:val="22"/>
        </w:rPr>
        <w:t> </w:t>
      </w:r>
      <w:r>
        <w:rPr>
          <w:rFonts w:ascii="Times New Roman" w:hAnsi="Times New Roman"/>
          <w:b w:val="false"/>
          <w:i w:val="false"/>
          <w:color w:val="000000"/>
          <w:sz w:val="22"/>
        </w:rPr>
        <w:t>Atrazine use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rate for the actual active ingredient atrazine shall be limited to three pounds or less actual active ingredient per acre per calendar year with the exception where further restrictions on the maximum allowable application rates of the active ingredient atrazine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Pesticides or any other substance containing the active ingredient atrazine shall not be applied within 50 feet of a sinkhole (outer edge of slope), well, cistern, lake, water impoundment or other similar areas. This includes, but is not limited to, abandoned wells, agricultural drainage wells and drainage well surface inlets and drinking water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Pesticides, or any other substance containing the active ingredient atrazine unless handled in the original unopened container shall not be mixed, loaded or repackaged within 100 feet of any well, cistern, sinkhole (outer edge of slope), streambed, lake, water impoundment or other similar areas. This includes but is not limited to any well, whether in use or abandoned, including agricultural drainage wells and drainage well inlets. This paragraph shall not apply where pesticides are handled in compliance with the secondary containment of pesticide mixing and loading sites as specified in </w:t>
      </w:r>
      <w:hyperlink r:id="rId91">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Atrazine mixing, loading, and equipment cleanout shall be carried out in a manner that meets the secondary containment requirements in </w:t>
      </w:r>
      <w:hyperlink r:id="rId92">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 xml:space="preserve"> or in the field of application, provided all other restrictions are followed regarding the application of atrazine or rinsates containing atrazine to labeled use areas. Equipment and container wash waters shall be applied to labeled use areas or used as part of dilution makeup water and applied to labeled use areas in accordance with the label instructions and any other restrictions that may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areas shall be designated as pesticide management areas regarding the application of pesticides containing the active ingredient atrazine. The application of atrazine shall be limited to no more than one and one-half pounds of the actual active ingredient atrazine per acre per calendar year in the following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of Allamakee, Clayton, Dubuque, Floyd, Humboldt, Jackson and Winneshiek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within the townships of the following counties:</w:t>
      </w:r>
    </w:p>
    <w:tbl>
      <w:tblPr>
        <w:tblW w:w="5000" w:type="pct"/>
        <w:tblCellSpacing w:w="0" w:type="auto"/>
        <w:tblBorders>
          <w:top w:val="none"/>
          <w:left w:val="none"/>
          <w:bottom w:val="none"/>
          <w:right w:val="none"/>
          <w:insideH w:val="none"/>
          <w:insideV w:val="none"/>
        </w:tblBorders>
        <w:tblLayout w:type="fixed"/>
      </w:tblPr>
      <w:tblGrid>
        <w:gridCol w:w="2667"/>
        <w:gridCol w:w="11467"/>
      </w:tblGrid>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COUNTIES</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TOWNSHIPS</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Hawk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Poyner</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Bremer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Douglas, Frederika, Jackson, Jefferson, Lafayette, Polk, Washington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Butler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Bennezette, Butler, Coldwater, Dayton, Fremont, Pittsford</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Cerro Gordo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Owen, Portland</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Chickasaw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Bradford, Chickasaw, Deerfield</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Clinton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Elk River, Hampshire</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Delaware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Bremen, Colony, Delhi, Elk, Milo, North Fork, Oneida, South Fork, Union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Fayette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Auburn, Clermont, Dover, Eden, Fairfield, Illyria, Pleasant Valley, Union,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14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Westfield, Windsor</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Howard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Albion, Chester, Forest City, New Oregon, Vernon Springs</w:t>
            </w:r>
          </w:p>
        </w:tc>
      </w:tr>
      <w:tr>
        <w:trPr>
          <w:trHeight w:val="39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Jones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Castle Grove, Clay, Hale, Lovell, Oxford, Richland, Washington and Wyoming</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Kossuth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Sherman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Linn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Marion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Mitchell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Burr Oak, Cedar, Liberty, Mitchell, Newburg, Osage, Otranto, Rock, St.</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14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Ansgar, Union, West Lincoln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Pocahontas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Garfield</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Worth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Barton, Kensett</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Wright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Grant, Lincoln, Wall Lake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Persons conducting research with atrazine shall be exempt from the use limitations described in this rule provided that such research is under the supervision of a federal or state agency or educational institution authorized to conduct research and the persons conducting research are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45.51(5)</w:t>
      </w:r>
      <w:r>
        <w:rPr>
          <w:rFonts w:ascii="Times New Roman" w:hAnsi="Times New Roman"/>
          <w:b w:val="false"/>
          <w:i w:val="false"/>
          <w:color w:val="000000"/>
          <w:sz w:val="22"/>
        </w:rPr>
        <w:t> </w:t>
      </w:r>
      <w:r>
        <w:rPr>
          <w:rFonts w:ascii="Times New Roman" w:hAnsi="Times New Roman"/>
          <w:b w:val="false"/>
          <w:i w:val="false"/>
          <w:color w:val="000000"/>
          <w:sz w:val="22"/>
        </w:rPr>
        <w:t>Best management practices. The department of agriculture and land stewardship and the Iowa State University extension service shall jointly develop and implement a set of best management practices (BMPs) and a targeted education program aimed at preventing further contamination of groundwater with atrazine. The pesticide applicator certification training and testing programs shall include information related to the atrazine BMPs.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45.51(6)</w:t>
      </w:r>
      <w:r>
        <w:rPr>
          <w:rFonts w:ascii="Times New Roman" w:hAnsi="Times New Roman"/>
          <w:b w:val="false"/>
          <w:i w:val="false"/>
          <w:color w:val="000000"/>
          <w:sz w:val="22"/>
        </w:rPr>
        <w:t> </w:t>
      </w:r>
      <w:r>
        <w:rPr>
          <w:rFonts w:ascii="Times New Roman" w:hAnsi="Times New Roman"/>
          <w:b w:val="false"/>
          <w:i w:val="false"/>
          <w:color w:val="000000"/>
          <w:sz w:val="22"/>
        </w:rPr>
        <w:t>As new information becomes available, changes in atrazine use or management shall be reevaluated periodically.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206.21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21—45.52</w:t>
      </w:r>
      <w:r>
        <w:rPr>
          <w:rFonts w:ascii="Times New Roman" w:hAnsi="Times New Roman"/>
          <w:b/>
          <w:i w:val="false"/>
          <w:color w:val="000000"/>
          <w:sz w:val="22"/>
        </w:rPr>
        <w:t xml:space="preserve">(206) </w:t>
      </w:r>
      <w:r>
        <w:rPr>
          <w:rFonts w:ascii="Times New Roman" w:hAnsi="Times New Roman"/>
          <w:b/>
          <w:i w:val="false"/>
          <w:color w:val="000000"/>
          <w:sz w:val="22"/>
        </w:rPr>
        <w:t xml:space="preserve">Continuing instructional courses for pesticide applicator recertification. </w:t>
      </w:r>
      <w:r>
        <w:rPr>
          <w:rFonts w:ascii="Times New Roman" w:hAnsi="Times New Roman"/>
          <w:b w:val="false"/>
          <w:i w:val="false"/>
          <w:color w:val="000000"/>
          <w:sz w:val="22"/>
        </w:rPr>
        <w:t xml:space="preserve">A certified private, commercial, noncommercial or public applicator may elect to renew the pesticide applicator certification by attending two hours of approved continuing instructional courses each year during the renewal period as specified in subrule </w:t>
      </w:r>
      <w:hyperlink r:id="rId96">
        <w:r>
          <w:rPr>
            <w:rStyle w:val="Hyperlink"/>
            <w:rFonts w:ascii="Times New Roman" w:hAnsi="Times New Roman"/>
            <w:b w:val="false"/>
            <w:i w:val="false"/>
            <w:color w:val="000000"/>
            <w:sz w:val="22"/>
          </w:rPr>
          <w:t>45.22(5)</w:t>
        </w:r>
      </w:hyperlink>
      <w:r>
        <w:rPr>
          <w:rFonts w:ascii="Times New Roman" w:hAnsi="Times New Roman"/>
          <w:b w:val="false"/>
          <w:i w:val="false"/>
          <w:color w:val="000000"/>
          <w:sz w:val="22"/>
        </w:rPr>
        <w:t xml:space="preserve"> in lieu of passing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continuing instructional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continuing instruction course for pesticide applicator recertification shall include, at a minimum, information on safe handling, application and storage of pesticides; the correct calibration of equipment used for the application of pesticides; effects of pesticides upon groundwater; and the federal standards for pesticide applicator certification outlined in </w:t>
      </w:r>
      <w:r>
        <w:rPr>
          <w:rFonts w:ascii="Times New Roman" w:hAnsi="Times New Roman"/>
          <w:b w:val="false"/>
          <w:i w:val="false"/>
          <w:color w:val="000000"/>
          <w:sz w:val="22"/>
        </w:rPr>
        <w:t>40 CFR 171.105</w:t>
      </w:r>
      <w:r>
        <w:rPr>
          <w:rFonts w:ascii="Times New Roman" w:hAnsi="Times New Roman"/>
          <w:b w:val="false"/>
          <w:i w:val="false"/>
          <w:color w:val="000000"/>
          <w:sz w:val="22"/>
        </w:rPr>
        <w:t xml:space="preserve"> as revised March 6, 2017, for private applicators or </w:t>
      </w:r>
      <w:r>
        <w:rPr>
          <w:rFonts w:ascii="Times New Roman" w:hAnsi="Times New Roman"/>
          <w:b w:val="false"/>
          <w:i w:val="false"/>
          <w:color w:val="000000"/>
          <w:sz w:val="22"/>
        </w:rPr>
        <w:t>40 CFR 171.101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40</w:t>
      </w:r>
      <w:r>
        <w:rPr>
          <w:rFonts w:ascii="Times New Roman" w:hAnsi="Times New Roman"/>
          <w:b w:val="false"/>
          <w:i w:val="false"/>
          <w:color w:val="000000"/>
          <w:sz w:val="22"/>
        </w:rPr>
        <w:t xml:space="preserve"> CFR 171.103 revised as of March 6, 2017, for commercial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Instructional courses and materials for recertification shall be developed or approved by the department in cooperation with the Iowa cooperative extension service in agriculture and home economics of Iowa state university of science and technology. The instructional course content shall be selected to cover the minimum standards outlined in paragraph </w:t>
      </w:r>
      <w:hyperlink r:id="rId97">
        <w:r>
          <w:rPr>
            <w:rStyle w:val="Hyperlink"/>
            <w:rFonts w:ascii="Times New Roman" w:hAnsi="Times New Roman"/>
            <w:b w:val="false"/>
            <w:i w:val="false"/>
            <w:color w:val="000000"/>
            <w:sz w:val="22"/>
          </w:rPr>
          <w:t>45.52(1)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presented in two-hour blocks in three consecutive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instructional courses may be conducted by the department, Iowa state university cooperative extension service, or other persons interested in the application of pesticides as qualified under paragraph </w:t>
      </w:r>
      <w:hyperlink r:id="rId98">
        <w:r>
          <w:rPr>
            <w:rStyle w:val="Hyperlink"/>
            <w:rFonts w:ascii="Times New Roman" w:hAnsi="Times New Roman"/>
            <w:b w:val="false"/>
            <w:i w:val="false"/>
            <w:color w:val="000000"/>
            <w:sz w:val="22"/>
          </w:rPr>
          <w:t>45.52(2)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instructional course offered by a college, university, industry association or other organization may be approved for continuing instruction credit provided the instructional course meets the minimum standards for certification specified in paragraph </w:t>
      </w:r>
      <w:hyperlink r:id="rId99">
        <w:r>
          <w:rPr>
            <w:rStyle w:val="Hyperlink"/>
            <w:rFonts w:ascii="Times New Roman" w:hAnsi="Times New Roman"/>
            <w:b w:val="false"/>
            <w:i w:val="false"/>
            <w:color w:val="000000"/>
            <w:sz w:val="22"/>
          </w:rPr>
          <w:t>45.52(1)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Courses for approved continuing instruction are not intended for the sale of products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approved instructional course shall designate the certification categories that are eligible for continuing instruction credit. A two-hour program may qualify for more than one certification category. No credit shall be approved for persons not certified in the corresponding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45.52(2)</w:t>
      </w:r>
      <w:r>
        <w:rPr>
          <w:rFonts w:ascii="Times New Roman" w:hAnsi="Times New Roman"/>
          <w:b w:val="false"/>
          <w:i w:val="false"/>
          <w:color w:val="000000"/>
          <w:sz w:val="22"/>
        </w:rPr>
        <w:t> </w:t>
      </w:r>
      <w:r>
        <w:rPr>
          <w:rFonts w:ascii="Times New Roman" w:hAnsi="Times New Roman"/>
          <w:b w:val="false"/>
          <w:i/>
          <w:color w:val="000000"/>
          <w:sz w:val="22"/>
        </w:rPr>
        <w:t xml:space="preserve">Provider approval. </w:t>
      </w:r>
      <w:r>
        <w:rPr>
          <w:rFonts w:ascii="Times New Roman" w:hAnsi="Times New Roman"/>
          <w:b w:val="false"/>
          <w:i w:val="false"/>
          <w:color w:val="000000"/>
          <w:sz w:val="22"/>
        </w:rPr>
        <w:t>Provider means the person, industry association or other organization providing continuing instructional courses for pesticide applicator recertification. No course for continuing instruction credit shall be approved unless the provider has first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 shall register with the department by providing the following information on forms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provider or sponsoring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the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Names and qualifications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that provider has acquired adequate audiovisual or other necessary equipment and facilities conducive to a learning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that all instructors are qualified as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Verification that a current authorized representative of the provider has completed a “train the trainer” course sponsored by the department in cooperation with Iowa state university cooperative extension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Instructor qualifications. A qualified instructor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current, knowledgeable and skillful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has obtained the equivalent of a four-year degree or experience in teaching in the specialized area within three years preceding the offering or one year of work experience in the specialized area within three years preceding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current state and federal pesticide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required information and satisfactory verification that the provider and instructors have met the requirements as outlined in paragraphs </w:t>
      </w:r>
      <w:hyperlink r:id="rId100">
        <w:r>
          <w:rPr>
            <w:rStyle w:val="Hyperlink"/>
            <w:rFonts w:ascii="Times New Roman" w:hAnsi="Times New Roman"/>
            <w:b w:val="false"/>
            <w:i w:val="false"/>
            <w:color w:val="000000"/>
            <w:sz w:val="22"/>
          </w:rPr>
          <w:t>45.52(2)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assign the provider a registration approval number for each qualified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the instructor of an approved continuing instructional course is entitled to the same credit as a participant completing the subject but may receive such credit only once in a calendar year, regardless of the number of times the person instructs the instructional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45.52(3)</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industry association or other organization intending to provide an instructional course for continuing instruction credit shall submit an application to the department for approval. Requests received later than 30 days prior to the date the instructional course is scheduled shall be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furnished on the request for approval of a continuing instruction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provider or sponsoring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the contact person for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course is new, a repeat course, or a revised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Course number, if the course is repeated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course shall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Location(s) where course shall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a new or revised course, an outline of the course including a schedule of times when subjects shall be presented. The topics covered in the course shall be listed individually. Under each separate topic, a summary of the instruction given and the material covered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Names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credit hours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 of the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material changes in the instructional course as submitted to the department on the request form and attachments shall automatically void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all course materials shall be provided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provider shall be notified indicating approval or disapproval. Approved courses shall be assigned a course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45.52(4)</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adopt a standard certificate of completion form and provide the form to each registered provider. The form shall include the applicator’s name, name of employer when applicable, course number, date and location of the course, the category or categories the course has been approved for and the signature of the course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 course is approved, the provider shall furnish a certificate of completion to each person who satisfactorily completes such a course. The certificate shall be signed by the course instructor. Providers shall also maintain a list of all persons who attend courses offered by providers for continuing instruction for at least three years from the end of the year in which the courses are offered. The list shall identify each participant by name, address and employer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45.52(5)</w:t>
      </w:r>
      <w:r>
        <w:rPr>
          <w:rFonts w:ascii="Times New Roman" w:hAnsi="Times New Roman"/>
          <w:b w:val="false"/>
          <w:i w:val="false"/>
          <w:color w:val="000000"/>
          <w:sz w:val="22"/>
        </w:rPr>
        <w:t> </w:t>
      </w:r>
      <w:r>
        <w:rPr>
          <w:rFonts w:ascii="Times New Roman" w:hAnsi="Times New Roman"/>
          <w:b w:val="false"/>
          <w:i/>
          <w:color w:val="000000"/>
          <w:sz w:val="22"/>
        </w:rPr>
        <w:t xml:space="preserve">Provider’s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provider of an approved course is responsible for both the attendance of the participants and their attention. During the approved instructional course, if the provider finds that a participant is reading unrelated materials, sleeping, talking excessively with a neighbor or is otherwise disruptive or inattentive, the provider may refuse to grant the participant any credit for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provider may require participants to preregister for an approved course. In the event a provider cancels an approved course, the provider shall notify each individual registered for the course in a timely manner but not less than three business days prior, except as specified, to the scheduled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provider who cancels a course that did not require participants to preregister shall notify prospective participants in a timely manner. Notification for cancellation may be accomplished by a similar means of communication as the original notification of the course availability or any other generally accepted means of reaching the expected target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Minimum lead time for participant notification of canceled courses shall be waived when courses are canceled because of emergency conditions such as extreme weather conditions, acts of God, military actions, or any other circumstance that is deemed to be an emergency condition. Providers shall attempt to notify prospective participants by public service announcements via radio or television broadcasts that may provide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provider shall notify the pesticide bureau of the department in a timely manner prior to the cancellation of an approved course. Initial notice of cancellation may be made by telephone; however, cancellations made by telephone shall be followed by written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records. The provider shall maintain a list of all persons who attend courses offered by them for continuing instruction credit for at least three years from the end of the year in which the courses are offered. The record system shall provide for secure storage and retrieval of individual attendance and information regarding each instructional course offering. The provider’s record of continuing instruction credits granted shall be available within two weeks upon request from individual participants or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provider is not the instructor, the provider shall inform the instructor of the instructor’s responsibilities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45.52(6)</w:t>
      </w:r>
      <w:r>
        <w:rPr>
          <w:rFonts w:ascii="Times New Roman" w:hAnsi="Times New Roman"/>
          <w:b w:val="false"/>
          <w:i w:val="false"/>
          <w:color w:val="000000"/>
          <w:sz w:val="22"/>
        </w:rPr>
        <w:t> </w:t>
      </w:r>
      <w:r>
        <w:rPr>
          <w:rFonts w:ascii="Times New Roman" w:hAnsi="Times New Roman"/>
          <w:b w:val="false"/>
          <w:i/>
          <w:color w:val="000000"/>
          <w:sz w:val="22"/>
        </w:rPr>
        <w:t xml:space="preserve">Enforcement—providers.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upon finding any one or more of the following, revoke or suspend a provider’s registration after an opportunity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 that a course is approved, prior to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material not approved as provided in subrule </w:t>
      </w:r>
      <w:hyperlink r:id="rId101">
        <w:r>
          <w:rPr>
            <w:rStyle w:val="Hyperlink"/>
            <w:rFonts w:ascii="Times New Roman" w:hAnsi="Times New Roman"/>
            <w:b w:val="false"/>
            <w:i w:val="false"/>
            <w:color w:val="000000"/>
            <w:sz w:val="22"/>
          </w:rPr>
          <w:t>45.52(1)</w:t>
        </w:r>
      </w:hyperlink>
      <w:r>
        <w:rPr>
          <w:rFonts w:ascii="Times New Roman" w:hAnsi="Times New Roman"/>
          <w:b w:val="false"/>
          <w:i w:val="false"/>
          <w:color w:val="000000"/>
          <w:sz w:val="22"/>
        </w:rPr>
        <w:t xml:space="preserve"> during the time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present a course for the total time period specified in the request form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Distributing certificates of completion before the course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Refusing to issue certificates of completion to any participant who satisfactorily completes an approved course, except when paragraph </w:t>
      </w:r>
      <w:hyperlink r:id="rId102">
        <w:r>
          <w:rPr>
            <w:rStyle w:val="Hyperlink"/>
            <w:rFonts w:ascii="Times New Roman" w:hAnsi="Times New Roman"/>
            <w:b w:val="false"/>
            <w:i w:val="false"/>
            <w:color w:val="000000"/>
            <w:sz w:val="22"/>
          </w:rPr>
          <w:t>45.52(5)</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notify course registrants of a cancellation pursuant to paragraphs </w:t>
      </w:r>
      <w:hyperlink r:id="rId103">
        <w:r>
          <w:rPr>
            <w:rStyle w:val="Hyperlink"/>
            <w:rFonts w:ascii="Times New Roman" w:hAnsi="Times New Roman"/>
            <w:b w:val="false"/>
            <w:i w:val="false"/>
            <w:color w:val="000000"/>
            <w:sz w:val="22"/>
          </w:rPr>
          <w:t>45.52(5)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Utilizing instructors who are not qualified as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suspend or revoke a provider’s registration after notice and opportunity for hearing pursuant to </w:t>
      </w:r>
      <w:hyperlink r:id="rId104">
        <w:r>
          <w:rPr>
            <w:rStyle w:val="Hyperlink"/>
            <w:rFonts w:ascii="Times New Roman" w:hAnsi="Times New Roman"/>
            <w:b w:val="false"/>
            <w:i w:val="false"/>
            <w:color w:val="000000"/>
            <w:sz w:val="22"/>
          </w:rPr>
          <w:t>21—Chapter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the department may require any one or more of the following upon a finding of a violation of paragraph </w:t>
      </w:r>
      <w:hyperlink r:id="rId105">
        <w:r>
          <w:rPr>
            <w:rStyle w:val="Hyperlink"/>
            <w:rFonts w:ascii="Times New Roman" w:hAnsi="Times New Roman"/>
            <w:b w:val="false"/>
            <w:i w:val="false"/>
            <w:color w:val="000000"/>
            <w:sz w:val="22"/>
          </w:rPr>
          <w:t>45.52(6)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to reregister, provide evidence that all violations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 the possibility of course approvals for courses sponsored by such provider for a set period of time or indefinitely;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disciplinary action permitted by statute.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6">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spacing w:before="210" w:after="0"/>
        <w:ind w:left="120"/>
        <w:jc w:val="both"/>
      </w:pPr>
      <w:r>
        <w:rPr>
          <w:rFonts w:ascii="Times New Roman" w:hAnsi="Times New Roman"/>
          <w:b/>
          <w:i w:val="false"/>
          <w:color w:val="000000"/>
          <w:sz w:val="22"/>
        </w:rPr>
        <w:t>21—45.53</w:t>
      </w:r>
      <w:r>
        <w:rPr>
          <w:rFonts w:ascii="Times New Roman" w:hAnsi="Times New Roman"/>
          <w:b w:val="false"/>
          <w:i w:val="false"/>
          <w:color w:val="000000"/>
          <w:sz w:val="22"/>
        </w:rPr>
        <w:t xml:space="preserve"> to </w:t>
      </w:r>
      <w:r>
        <w:rPr>
          <w:rFonts w:ascii="Times New Roman" w:hAnsi="Times New Roman"/>
          <w:b/>
          <w:i w:val="false"/>
          <w:color w:val="000000"/>
          <w:sz w:val="22"/>
        </w:rPr>
        <w:t>45.99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CIVIL PENALTIES</w:t>
      </w:r>
    </w:p>
    <w:p>
      <w:pPr>
        <w:spacing w:before="0" w:after="0"/>
        <w:ind w:left="120"/>
        <w:jc w:val="both"/>
      </w:pPr>
      <w:r>
        <w:rPr>
          <w:rFonts w:ascii="Times New Roman" w:hAnsi="Times New Roman"/>
          <w:b w:val="false"/>
          <w:i w:val="false"/>
          <w:color w:val="000000"/>
          <w:sz w:val="22"/>
        </w:rPr>
        <w:t xml:space="preserve">This division sets forth the policies and procedures for establishing, accessing, and collecting civil penalties against pesticide applicators for violations of Iowa Code chapter </w:t>
      </w:r>
      <w:hyperlink r:id="rId107">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rules promulgated pursuant to Iowa Code chapter </w:t>
      </w:r>
      <w:hyperlink r:id="rId108">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Iowa Code section </w:t>
      </w:r>
      <w:hyperlink r:id="rId109">
        <w:r>
          <w:rPr>
            <w:rStyle w:val="Hyperlink"/>
            <w:rFonts w:ascii="Times New Roman" w:hAnsi="Times New Roman"/>
            <w:b w:val="false"/>
            <w:i w:val="false"/>
            <w:color w:val="000000"/>
            <w:sz w:val="22"/>
          </w:rPr>
          <w:t>206.19(5)</w:t>
        </w:r>
      </w:hyperlink>
      <w:r>
        <w:rPr>
          <w:rFonts w:ascii="Times New Roman" w:hAnsi="Times New Roman"/>
          <w:b w:val="false"/>
          <w:i w:val="false"/>
          <w:color w:val="000000"/>
          <w:sz w:val="22"/>
        </w:rPr>
        <w:t xml:space="preserve"> authorizes the assessment of civil penalties against applicators for violations of Iowa Code chapter </w:t>
      </w:r>
      <w:hyperlink r:id="rId110">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rules promulgated pursuant to Iowa Code chapter </w:t>
      </w:r>
      <w:hyperlink r:id="rId111">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21—45.100</w:t>
      </w:r>
      <w:r>
        <w:rPr>
          <w:rFonts w:ascii="Times New Roman" w:hAnsi="Times New Roman"/>
          <w:b/>
          <w:i w:val="false"/>
          <w:color w:val="000000"/>
          <w:sz w:val="22"/>
        </w:rPr>
        <w:t xml:space="preserve">(206)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Where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 </w:t>
      </w:r>
      <w:r>
        <w:rPr>
          <w:rFonts w:ascii="Times New Roman" w:hAnsi="Times New Roman"/>
          <w:b w:val="false"/>
          <w:i w:val="false"/>
          <w:color w:val="000000"/>
          <w:sz w:val="22"/>
        </w:rPr>
        <w:t xml:space="preserve">means an evidentiary hearing pursuant to Iowa Code chapter </w:t>
      </w:r>
      <w:hyperlink r:id="rId1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pesticide bureau of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r>
        <w:rPr>
          <w:rFonts w:ascii="Times New Roman" w:hAnsi="Times New Roman"/>
          <w:b w:val="false"/>
          <w:i w:val="false"/>
          <w:color w:val="000000"/>
          <w:sz w:val="22"/>
        </w:rPr>
        <w:t xml:space="preserve">means an agreement between representatives of the department and a commercial applicator providing for sanctions for a violation of Iowa Code chapter </w:t>
      </w:r>
      <w:hyperlink r:id="rId113">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the department’s rules but does not include a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21—45.101</w:t>
      </w:r>
      <w:r>
        <w:rPr>
          <w:rFonts w:ascii="Times New Roman" w:hAnsi="Times New Roman"/>
          <w:b/>
          <w:i w:val="false"/>
          <w:color w:val="000000"/>
          <w:sz w:val="22"/>
        </w:rPr>
        <w:t xml:space="preserve">(206) </w:t>
      </w:r>
      <w:r>
        <w:rPr>
          <w:rFonts w:ascii="Times New Roman" w:hAnsi="Times New Roman"/>
          <w:b/>
          <w:i w:val="false"/>
          <w:color w:val="000000"/>
          <w:sz w:val="22"/>
        </w:rPr>
        <w:t xml:space="preserve">Civil penalties—establishment, assessment, and collection. </w:t>
      </w:r>
      <w:r>
        <w:rPr>
          <w:rFonts w:ascii="Times New Roman" w:hAnsi="Times New Roman"/>
          <w:b w:val="false"/>
          <w:i w:val="false"/>
          <w:color w:val="000000"/>
          <w:sz w:val="22"/>
        </w:rPr>
        <w:t xml:space="preserve">Pesticide applicators who violate provisions of Iowa Code chapter </w:t>
      </w:r>
      <w:hyperlink r:id="rId114">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rules promulgated pursuant to Iowa Code chapter </w:t>
      </w:r>
      <w:hyperlink r:id="rId115">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may be subject to civil penalties. This rule outlines the criteria and procedures for establishing, assessing, and collecting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In evaluating a violation to determine which cases may be appropriate for administrative assessment of penalties, and in determining the amount of penalty, or for purposes of assessing civil penalties, the department shall consider all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Willfulness or recklessness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Actual or potential danger of injury to the public health, safety, or damage to the environment caused by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Actual or potential cost of the injury or damage caused by the violation to the public health or safety or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and potential cost incurred by the department in enforcing the provisions of Iowa Code chapter </w:t>
      </w:r>
      <w:hyperlink r:id="rId116">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and rules adopted pursuant to this chapter against the violator.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Remedial action taken by the pesticide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Previous history of noncompliance by the pesticide applicator being assessed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Competency standards for commercial and private applicators as in subrules </w:t>
      </w:r>
      <w:hyperlink r:id="rId117">
        <w:r>
          <w:rPr>
            <w:rStyle w:val="Hyperlink"/>
            <w:rFonts w:ascii="Times New Roman" w:hAnsi="Times New Roman"/>
            <w:b w:val="false"/>
            <w:i w:val="false"/>
            <w:color w:val="000000"/>
            <w:sz w:val="22"/>
          </w:rPr>
          <w:t>45.22(2)</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45.22(3)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45.101(2)</w:t>
      </w:r>
      <w:r>
        <w:rPr>
          <w:rFonts w:ascii="Times New Roman" w:hAnsi="Times New Roman"/>
          <w:b w:val="false"/>
          <w:i w:val="false"/>
          <w:color w:val="000000"/>
          <w:sz w:val="22"/>
        </w:rPr>
        <w:t> </w:t>
      </w:r>
      <w:r>
        <w:rPr>
          <w:rFonts w:ascii="Times New Roman" w:hAnsi="Times New Roman"/>
          <w:b w:val="false"/>
          <w:i/>
          <w:color w:val="000000"/>
          <w:sz w:val="22"/>
        </w:rPr>
        <w:t xml:space="preserve">Notice and hearing. </w:t>
      </w:r>
      <w:r>
        <w:rPr>
          <w:rFonts w:ascii="Times New Roman" w:hAnsi="Times New Roman"/>
          <w:b w:val="false"/>
          <w:i w:val="false"/>
          <w:color w:val="000000"/>
          <w:sz w:val="22"/>
        </w:rPr>
        <w:t xml:space="preserve">The department may seek assessment of a civil penalty by serving a complaint upon the pesticide applicator. The complaint shall include a statement of the time, place and nature of the hearing, a statement of the legal authority and jurisdiction under which the hearing will be held, a reference to the statute or rules involved, and a statement of the matters asserted. The complaint may be served on the pesticide applicator by personal service or by certified mail, return receipt requested. A person subject to a civil penalty may submit an appeal to the department. The appeal shall be referred to an administrative law judge for hearing as a contested case pursuant to Iowa Code chapter </w:t>
      </w:r>
      <w:hyperlink r:id="rId1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This subrule does not apply to a license revocation proceeding. The department’s procedures for informal settlement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 </w:t>
      </w:r>
      <w:r>
        <w:rPr>
          <w:rFonts w:ascii="Times New Roman" w:hAnsi="Times New Roman"/>
          <w:b w:val="false"/>
          <w:i w:val="false"/>
          <w:color w:val="000000"/>
          <w:sz w:val="22"/>
        </w:rPr>
        <w:t xml:space="preserve">Upon finding that a pesticide applicator has violated Iowa Code chapter </w:t>
      </w:r>
      <w:hyperlink r:id="rId120">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rules adopted pursuant to this chapter, an administrative order shall be issued assessing the civil penalty. The order shall recite the facts, the legal requirements that have been violated, the rationale for the assessment of the civil penalty and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45.101(4)</w:t>
      </w:r>
      <w:r>
        <w:rPr>
          <w:rFonts w:ascii="Times New Roman" w:hAnsi="Times New Roman"/>
          <w:b w:val="false"/>
          <w:i w:val="false"/>
          <w:color w:val="000000"/>
          <w:sz w:val="22"/>
        </w:rPr>
        <w:t> </w:t>
      </w:r>
      <w:r>
        <w:rPr>
          <w:rFonts w:ascii="Times New Roman" w:hAnsi="Times New Roman"/>
          <w:b w:val="false"/>
          <w:i/>
          <w:color w:val="000000"/>
          <w:sz w:val="22"/>
        </w:rPr>
        <w:t xml:space="preserve">Amount of penalty. </w:t>
      </w:r>
      <w:r>
        <w:rPr>
          <w:rFonts w:ascii="Times New Roman" w:hAnsi="Times New Roman"/>
          <w:b w:val="false"/>
          <w:i w:val="false"/>
          <w:color w:val="000000"/>
          <w:sz w:val="22"/>
        </w:rPr>
        <w:t xml:space="preserve">The civil penalty imposed on a pesticide applicator shall not exceed $500 per violation of Iowa Code chapter </w:t>
      </w:r>
      <w:hyperlink r:id="rId121">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to the rules promulgated pursuant to Iowa Code chapter </w:t>
      </w:r>
      <w:hyperlink r:id="rId122">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Each day a pesticide applicator is in violation following receipt of written notification of such violation from the department may be considered a separate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45.101(5)</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penalty shall be paid within 30 days of the date the order assessing the civil penalty becomes final. Failure to pay the civil penalty within three months of the date the order becomes final shall be grounds for suspension or revocation of the pesticide applicator’s license or certification. The department may request that the attorney general institute judicial proceedings to recover an unpaid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45.101(6)</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r>
        <w:rPr>
          <w:rFonts w:ascii="Times New Roman" w:hAnsi="Times New Roman"/>
          <w:b w:val="false"/>
          <w:i w:val="false"/>
          <w:color w:val="000000"/>
          <w:sz w:val="22"/>
        </w:rPr>
        <w:t>These rules do not apply to any settlement reached between the pesticide applicator and the department prior to the initiation of a contested case proceeding. The department shall notify the applicator that it has found a probable violation with a proposed penalty and provide the applicator an opportunity to attend an informal settlement conference. The department and the applicator may attend an informal settlement conference and reach an agreement about the assessment of a civil penalty or other disciplinary action against the applicator.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9145C</w:t>
      </w:r>
      <w:r>
        <w:rPr>
          <w:rFonts w:ascii="Times New Roman" w:hAnsi="Times New Roman"/>
          <w:b w:val="false"/>
          <w:i w:val="false"/>
          <w:color w:val="000000"/>
          <w:sz w:val="16"/>
        </w:rPr>
        <w:t>, IAB 4/30/25,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3">
        <w:r>
          <w:rPr>
            <w:rStyle w:val="Hyperlink"/>
            <w:rFonts w:ascii="Times New Roman" w:hAnsi="Times New Roman"/>
            <w:b w:val="false"/>
            <w:i w:val="false"/>
            <w:color w:val="000000"/>
            <w:sz w:val="22"/>
          </w:rPr>
          <w:t>206.23A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2, 1963; amended May 15, 1964]</w:t>
      </w:r>
    </w:p>
    <w:p>
      <w:pPr>
        <w:spacing w:before="0" w:after="0"/>
        <w:ind w:left="120"/>
        <w:jc w:val="center"/>
      </w:pPr>
      <w:r>
        <w:rPr>
          <w:rFonts w:ascii="Times New Roman" w:hAnsi="Times New Roman"/>
          <w:b w:val="false"/>
          <w:i w:val="false"/>
          <w:color w:val="000000"/>
          <w:sz w:val="21"/>
        </w:rPr>
        <w:t>[Filed 5/21/76, Notice 12/15/75—published 6/14/76, effective 7/20/76]</w:t>
      </w:r>
    </w:p>
    <w:p>
      <w:pPr>
        <w:spacing w:before="0" w:after="0"/>
        <w:ind w:left="120"/>
        <w:jc w:val="center"/>
      </w:pPr>
      <w:r>
        <w:rPr>
          <w:rFonts w:ascii="Times New Roman" w:hAnsi="Times New Roman"/>
          <w:b w:val="false"/>
          <w:i w:val="false"/>
          <w:color w:val="000000"/>
          <w:sz w:val="21"/>
        </w:rPr>
        <w:t>[Filed without notice 12/21/76—published 1/12/77, effective 2/17/77]</w:t>
      </w:r>
    </w:p>
    <w:p>
      <w:pPr>
        <w:spacing w:before="0" w:after="0"/>
        <w:ind w:left="120"/>
        <w:jc w:val="center"/>
      </w:pPr>
      <w:r>
        <w:rPr>
          <w:rFonts w:ascii="Times New Roman" w:hAnsi="Times New Roman"/>
          <w:b w:val="false"/>
          <w:i w:val="false"/>
          <w:color w:val="000000"/>
          <w:sz w:val="21"/>
        </w:rPr>
        <w:t>[Filed 2/17/77, Notice 1/12/77—published 3/9/77, effective 4/14/77]</w:t>
      </w:r>
    </w:p>
    <w:p>
      <w:pPr>
        <w:spacing w:before="0" w:after="0"/>
        <w:ind w:left="120"/>
        <w:jc w:val="center"/>
      </w:pPr>
      <w:r>
        <w:rPr>
          <w:rFonts w:ascii="Times New Roman" w:hAnsi="Times New Roman"/>
          <w:b w:val="false"/>
          <w:i w:val="false"/>
          <w:color w:val="000000"/>
          <w:sz w:val="21"/>
        </w:rPr>
        <w:t>[Filed 5/25/77, Notice 2/23/77—published 6/15/77, effective 7/20/77]</w:t>
      </w:r>
    </w:p>
    <w:p>
      <w:pPr>
        <w:spacing w:before="0" w:after="0"/>
        <w:ind w:left="120"/>
        <w:jc w:val="center"/>
      </w:pPr>
      <w:r>
        <w:rPr>
          <w:rFonts w:ascii="Times New Roman" w:hAnsi="Times New Roman"/>
          <w:b w:val="false"/>
          <w:i w:val="false"/>
          <w:color w:val="000000"/>
          <w:sz w:val="21"/>
        </w:rPr>
        <w:t>[Filed 6/10/77, Notice 4/20/77—published 6/29/77, effective 8/4/77]</w:t>
      </w:r>
    </w:p>
    <w:p>
      <w:pPr>
        <w:spacing w:before="0" w:after="0"/>
        <w:ind w:left="120"/>
        <w:jc w:val="center"/>
      </w:pPr>
      <w:r>
        <w:rPr>
          <w:rFonts w:ascii="Times New Roman" w:hAnsi="Times New Roman"/>
          <w:b w:val="false"/>
          <w:i w:val="false"/>
          <w:color w:val="000000"/>
          <w:sz w:val="21"/>
        </w:rPr>
        <w:t>[Filed 6/26/78, Notice 5/17/78—published 7/26/78, effective 8/30/78]</w:t>
      </w:r>
    </w:p>
    <w:p>
      <w:pPr>
        <w:spacing w:before="0" w:after="0"/>
        <w:ind w:left="120"/>
        <w:jc w:val="center"/>
      </w:pPr>
      <w:r>
        <w:rPr>
          <w:rFonts w:ascii="Times New Roman" w:hAnsi="Times New Roman"/>
          <w:b w:val="false"/>
          <w:i w:val="false"/>
          <w:color w:val="000000"/>
          <w:sz w:val="21"/>
        </w:rPr>
        <w:t>[Filed 7/23/79, Notice 5/2/79—published 8/8/79, effective 9/12/79]</w:t>
      </w:r>
    </w:p>
    <w:p>
      <w:pPr>
        <w:spacing w:before="0" w:after="0"/>
        <w:ind w:left="120"/>
        <w:jc w:val="center"/>
      </w:pPr>
      <w:r>
        <w:rPr>
          <w:rFonts w:ascii="Times New Roman" w:hAnsi="Times New Roman"/>
          <w:b w:val="false"/>
          <w:i w:val="false"/>
          <w:color w:val="000000"/>
          <w:sz w:val="21"/>
        </w:rPr>
        <w:t>[Filed 12/7/79, Notice 9/5/79—published 12/26/79, effective 1/30/80]</w:t>
      </w:r>
    </w:p>
    <w:p>
      <w:pPr>
        <w:spacing w:before="0" w:after="0"/>
        <w:ind w:left="120"/>
        <w:jc w:val="center"/>
      </w:pPr>
      <w:r>
        <w:rPr>
          <w:rFonts w:ascii="Times New Roman" w:hAnsi="Times New Roman"/>
          <w:b w:val="false"/>
          <w:i w:val="false"/>
          <w:color w:val="000000"/>
          <w:sz w:val="21"/>
        </w:rPr>
        <w:t>[Filed emergency 1/30/80—published 2/20/80, effective 1/30/80]</w:t>
      </w:r>
    </w:p>
    <w:p>
      <w:pPr>
        <w:spacing w:before="0" w:after="0"/>
        <w:ind w:left="120"/>
        <w:jc w:val="center"/>
      </w:pPr>
      <w:r>
        <w:rPr>
          <w:rFonts w:ascii="Times New Roman" w:hAnsi="Times New Roman"/>
          <w:b w:val="false"/>
          <w:i w:val="false"/>
          <w:color w:val="000000"/>
          <w:sz w:val="21"/>
        </w:rPr>
        <w:t>[Filed 3/28/80, Notice 2/20/80—published 4/16/80, effective 5/26/80]</w:t>
      </w:r>
    </w:p>
    <w:p>
      <w:pPr>
        <w:spacing w:before="0" w:after="0"/>
        <w:ind w:left="120"/>
        <w:jc w:val="center"/>
      </w:pPr>
      <w:r>
        <w:rPr>
          <w:rFonts w:ascii="Times New Roman" w:hAnsi="Times New Roman"/>
          <w:b w:val="false"/>
          <w:i w:val="false"/>
          <w:color w:val="000000"/>
          <w:sz w:val="21"/>
        </w:rPr>
        <w:t>[Filed 4/23/80, Notice 3/19/80—published 5/14/80, effective 6/18/80]</w:t>
      </w:r>
    </w:p>
    <w:p>
      <w:pPr>
        <w:spacing w:before="0" w:after="0"/>
        <w:ind w:left="120"/>
        <w:jc w:val="center"/>
      </w:pPr>
      <w:r>
        <w:rPr>
          <w:rFonts w:ascii="Times New Roman" w:hAnsi="Times New Roman"/>
          <w:b w:val="false"/>
          <w:i w:val="false"/>
          <w:color w:val="000000"/>
          <w:sz w:val="21"/>
        </w:rPr>
        <w:t>[Filed 9/26/80, Notice 8/20/80—published 10/15/80, effective 11/19/80]</w:t>
      </w:r>
    </w:p>
    <w:p>
      <w:pPr>
        <w:spacing w:before="0" w:after="0"/>
        <w:ind w:left="120"/>
        <w:jc w:val="center"/>
      </w:pPr>
      <w:r>
        <w:rPr>
          <w:rFonts w:ascii="Times New Roman" w:hAnsi="Times New Roman"/>
          <w:b w:val="false"/>
          <w:i w:val="false"/>
          <w:color w:val="000000"/>
          <w:sz w:val="21"/>
        </w:rPr>
        <w:t>[Filed 1/13/84, Notice 12/7/83—published 2/1/84, effective 3/7/84]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3/9/84—published 3/28/84, effective 3/9/84]</w:t>
      </w:r>
    </w:p>
    <w:p>
      <w:pPr>
        <w:spacing w:before="0" w:after="0"/>
        <w:ind w:left="120"/>
        <w:jc w:val="center"/>
      </w:pPr>
      <w:r>
        <w:rPr>
          <w:rFonts w:ascii="Times New Roman" w:hAnsi="Times New Roman"/>
          <w:b w:val="false"/>
          <w:i w:val="false"/>
          <w:color w:val="000000"/>
          <w:sz w:val="21"/>
        </w:rPr>
        <w:t>[Filed 4/6/84, Notice 2/29/84—published 4/25/84, effective 5/30/84]</w:t>
      </w:r>
    </w:p>
    <w:p>
      <w:pPr>
        <w:spacing w:before="0" w:after="0"/>
        <w:ind w:left="120"/>
        <w:jc w:val="center"/>
      </w:pPr>
      <w:r>
        <w:rPr>
          <w:rFonts w:ascii="Times New Roman" w:hAnsi="Times New Roman"/>
          <w:b w:val="false"/>
          <w:i w:val="false"/>
          <w:color w:val="000000"/>
          <w:sz w:val="21"/>
        </w:rPr>
        <w:t>[Filed 5/4/84, Notice 3/28/84—published 5/23/84, effective 6/27/84]</w:t>
      </w:r>
    </w:p>
    <w:p>
      <w:pPr>
        <w:spacing w:before="0" w:after="0"/>
        <w:ind w:left="120"/>
        <w:jc w:val="center"/>
      </w:pPr>
      <w:r>
        <w:rPr>
          <w:rFonts w:ascii="Times New Roman" w:hAnsi="Times New Roman"/>
          <w:b w:val="false"/>
          <w:i w:val="false"/>
          <w:color w:val="000000"/>
          <w:sz w:val="21"/>
        </w:rPr>
        <w:t>[Filed emergency 6/19/86—published 7/16/86, effective 6/19/86]</w:t>
      </w:r>
    </w:p>
    <w:p>
      <w:pPr>
        <w:spacing w:before="0" w:after="0"/>
        <w:ind w:left="120"/>
        <w:jc w:val="center"/>
      </w:pPr>
      <w:r>
        <w:rPr>
          <w:rFonts w:ascii="Times New Roman" w:hAnsi="Times New Roman"/>
          <w:b w:val="false"/>
          <w:i w:val="false"/>
          <w:color w:val="000000"/>
          <w:sz w:val="21"/>
        </w:rPr>
        <w:t>[Filed 8/28/86, Notice 7/16/86—published 9/24/86, effective 10/29/86]</w:t>
      </w:r>
    </w:p>
    <w:p>
      <w:pPr>
        <w:spacing w:before="0" w:after="0"/>
        <w:ind w:left="120"/>
        <w:jc w:val="center"/>
      </w:pPr>
      <w:r>
        <w:rPr>
          <w:rFonts w:ascii="Times New Roman" w:hAnsi="Times New Roman"/>
          <w:b w:val="false"/>
          <w:i w:val="false"/>
          <w:color w:val="000000"/>
          <w:sz w:val="21"/>
        </w:rPr>
        <w:t>[Filed 10/31/86, Notice 6/18/86—published 11/19/86, effective 12/24/86]</w:t>
      </w:r>
    </w:p>
    <w:p>
      <w:pPr>
        <w:spacing w:before="0" w:after="0"/>
        <w:ind w:left="120"/>
        <w:jc w:val="center"/>
      </w:pPr>
      <w:r>
        <w:rPr>
          <w:rFonts w:ascii="Times New Roman" w:hAnsi="Times New Roman"/>
          <w:b w:val="false"/>
          <w:i w:val="false"/>
          <w:color w:val="000000"/>
          <w:sz w:val="21"/>
        </w:rPr>
        <w:t>[Filed 1/22/88, Notice 11/4/87—published 2/10/88, effective 3/16/88]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8/23/88, Notice 6/29/88—published 9/7/88, effective 10/12/88]</w:t>
      </w:r>
    </w:p>
    <w:p>
      <w:pPr>
        <w:spacing w:before="0" w:after="0"/>
        <w:ind w:left="120"/>
        <w:jc w:val="center"/>
      </w:pPr>
      <w:r>
        <w:rPr>
          <w:rFonts w:ascii="Times New Roman" w:hAnsi="Times New Roman"/>
          <w:b w:val="false"/>
          <w:i w:val="false"/>
          <w:color w:val="000000"/>
          <w:sz w:val="21"/>
        </w:rPr>
        <w:t>[Filed 10/26/89, Notice 8/23/89—published 11/15/89, effective 12/20/89]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emergency 2/15/90 after Notice 1/10/90—published 3/7/90, effective 2/15/90]</w:t>
      </w:r>
    </w:p>
    <w:p>
      <w:pPr>
        <w:spacing w:before="0" w:after="0"/>
        <w:ind w:left="120"/>
        <w:jc w:val="center"/>
      </w:pPr>
      <w:r>
        <w:rPr>
          <w:rFonts w:ascii="Times New Roman" w:hAnsi="Times New Roman"/>
          <w:b w:val="false"/>
          <w:i w:val="false"/>
          <w:color w:val="000000"/>
          <w:sz w:val="21"/>
        </w:rPr>
        <w:t>[Filed emergency 1/2/91—published 1/23/91, effective 1/2/91]</w:t>
      </w:r>
    </w:p>
    <w:p>
      <w:pPr>
        <w:spacing w:before="0" w:after="0"/>
        <w:ind w:left="120"/>
        <w:jc w:val="center"/>
      </w:pPr>
      <w:r>
        <w:rPr>
          <w:rFonts w:ascii="Times New Roman" w:hAnsi="Times New Roman"/>
          <w:b w:val="false"/>
          <w:i w:val="false"/>
          <w:color w:val="000000"/>
          <w:sz w:val="21"/>
        </w:rPr>
        <w:t>[Filed emergency 10/8/93—published 10/27/93, effective 10/8/93]</w:t>
      </w:r>
    </w:p>
    <w:p>
      <w:pPr>
        <w:spacing w:before="0" w:after="0"/>
        <w:ind w:left="120"/>
        <w:jc w:val="center"/>
      </w:pPr>
      <w:r>
        <w:rPr>
          <w:rFonts w:ascii="Times New Roman" w:hAnsi="Times New Roman"/>
          <w:b w:val="false"/>
          <w:i w:val="false"/>
          <w:color w:val="000000"/>
          <w:sz w:val="21"/>
        </w:rPr>
        <w:t>[Filed 4/20/94, Notice 10/27/93—published 5/11/94, effective 6/15/94]</w:t>
      </w:r>
    </w:p>
    <w:p>
      <w:pPr>
        <w:spacing w:before="0" w:after="0"/>
        <w:ind w:left="120"/>
        <w:jc w:val="center"/>
      </w:pPr>
      <w:r>
        <w:rPr>
          <w:rFonts w:ascii="Times New Roman" w:hAnsi="Times New Roman"/>
          <w:b w:val="false"/>
          <w:i w:val="false"/>
          <w:color w:val="000000"/>
          <w:sz w:val="21"/>
        </w:rPr>
        <w:t>[Filed 7/29/94, Notice 4/13/94—published 8/17/94, effective 9/21/94]</w:t>
      </w:r>
    </w:p>
    <w:p>
      <w:pPr>
        <w:spacing w:before="0" w:after="0"/>
        <w:ind w:left="120"/>
        <w:jc w:val="center"/>
      </w:pPr>
      <w:r>
        <w:rPr>
          <w:rFonts w:ascii="Times New Roman" w:hAnsi="Times New Roman"/>
          <w:b w:val="false"/>
          <w:i w:val="false"/>
          <w:color w:val="000000"/>
          <w:sz w:val="21"/>
        </w:rPr>
        <w:t>[Filed 9/7/95, Notice 8/2/95—published 9/27/95, effective 11/1/95]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4/4/08 after Notice 2/27/08—published 4/23/08, effective 4/4/08]</w:t>
      </w:r>
    </w:p>
    <w:p>
      <w:pPr>
        <w:spacing w:before="0" w:after="0"/>
        <w:ind w:left="120"/>
        <w:jc w:val="center"/>
      </w:pPr>
      <w:r>
        <w:rPr>
          <w:rFonts w:ascii="Times New Roman" w:hAnsi="Times New Roman"/>
          <w:b w:val="false"/>
          <w:i w:val="false"/>
          <w:color w:val="000000"/>
          <w:sz w:val="21"/>
        </w:rPr>
        <w:t>[Filed Emergency After Notice ARC 7572B</w:t>
      </w:r>
      <w:r>
        <w:rPr>
          <w:rFonts w:ascii="Times New Roman" w:hAnsi="Times New Roman"/>
          <w:b w:val="false"/>
          <w:i w:val="false"/>
          <w:color w:val="000000"/>
          <w:sz w:val="21"/>
        </w:rPr>
        <w:t xml:space="preserve"> (Notice ARC 7432B, IAB 12/17/08)</w:t>
      </w:r>
      <w:r>
        <w:rPr>
          <w:rFonts w:ascii="Times New Roman" w:hAnsi="Times New Roman"/>
          <w:b w:val="false"/>
          <w:i w:val="false"/>
          <w:color w:val="000000"/>
          <w:sz w:val="21"/>
        </w:rPr>
        <w:t>, IAB 2/11/09, effective 1/22/09]</w:t>
      </w:r>
      <w:r>
        <w:br/>
      </w:r>
      <w:r>
        <w:rPr>
          <w:rFonts w:ascii="Times New Roman" w:hAnsi="Times New Roman"/>
          <w:b w:val="false"/>
          <w:i w:val="false"/>
          <w:color w:val="000000"/>
          <w:sz w:val="21"/>
        </w:rPr>
        <w:t>[Filed Emergency After Notice ARC 7556B</w:t>
      </w:r>
      <w:r>
        <w:rPr>
          <w:rFonts w:ascii="Times New Roman" w:hAnsi="Times New Roman"/>
          <w:b w:val="false"/>
          <w:i w:val="false"/>
          <w:color w:val="000000"/>
          <w:sz w:val="21"/>
        </w:rPr>
        <w:t xml:space="preserve"> (Notice ARC 7339B, IAB 11/19/08)</w:t>
      </w:r>
      <w:r>
        <w:rPr>
          <w:rFonts w:ascii="Times New Roman" w:hAnsi="Times New Roman"/>
          <w:b w:val="false"/>
          <w:i w:val="false"/>
          <w:color w:val="000000"/>
          <w:sz w:val="21"/>
        </w:rPr>
        <w:t>, IAB 2/11/09, effective 2/1/09]</w:t>
      </w:r>
    </w:p>
    <w:p>
      <w:pPr>
        <w:spacing w:before="0" w:after="0"/>
        <w:ind w:left="120"/>
        <w:jc w:val="center"/>
      </w:pPr>
      <w:r>
        <w:rPr>
          <w:rFonts w:ascii="Times New Roman" w:hAnsi="Times New Roman"/>
          <w:b w:val="false"/>
          <w:i w:val="false"/>
          <w:color w:val="000000"/>
          <w:sz w:val="21"/>
        </w:rPr>
        <w:t>[Filed ARC 8704B</w:t>
      </w:r>
      <w:r>
        <w:rPr>
          <w:rFonts w:ascii="Times New Roman" w:hAnsi="Times New Roman"/>
          <w:b w:val="false"/>
          <w:i w:val="false"/>
          <w:color w:val="000000"/>
          <w:sz w:val="21"/>
        </w:rPr>
        <w:t xml:space="preserve"> (Notice ARC 8523B,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0392C</w:t>
      </w:r>
      <w:r>
        <w:rPr>
          <w:rFonts w:ascii="Times New Roman" w:hAnsi="Times New Roman"/>
          <w:b w:val="false"/>
          <w:i w:val="false"/>
          <w:color w:val="000000"/>
          <w:sz w:val="21"/>
        </w:rPr>
        <w:t xml:space="preserve"> (Notice ARC 0234C,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1508C</w:t>
      </w:r>
      <w:r>
        <w:rPr>
          <w:rFonts w:ascii="Times New Roman" w:hAnsi="Times New Roman"/>
          <w:b w:val="false"/>
          <w:i w:val="false"/>
          <w:color w:val="000000"/>
          <w:sz w:val="21"/>
        </w:rPr>
        <w:t xml:space="preserve"> (Notice ARC 1452C,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2881C</w:t>
      </w:r>
      <w:r>
        <w:rPr>
          <w:rFonts w:ascii="Times New Roman" w:hAnsi="Times New Roman"/>
          <w:b w:val="false"/>
          <w:i w:val="false"/>
          <w:color w:val="000000"/>
          <w:sz w:val="21"/>
        </w:rPr>
        <w:t xml:space="preserve"> (Notice ARC 2807C, IAB 11/9/16)</w:t>
      </w:r>
      <w:r>
        <w:rPr>
          <w:rFonts w:ascii="Times New Roman" w:hAnsi="Times New Roman"/>
          <w:b w:val="false"/>
          <w:i w:val="false"/>
          <w:color w:val="000000"/>
          <w:sz w:val="21"/>
        </w:rPr>
        <w:t>, IAB 1/4/17, effective 2/8/17]</w:t>
      </w:r>
      <w:r>
        <w:br/>
      </w:r>
      <w:r>
        <w:rPr>
          <w:rFonts w:ascii="Times New Roman" w:hAnsi="Times New Roman"/>
          <w:b w:val="false"/>
          <w:i w:val="false"/>
          <w:color w:val="000000"/>
          <w:sz w:val="21"/>
        </w:rPr>
        <w:t>[Filed ARC 2882C</w:t>
      </w:r>
      <w:r>
        <w:rPr>
          <w:rFonts w:ascii="Times New Roman" w:hAnsi="Times New Roman"/>
          <w:b w:val="false"/>
          <w:i w:val="false"/>
          <w:color w:val="000000"/>
          <w:sz w:val="21"/>
        </w:rPr>
        <w:t xml:space="preserve"> (Notice ARC 2708C, IAB 9/14/16)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3232C</w:t>
      </w:r>
      <w:r>
        <w:rPr>
          <w:rFonts w:ascii="Times New Roman" w:hAnsi="Times New Roman"/>
          <w:b w:val="false"/>
          <w:i w:val="false"/>
          <w:color w:val="000000"/>
          <w:sz w:val="21"/>
        </w:rPr>
        <w:t xml:space="preserve"> (Notice ARC 3091C,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6783C</w:t>
      </w:r>
      <w:r>
        <w:rPr>
          <w:rFonts w:ascii="Times New Roman" w:hAnsi="Times New Roman"/>
          <w:b w:val="false"/>
          <w:i w:val="false"/>
          <w:color w:val="000000"/>
          <w:sz w:val="21"/>
        </w:rPr>
        <w:t xml:space="preserve"> (Notice ARC 6500C, IAB 9/7/22)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9145C</w:t>
      </w:r>
      <w:r>
        <w:rPr>
          <w:rFonts w:ascii="Times New Roman" w:hAnsi="Times New Roman"/>
          <w:b w:val="false"/>
          <w:i w:val="false"/>
          <w:color w:val="000000"/>
          <w:sz w:val="21"/>
        </w:rPr>
        <w:t xml:space="preserve"> (Notice ARC 8356C, IAB 11/13/24)</w:t>
      </w:r>
      <w:r>
        <w:rPr>
          <w:rFonts w:ascii="Times New Roman" w:hAnsi="Times New Roman"/>
          <w:b w:val="false"/>
          <w:i w:val="false"/>
          <w:color w:val="000000"/>
          <w:sz w:val="21"/>
        </w:rPr>
        <w:t>, IAB 4/30/25, effective 1/1/26]</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45.22.pdf" Type="http://schemas.openxmlformats.org/officeDocument/2006/relationships/hyperlink" Id="rId5"/>
    <Relationship TargetMode="External" Target="https://www.legis.iowa.gov/docs/ico/chapter/206.5.pdf" Type="http://schemas.openxmlformats.org/officeDocument/2006/relationships/hyperlink" Id="rId6"/>
    <Relationship TargetMode="External" Target="https://www.legis.iowa.gov/docs/ico/chapter/206.6.pdf" Type="http://schemas.openxmlformats.org/officeDocument/2006/relationships/hyperlink" Id="rId7"/>
    <Relationship TargetMode="External" Target="https://www.legis.iowa.gov/docs/ico/chapter/206.12.pdf" Type="http://schemas.openxmlformats.org/officeDocument/2006/relationships/hyperlink" Id="rId8"/>
    <Relationship TargetMode="External" Target="https://www.legis.iowa.gov/docs/ico/chapter/206.12.pdf" Type="http://schemas.openxmlformats.org/officeDocument/2006/relationships/hyperlink" Id="rId9"/>
    <Relationship TargetMode="External" Target="https://www.legis.iowa.gov/docs/iac/rule/21.45.13.pdf" Type="http://schemas.openxmlformats.org/officeDocument/2006/relationships/hyperlink" Id="rId10"/>
    <Relationship TargetMode="External" Target="https://www.legis.iowa.gov/docs/ico/chapter/206.pdf" Type="http://schemas.openxmlformats.org/officeDocument/2006/relationships/hyperlink" Id="rId11"/>
    <Relationship TargetMode="External" Target="https://www.legis.iowa.gov/docs/ico/chapter/206.12.pdf" Type="http://schemas.openxmlformats.org/officeDocument/2006/relationships/hyperlink" Id="rId12"/>
    <Relationship TargetMode="External" Target="https://www.legis.iowa.gov/docs/ico/chapter/206.9.pdf" Type="http://schemas.openxmlformats.org/officeDocument/2006/relationships/hyperlink" Id="rId13"/>
    <Relationship TargetMode="External" Target="https://www.legis.iowa.gov/docs/ico/chapter/206.11.pdf" Type="http://schemas.openxmlformats.org/officeDocument/2006/relationships/hyperlink" Id="rId14"/>
    <Relationship TargetMode="External" Target="https://www.legis.iowa.gov/docs/ico/chapter/206.12.pdf" Type="http://schemas.openxmlformats.org/officeDocument/2006/relationships/hyperlink" Id="rId15"/>
    <Relationship TargetMode="External" Target="https://www.legis.iowa.gov/docs/ico/chapter/206.11.pdf" Type="http://schemas.openxmlformats.org/officeDocument/2006/relationships/hyperlink" Id="rId16"/>
    <Relationship TargetMode="External" Target="https://www.legis.iowa.gov/docs/ico/chapter/206.11.pdf" Type="http://schemas.openxmlformats.org/officeDocument/2006/relationships/hyperlink" Id="rId17"/>
    <Relationship TargetMode="External" Target="https://www.legis.iowa.gov/docs/ico/chapter/206.11.pdf" Type="http://schemas.openxmlformats.org/officeDocument/2006/relationships/hyperlink" Id="rId18"/>
    <Relationship TargetMode="External" Target="https://www.legis.iowa.gov/docs/ico/chapter/206.13.pdf" Type="http://schemas.openxmlformats.org/officeDocument/2006/relationships/hyperlink" Id="rId19"/>
    <Relationship TargetMode="External" Target="https://www.legis.iowa.gov/docs/ico/chapter/206.2.pdf" Type="http://schemas.openxmlformats.org/officeDocument/2006/relationships/hyperlink" Id="rId20"/>
    <Relationship TargetMode="External" Target="https://www.legis.iowa.gov/docs/iac/rule/21.45.22.pdf" Type="http://schemas.openxmlformats.org/officeDocument/2006/relationships/hyperlink" Id="rId21"/>
    <Relationship TargetMode="External" Target="https://www.legis.iowa.gov/docs/iac/rule/21.45.22.pdf" Type="http://schemas.openxmlformats.org/officeDocument/2006/relationships/hyperlink" Id="rId22"/>
    <Relationship TargetMode="External" Target="https://www.legis.iowa.gov/docs/iac/rule/21.45.52.pdf" Type="http://schemas.openxmlformats.org/officeDocument/2006/relationships/hyperlink" Id="rId23"/>
    <Relationship TargetMode="External" Target="https://www.legis.iowa.gov/docs/iac/rule/21.45.22.pdf" Type="http://schemas.openxmlformats.org/officeDocument/2006/relationships/hyperlink" Id="rId24"/>
    <Relationship TargetMode="External" Target="https://www.legis.iowa.gov/docs/ico/chapter/206.5.pdf" Type="http://schemas.openxmlformats.org/officeDocument/2006/relationships/hyperlink" Id="rId25"/>
    <Relationship TargetMode="External" Target="https://www.legis.iowa.gov/docs/iac/rule/21.45.22.pdf" Type="http://schemas.openxmlformats.org/officeDocument/2006/relationships/hyperlink" Id="rId26"/>
    <Relationship TargetMode="External" Target="https://www.legis.iowa.gov/docs/ico/chapter/206.5.pdf" Type="http://schemas.openxmlformats.org/officeDocument/2006/relationships/hyperlink" Id="rId27"/>
    <Relationship TargetMode="External" Target="https://www.legis.iowa.gov/docs/ico/chapter/206.6.pdf" Type="http://schemas.openxmlformats.org/officeDocument/2006/relationships/hyperlink" Id="rId28"/>
    <Relationship TargetMode="External" Target="https://www.legis.iowa.gov/docs/ico/chapter/206.pdf" Type="http://schemas.openxmlformats.org/officeDocument/2006/relationships/hyperlink" Id="rId29"/>
    <Relationship TargetMode="External" Target="https://www.legis.iowa.gov/docs/ico/chapter/206.pdf" Type="http://schemas.openxmlformats.org/officeDocument/2006/relationships/hyperlink" Id="rId30"/>
    <Relationship TargetMode="External" Target="https://www.legis.iowa.gov/docs/ico/chapter/206.5.pdf" Type="http://schemas.openxmlformats.org/officeDocument/2006/relationships/hyperlink" Id="rId31"/>
    <Relationship TargetMode="External" Target="https://www.legis.iowa.gov/docs/ico/chapter/206.6.pdf" Type="http://schemas.openxmlformats.org/officeDocument/2006/relationships/hyperlink" Id="rId32"/>
    <Relationship TargetMode="External" Target="https://www.legis.iowa.gov/docs/iac/rule/21.45.26.pdf" Type="http://schemas.openxmlformats.org/officeDocument/2006/relationships/hyperlink" Id="rId33"/>
    <Relationship TargetMode="External" Target="https://www.legis.iowa.gov/docs/ico/chapter/206.2.pdf" Type="http://schemas.openxmlformats.org/officeDocument/2006/relationships/hyperlink" Id="rId34"/>
    <Relationship TargetMode="External" Target="https://www.legis.iowa.gov/docs/ico/chapter/206.4.pdf" Type="http://schemas.openxmlformats.org/officeDocument/2006/relationships/hyperlink" Id="rId35"/>
    <Relationship TargetMode="External" Target="https://www.legis.iowa.gov/docs/ico/chapter/206.5.pdf" Type="http://schemas.openxmlformats.org/officeDocument/2006/relationships/hyperlink" Id="rId36"/>
    <Relationship TargetMode="External" Target="https://www.legis.iowa.gov/docs/ico/chapter/206.6.pdf" Type="http://schemas.openxmlformats.org/officeDocument/2006/relationships/hyperlink" Id="rId37"/>
    <Relationship TargetMode="External" Target="https://www.legis.iowa.gov/docs/ico/chapter/206.7.pdf" Type="http://schemas.openxmlformats.org/officeDocument/2006/relationships/hyperlink" Id="rId38"/>
    <Relationship TargetMode="External" Target="https://www.legis.iowa.gov/docs/ico/chapter/206.31.pdf" Type="http://schemas.openxmlformats.org/officeDocument/2006/relationships/hyperlink" Id="rId39"/>
    <Relationship TargetMode="External" Target="https://www.legis.iowa.gov/docs/ico/chapter/206.21.pdf" Type="http://schemas.openxmlformats.org/officeDocument/2006/relationships/hyperlink" Id="rId40"/>
    <Relationship TargetMode="External" Target="https://www.legis.iowa.gov/docs/iac/rule/21.45.22.pdf" Type="http://schemas.openxmlformats.org/officeDocument/2006/relationships/hyperlink" Id="rId41"/>
    <Relationship TargetMode="External" Target="https://www.legis.iowa.gov/docs/ico/chapter/206.11.pdf" Type="http://schemas.openxmlformats.org/officeDocument/2006/relationships/hyperlink" Id="rId42"/>
    <Relationship TargetMode="External" Target="https://www.legis.iowa.gov/docs/ico/chapter/206.15.pdf" Type="http://schemas.openxmlformats.org/officeDocument/2006/relationships/hyperlink" Id="rId43"/>
    <Relationship TargetMode="External" Target="https://www.legis.iowa.gov/docs/iac/rule/21.45.22.pdf" Type="http://schemas.openxmlformats.org/officeDocument/2006/relationships/hyperlink" Id="rId44"/>
    <Relationship TargetMode="External" Target="https://www.legis.iowa.gov/docs/iac/rule/21.45.28.pdf" Type="http://schemas.openxmlformats.org/officeDocument/2006/relationships/hyperlink" Id="rId45"/>
    <Relationship TargetMode="External" Target="https://www.legis.iowa.gov/docs/ico/chapter/206.4.pdf" Type="http://schemas.openxmlformats.org/officeDocument/2006/relationships/hyperlink" Id="rId46"/>
    <Relationship TargetMode="External" Target="https://www.legis.iowa.gov/docs/ico/chapter/206.5.pdf" Type="http://schemas.openxmlformats.org/officeDocument/2006/relationships/hyperlink" Id="rId47"/>
    <Relationship TargetMode="External" Target="https://www.legis.iowa.gov/docs/ico/chapter/206.pdf" Type="http://schemas.openxmlformats.org/officeDocument/2006/relationships/hyperlink" Id="rId48"/>
    <Relationship TargetMode="External" Target="https://www.legis.iowa.gov/docs/ico/chapter/206.20.pdf" Type="http://schemas.openxmlformats.org/officeDocument/2006/relationships/hyperlink" Id="rId49"/>
    <Relationship TargetMode="External" Target="https://www.legis.iowa.gov/docs/ico/chapter/206.6.pdf" Type="http://schemas.openxmlformats.org/officeDocument/2006/relationships/hyperlink" Id="rId50"/>
    <Relationship TargetMode="External" Target="https://www.legis.iowa.gov/docs/ico/chapter/206.19.pdf" Type="http://schemas.openxmlformats.org/officeDocument/2006/relationships/hyperlink" Id="rId51"/>
    <Relationship TargetMode="External" Target="https://www.legis.iowa.gov/docs/ico/chapter/206.20.pdf" Type="http://schemas.openxmlformats.org/officeDocument/2006/relationships/hyperlink" Id="rId52"/>
    <Relationship TargetMode="External" Target="https://www.legis.iowa.gov/docs/ico/chapter/206.23.pdf" Type="http://schemas.openxmlformats.org/officeDocument/2006/relationships/hyperlink" Id="rId53"/>
    <Relationship TargetMode="External" Target="https://www.legis.iowa.gov/docs/ico/chapter/206.19.pdf" Type="http://schemas.openxmlformats.org/officeDocument/2006/relationships/hyperlink" Id="rId54"/>
    <Relationship TargetMode="External" Target="https://www.legis.iowa.gov/docs/ico/chapter/206.20.pdf" Type="http://schemas.openxmlformats.org/officeDocument/2006/relationships/hyperlink" Id="rId55"/>
    <Relationship TargetMode="External" Target="https://www.legis.iowa.gov/docs/ico/chapter/206.23.pdf" Type="http://schemas.openxmlformats.org/officeDocument/2006/relationships/hyperlink" Id="rId56"/>
    <Relationship TargetMode="External" Target="https://www.legis.iowa.gov/docs/ico/chapter/206.19.pdf" Type="http://schemas.openxmlformats.org/officeDocument/2006/relationships/hyperlink" Id="rId57"/>
    <Relationship TargetMode="External" Target="https://www.legis.iowa.gov/docs/ico/chapter/206.20.pdf" Type="http://schemas.openxmlformats.org/officeDocument/2006/relationships/hyperlink" Id="rId58"/>
    <Relationship TargetMode="External" Target="https://www.legis.iowa.gov/docs/ico/chapter/206.23.pdf" Type="http://schemas.openxmlformats.org/officeDocument/2006/relationships/hyperlink" Id="rId59"/>
    <Relationship TargetMode="External" Target="https://www.legis.iowa.gov/docs/ico/chapter/169.pdf" Type="http://schemas.openxmlformats.org/officeDocument/2006/relationships/hyperlink" Id="rId60"/>
    <Relationship TargetMode="External" Target="https://www.legis.iowa.gov/docs/iac/rule/21.45.36.pdf" Type="http://schemas.openxmlformats.org/officeDocument/2006/relationships/hyperlink" Id="rId61"/>
    <Relationship TargetMode="External" Target="https://www.legis.iowa.gov/docs/iac/rule/21.45.36.pdf" Type="http://schemas.openxmlformats.org/officeDocument/2006/relationships/hyperlink" Id="rId62"/>
    <Relationship TargetMode="External" Target="https://www.legis.iowa.gov/docs/ico/chapter/206.19.pdf" Type="http://schemas.openxmlformats.org/officeDocument/2006/relationships/hyperlink" Id="rId63"/>
    <Relationship TargetMode="External" Target="https://www.legis.iowa.gov/docs/ico/chapter/206.20.pdf" Type="http://schemas.openxmlformats.org/officeDocument/2006/relationships/hyperlink" Id="rId64"/>
    <Relationship TargetMode="External" Target="https://www.legis.iowa.gov/docs/ico/chapter/206.23.pdf" Type="http://schemas.openxmlformats.org/officeDocument/2006/relationships/hyperlink" Id="rId65"/>
    <Relationship TargetMode="External" Target="https://www.legis.iowa.gov/docs/iac/rule/21.45.33.pdf" Type="http://schemas.openxmlformats.org/officeDocument/2006/relationships/hyperlink" Id="rId66"/>
    <Relationship TargetMode="External" Target="https://www.legis.iowa.gov/docs/iac/chapter/21.21.pdf" Type="http://schemas.openxmlformats.org/officeDocument/2006/relationships/hyperlink" Id="rId67"/>
    <Relationship TargetMode="External" Target="https://www.legis.iowa.gov/docs/iac/rule/21.45.33.pdf" Type="http://schemas.openxmlformats.org/officeDocument/2006/relationships/hyperlink" Id="rId68"/>
    <Relationship TargetMode="External" Target="https://www.legis.iowa.gov/docs/ico/chapter/206.19.pdf" Type="http://schemas.openxmlformats.org/officeDocument/2006/relationships/hyperlink" Id="rId69"/>
    <Relationship TargetMode="External" Target="https://www.legis.iowa.gov/docs/ico/chapter/206.20.pdf" Type="http://schemas.openxmlformats.org/officeDocument/2006/relationships/hyperlink" Id="rId70"/>
    <Relationship TargetMode="External" Target="https://www.legis.iowa.gov/docs/ico/chapter/206.23.pdf" Type="http://schemas.openxmlformats.org/officeDocument/2006/relationships/hyperlink" Id="rId71"/>
    <Relationship TargetMode="External" Target="https://www.legis.iowa.gov/docs/ico/chapter/189.17.pdf" Type="http://schemas.openxmlformats.org/officeDocument/2006/relationships/hyperlink" Id="rId72"/>
    <Relationship TargetMode="External" Target="https://www.legis.iowa.gov/docs/ico/chapter/190.2.pdf" Type="http://schemas.openxmlformats.org/officeDocument/2006/relationships/hyperlink" Id="rId73"/>
    <Relationship TargetMode="External" Target="https://www.legis.iowa.gov/docs/ico/chapter/206.21.pdf" Type="http://schemas.openxmlformats.org/officeDocument/2006/relationships/hyperlink" Id="rId74"/>
    <Relationship TargetMode="External" Target="https://www.legis.iowa.gov/docs/ico/chapter/206.6.pdf" Type="http://schemas.openxmlformats.org/officeDocument/2006/relationships/hyperlink" Id="rId75"/>
    <Relationship TargetMode="External" Target="https://www.legis.iowa.gov/docs/ico/chapter/206.8.pdf" Type="http://schemas.openxmlformats.org/officeDocument/2006/relationships/hyperlink" Id="rId76"/>
    <Relationship TargetMode="External" Target="https://www.legis.iowa.gov/docs/ico/chapter/206.12.pdf" Type="http://schemas.openxmlformats.org/officeDocument/2006/relationships/hyperlink" Id="rId77"/>
    <Relationship TargetMode="External" Target="https://www.legis.iowa.gov/docs/ico/chapter/206.6.pdf" Type="http://schemas.openxmlformats.org/officeDocument/2006/relationships/hyperlink" Id="rId78"/>
    <Relationship TargetMode="External" Target="https://www.legis.iowa.gov/docs/ico/chapter/206.8.pdf" Type="http://schemas.openxmlformats.org/officeDocument/2006/relationships/hyperlink" Id="rId79"/>
    <Relationship TargetMode="External" Target="https://www.legis.iowa.gov/docs/ico/chapter/206.12.pdf" Type="http://schemas.openxmlformats.org/officeDocument/2006/relationships/hyperlink" Id="rId80"/>
    <Relationship TargetMode="External" Target="https://www.legis.iowa.gov/docs/ico/chapter/206.2.pdf" Type="http://schemas.openxmlformats.org/officeDocument/2006/relationships/hyperlink" Id="rId81"/>
    <Relationship TargetMode="External" Target="https://www.legis.iowa.gov/docs/ico/chapter/206.4.pdf" Type="http://schemas.openxmlformats.org/officeDocument/2006/relationships/hyperlink" Id="rId82"/>
    <Relationship TargetMode="External" Target="https://www.legis.iowa.gov/docs/ico/chapter/206.5.pdf" Type="http://schemas.openxmlformats.org/officeDocument/2006/relationships/hyperlink" Id="rId83"/>
    <Relationship TargetMode="External" Target="https://www.legis.iowa.gov/docs/ico/chapter/206.6.pdf" Type="http://schemas.openxmlformats.org/officeDocument/2006/relationships/hyperlink" Id="rId84"/>
    <Relationship TargetMode="External" Target="https://www.legis.iowa.gov/docs/ico/chapter/206.7.pdf" Type="http://schemas.openxmlformats.org/officeDocument/2006/relationships/hyperlink" Id="rId85"/>
    <Relationship TargetMode="External" Target="https://www.legis.iowa.gov/docs/ico/chapter/206.31.pdf" Type="http://schemas.openxmlformats.org/officeDocument/2006/relationships/hyperlink" Id="rId86"/>
    <Relationship TargetMode="External" Target="https://www.legis.iowa.gov/docs/iac/rule/21.45.50.pdf" Type="http://schemas.openxmlformats.org/officeDocument/2006/relationships/hyperlink" Id="rId87"/>
    <Relationship TargetMode="External" Target="https://www.legis.iowa.gov/docs/iac/rule/21.45.50.pdf" Type="http://schemas.openxmlformats.org/officeDocument/2006/relationships/hyperlink" Id="rId88"/>
    <Relationship TargetMode="External" Target="https://www.legis.iowa.gov/docs/ico/chapter/206.19.pdf" Type="http://schemas.openxmlformats.org/officeDocument/2006/relationships/hyperlink" Id="rId89"/>
    <Relationship TargetMode="External" Target="https://www.legis.iowa.gov/docs/iac/rule/21.45.47.pdf" Type="http://schemas.openxmlformats.org/officeDocument/2006/relationships/hyperlink" Id="rId90"/>
    <Relationship TargetMode="External" Target="https://www.legis.iowa.gov/docs/iac/chapter/21.44.pdf" Type="http://schemas.openxmlformats.org/officeDocument/2006/relationships/hyperlink" Id="rId91"/>
    <Relationship TargetMode="External" Target="https://www.legis.iowa.gov/docs/iac/chapter/21.44.pdf" Type="http://schemas.openxmlformats.org/officeDocument/2006/relationships/hyperlink" Id="rId92"/>
    <Relationship TargetMode="External" Target="https://www.legis.iowa.gov/docs/ico/chapter/206.19.pdf" Type="http://schemas.openxmlformats.org/officeDocument/2006/relationships/hyperlink" Id="rId93"/>
    <Relationship TargetMode="External" Target="https://www.legis.iowa.gov/docs/ico/chapter/206.20.pdf" Type="http://schemas.openxmlformats.org/officeDocument/2006/relationships/hyperlink" Id="rId94"/>
    <Relationship TargetMode="External" Target="https://www.legis.iowa.gov/docs/ico/chapter/206.21.pdf" Type="http://schemas.openxmlformats.org/officeDocument/2006/relationships/hyperlink" Id="rId95"/>
    <Relationship TargetMode="External" Target="https://www.legis.iowa.gov/docs/iac/rule/21.45.22.pdf" Type="http://schemas.openxmlformats.org/officeDocument/2006/relationships/hyperlink" Id="rId96"/>
    <Relationship TargetMode="External" Target="https://www.legis.iowa.gov/docs/iac/rule/21.45.52.pdf" Type="http://schemas.openxmlformats.org/officeDocument/2006/relationships/hyperlink" Id="rId97"/>
    <Relationship TargetMode="External" Target="https://www.legis.iowa.gov/docs/iac/rule/21.45.52.pdf" Type="http://schemas.openxmlformats.org/officeDocument/2006/relationships/hyperlink" Id="rId98"/>
    <Relationship TargetMode="External" Target="https://www.legis.iowa.gov/docs/iac/rule/21.45.52.pdf" Type="http://schemas.openxmlformats.org/officeDocument/2006/relationships/hyperlink" Id="rId99"/>
    <Relationship TargetMode="External" Target="https://www.legis.iowa.gov/docs/iac/rule/21.45.52.pdf" Type="http://schemas.openxmlformats.org/officeDocument/2006/relationships/hyperlink" Id="rId100"/>
    <Relationship TargetMode="External" Target="https://www.legis.iowa.gov/docs/iac/rule/21.45.52.pdf" Type="http://schemas.openxmlformats.org/officeDocument/2006/relationships/hyperlink" Id="rId101"/>
    <Relationship TargetMode="External" Target="https://www.legis.iowa.gov/docs/iac/rule/21.45.52.pdf" Type="http://schemas.openxmlformats.org/officeDocument/2006/relationships/hyperlink" Id="rId102"/>
    <Relationship TargetMode="External" Target="https://www.legis.iowa.gov/docs/iac/rule/21.45.52.pdf" Type="http://schemas.openxmlformats.org/officeDocument/2006/relationships/hyperlink" Id="rId103"/>
    <Relationship TargetMode="External" Target="https://www.legis.iowa.gov/docs/iac/chapter/21.2.pdf" Type="http://schemas.openxmlformats.org/officeDocument/2006/relationships/hyperlink" Id="rId104"/>
    <Relationship TargetMode="External" Target="https://www.legis.iowa.gov/docs/iac/rule/21.45.52.pdf" Type="http://schemas.openxmlformats.org/officeDocument/2006/relationships/hyperlink" Id="rId105"/>
    <Relationship TargetMode="External" Target="https://www.legis.iowa.gov/docs/ico/chapter/206.5.pdf" Type="http://schemas.openxmlformats.org/officeDocument/2006/relationships/hyperlink" Id="rId106"/>
    <Relationship TargetMode="External" Target="https://www.legis.iowa.gov/docs/ico/chapter/206.pdf" Type="http://schemas.openxmlformats.org/officeDocument/2006/relationships/hyperlink" Id="rId107"/>
    <Relationship TargetMode="External" Target="https://www.legis.iowa.gov/docs/ico/chapter/206.pdf" Type="http://schemas.openxmlformats.org/officeDocument/2006/relationships/hyperlink" Id="rId108"/>
    <Relationship TargetMode="External" Target="https://www.legis.iowa.gov/docs/ico/chapter/206.19.pdf" Type="http://schemas.openxmlformats.org/officeDocument/2006/relationships/hyperlink" Id="rId109"/>
    <Relationship TargetMode="External" Target="https://www.legis.iowa.gov/docs/ico/chapter/206.pdf" Type="http://schemas.openxmlformats.org/officeDocument/2006/relationships/hyperlink" Id="rId110"/>
    <Relationship TargetMode="External" Target="https://www.legis.iowa.gov/docs/ico/chapter/206.pdf" Type="http://schemas.openxmlformats.org/officeDocument/2006/relationships/hyperlink" Id="rId111"/>
    <Relationship TargetMode="External" Target="https://www.legis.iowa.gov/docs/ico/chapter/17A.pdf" Type="http://schemas.openxmlformats.org/officeDocument/2006/relationships/hyperlink" Id="rId112"/>
    <Relationship TargetMode="External" Target="https://www.legis.iowa.gov/docs/ico/chapter/206.pdf" Type="http://schemas.openxmlformats.org/officeDocument/2006/relationships/hyperlink" Id="rId113"/>
    <Relationship TargetMode="External" Target="https://www.legis.iowa.gov/docs/ico/chapter/206.pdf" Type="http://schemas.openxmlformats.org/officeDocument/2006/relationships/hyperlink" Id="rId114"/>
    <Relationship TargetMode="External" Target="https://www.legis.iowa.gov/docs/ico/chapter/206.pdf" Type="http://schemas.openxmlformats.org/officeDocument/2006/relationships/hyperlink" Id="rId115"/>
    <Relationship TargetMode="External" Target="https://www.legis.iowa.gov/docs/ico/chapter/206.pdf" Type="http://schemas.openxmlformats.org/officeDocument/2006/relationships/hyperlink" Id="rId116"/>
    <Relationship TargetMode="External" Target="https://www.legis.iowa.gov/docs/iac/rule/21.45.22.pdf" Type="http://schemas.openxmlformats.org/officeDocument/2006/relationships/hyperlink" Id="rId117"/>
    <Relationship TargetMode="External" Target="https://www.legis.iowa.gov/docs/iac/rule/21.45.22.pdf" Type="http://schemas.openxmlformats.org/officeDocument/2006/relationships/hyperlink" Id="rId118"/>
    <Relationship TargetMode="External" Target="https://www.legis.iowa.gov/docs/ico/chapter/17A.pdf" Type="http://schemas.openxmlformats.org/officeDocument/2006/relationships/hyperlink" Id="rId119"/>
    <Relationship TargetMode="External" Target="https://www.legis.iowa.gov/docs/ico/chapter/206.pdf" Type="http://schemas.openxmlformats.org/officeDocument/2006/relationships/hyperlink" Id="rId120"/>
    <Relationship TargetMode="External" Target="https://www.legis.iowa.gov/docs/ico/chapter/206.pdf" Type="http://schemas.openxmlformats.org/officeDocument/2006/relationships/hyperlink" Id="rId121"/>
    <Relationship TargetMode="External" Target="https://www.legis.iowa.gov/docs/ico/chapter/206.pdf" Type="http://schemas.openxmlformats.org/officeDocument/2006/relationships/hyperlink" Id="rId122"/>
    <Relationship TargetMode="External" Target="https://www.legis.iowa.gov/docs/ico/chapter/206.23A.pdf" Type="http://schemas.openxmlformats.org/officeDocument/2006/relationships/hyperlink" Id="rId1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