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PET FOOD</w:t>
      </w:r>
    </w:p>
    <w:p>
      <w:pPr>
        <w:spacing w:before="0" w:after="0"/>
        <w:ind w:left="120"/>
        <w:jc w:val="center"/>
      </w:pPr>
      <w:r>
        <w:rPr>
          <w:rFonts w:ascii="Times New Roman" w:hAnsi="Times New Roman"/>
          <w:b w:val="false"/>
          <w:i w:val="false"/>
          <w:color w:val="000000"/>
          <w:sz w:val="14"/>
        </w:rPr>
        <w:t>[Prior to 7/27/88 see Agriculture Department 30—Ch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21—42.1</w:t>
      </w:r>
      <w:r>
        <w:rPr>
          <w:rFonts w:ascii="Times New Roman" w:hAnsi="Times New Roman"/>
          <w:b/>
          <w:i w:val="false"/>
          <w:color w:val="000000"/>
          <w:sz w:val="22"/>
        </w:rPr>
        <w:t xml:space="preserve">(198) </w:t>
      </w:r>
      <w:r>
        <w:rPr>
          <w:rFonts w:ascii="Times New Roman" w:hAnsi="Times New Roman"/>
          <w:b/>
          <w:i w:val="false"/>
          <w:color w:val="000000"/>
          <w:sz w:val="22"/>
        </w:rPr>
        <w:t xml:space="preserve">Definitions and terms. </w:t>
      </w:r>
      <w:r>
        <w:rPr>
          <w:rFonts w:ascii="Times New Roman" w:hAnsi="Times New Roman"/>
          <w:b w:val="false"/>
          <w:i w:val="false"/>
          <w:color w:val="000000"/>
          <w:sz w:val="22"/>
        </w:rPr>
        <w:t>As used in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 life stages” </w:t>
      </w:r>
      <w:r>
        <w:rPr>
          <w:rFonts w:ascii="Times New Roman" w:hAnsi="Times New Roman"/>
          <w:b w:val="false"/>
          <w:i w:val="false"/>
          <w:color w:val="000000"/>
          <w:sz w:val="22"/>
        </w:rPr>
        <w:t>means gestation/lactation, growth, and adult maintenance life stages.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container” </w:t>
      </w:r>
      <w:r>
        <w:rPr>
          <w:rFonts w:ascii="Times New Roman" w:hAnsi="Times New Roman"/>
          <w:b w:val="false"/>
          <w:i w:val="false"/>
          <w:color w:val="000000"/>
          <w:sz w:val="22"/>
        </w:rPr>
        <w:t>means the unit, can, box, tin, bag, or other receptacle or covering in which a pet food is displayed for sale to retail purchasers, but does not include containers used as shipping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“Ingredient statement” </w:t>
      </w:r>
      <w:r>
        <w:rPr>
          <w:rFonts w:ascii="Times New Roman" w:hAnsi="Times New Roman"/>
          <w:b w:val="false"/>
          <w:i w:val="false"/>
          <w:color w:val="000000"/>
          <w:sz w:val="22"/>
        </w:rPr>
        <w:t>means a collective and contiguous listing on the label of the ingredients of which the pet food is composed.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display panel” </w:t>
      </w:r>
      <w:r>
        <w:rPr>
          <w:rFonts w:ascii="Times New Roman" w:hAnsi="Times New Roman"/>
          <w:b w:val="false"/>
          <w:i w:val="false"/>
          <w:color w:val="000000"/>
          <w:sz w:val="22"/>
        </w:rPr>
        <w:t>means the part of a label that is most likely to be displayed, presented, shown or examined under normal and customary conditions of display for retail sale.</w:t>
      </w:r>
    </w:p>
    <w:p>
      <w:pPr>
        <w:spacing w:before="0" w:after="0"/>
        <w:ind w:left="120"/>
        <w:jc w:val="both"/>
      </w:pPr>
      <w:r>
        <w:rPr>
          <w:rFonts w:ascii="Times New Roman" w:hAnsi="Times New Roman"/>
          <w:b/>
          <w:i w:val="false"/>
          <w:color w:val="000000"/>
          <w:sz w:val="22"/>
        </w:rPr>
        <w:t>21—42.2</w:t>
      </w:r>
      <w:r>
        <w:rPr>
          <w:rFonts w:ascii="Times New Roman" w:hAnsi="Times New Roman"/>
          <w:b/>
          <w:i w:val="false"/>
          <w:color w:val="000000"/>
          <w:sz w:val="22"/>
        </w:rPr>
        <w:t xml:space="preserve">(198) </w:t>
      </w:r>
      <w:r>
        <w:rPr>
          <w:rFonts w:ascii="Times New Roman" w:hAnsi="Times New Roman"/>
          <w:b/>
          <w:i w:val="false"/>
          <w:color w:val="000000"/>
          <w:sz w:val="22"/>
        </w:rPr>
        <w:t xml:space="preserve">Label format and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val="false"/>
          <w:color w:val="000000"/>
          <w:sz w:val="22"/>
        </w:rPr>
        <w:t>The quantity statement and product name must be shown on the principal display panel. All other required information may be placed elsewhere on the label but shall be sufficiently conspicuous as to render it easily read by the average purchaser under ordinary conditions of purchase and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val="false"/>
          <w:color w:val="000000"/>
          <w:sz w:val="22"/>
        </w:rPr>
        <w:t>The information which is required to appear in the “Guaranteed Analysis” shall be listed in the following order unless otherwise specified in these rules:</w:t>
      </w:r>
    </w:p>
    <w:p>
      <w:pPr>
        <w:spacing w:before="0" w:after="0"/>
        <w:ind w:left="120"/>
        <w:jc w:val="both"/>
      </w:pPr>
      <w:r>
        <w:rPr>
          <w:rFonts w:ascii="Times New Roman" w:hAnsi="Times New Roman"/>
          <w:b w:val="false"/>
          <w:i w:val="false"/>
          <w:color w:val="000000"/>
          <w:sz w:val="22"/>
        </w:rPr>
        <w:t>Crude protein (minimum percentage)</w:t>
      </w:r>
    </w:p>
    <w:p>
      <w:pPr>
        <w:spacing w:before="0" w:after="0"/>
        <w:ind w:left="120"/>
        <w:jc w:val="both"/>
      </w:pPr>
      <w:r>
        <w:rPr>
          <w:rFonts w:ascii="Times New Roman" w:hAnsi="Times New Roman"/>
          <w:b w:val="false"/>
          <w:i w:val="false"/>
          <w:color w:val="000000"/>
          <w:sz w:val="22"/>
        </w:rPr>
        <w:t>Crude fat (minimum percentage)</w:t>
      </w:r>
    </w:p>
    <w:p>
      <w:pPr>
        <w:spacing w:before="0" w:after="0"/>
        <w:ind w:left="120"/>
        <w:jc w:val="both"/>
      </w:pPr>
      <w:r>
        <w:rPr>
          <w:rFonts w:ascii="Times New Roman" w:hAnsi="Times New Roman"/>
          <w:b w:val="false"/>
          <w:i w:val="false"/>
          <w:color w:val="000000"/>
          <w:sz w:val="22"/>
        </w:rPr>
        <w:t>Crude fiber (maximum percentage)</w:t>
      </w:r>
    </w:p>
    <w:p>
      <w:pPr>
        <w:spacing w:before="0" w:after="0"/>
        <w:ind w:left="120"/>
        <w:jc w:val="both"/>
      </w:pPr>
      <w:r>
        <w:rPr>
          <w:rFonts w:ascii="Times New Roman" w:hAnsi="Times New Roman"/>
          <w:b w:val="false"/>
          <w:i w:val="false"/>
          <w:color w:val="000000"/>
          <w:sz w:val="22"/>
        </w:rPr>
        <w:t>Moisture (maximum percentage)</w:t>
      </w:r>
    </w:p>
    <w:p>
      <w:pPr>
        <w:spacing w:before="0" w:after="0"/>
        <w:ind w:left="120"/>
        <w:jc w:val="both"/>
      </w:pPr>
      <w:r>
        <w:rPr>
          <w:rFonts w:ascii="Times New Roman" w:hAnsi="Times New Roman"/>
          <w:b w:val="false"/>
          <w:i w:val="false"/>
          <w:color w:val="000000"/>
          <w:sz w:val="22"/>
        </w:rPr>
        <w:t>Additional guarantees shall follow moisture.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42.2(3)</w:t>
      </w:r>
      <w:r>
        <w:rPr>
          <w:rFonts w:ascii="Times New Roman" w:hAnsi="Times New Roman"/>
          <w:b w:val="false"/>
          <w:i w:val="false"/>
          <w:color w:val="000000"/>
          <w:sz w:val="22"/>
        </w:rPr>
        <w:t> </w:t>
      </w:r>
      <w:r>
        <w:rPr>
          <w:rFonts w:ascii="Times New Roman" w:hAnsi="Times New Roman"/>
          <w:b w:val="false"/>
          <w:i w:val="false"/>
          <w:color w:val="000000"/>
          <w:sz w:val="22"/>
        </w:rPr>
        <w:t>The label of a pet food shall specify the name and address of the manufacturer, packer, or distributor of the pet food. The statement of the place of business shall include the street address, city, state, and ZIP code; however, the street address may be omitted if such street address is shown in a current city directory or telephone directory for the city listed on the label.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42.2(4)</w:t>
      </w:r>
      <w:r>
        <w:rPr>
          <w:rFonts w:ascii="Times New Roman" w:hAnsi="Times New Roman"/>
          <w:b w:val="false"/>
          <w:i w:val="false"/>
          <w:color w:val="000000"/>
          <w:sz w:val="22"/>
        </w:rPr>
        <w:t> </w:t>
      </w:r>
      <w:r>
        <w:rPr>
          <w:rFonts w:ascii="Times New Roman" w:hAnsi="Times New Roman"/>
          <w:b w:val="false"/>
          <w:i w:val="false"/>
          <w:color w:val="000000"/>
          <w:sz w:val="22"/>
        </w:rPr>
        <w:t>If a person manufactures, packages, or distributes a pet food in a place other than the person’s principal place of business, the label may state the principal place of business in lieu of the actual place where each package of such pet food was manufactured or packaged or is to be distributed if such statement is not misleading in any particular.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42.2(5)</w:t>
      </w:r>
      <w:r>
        <w:rPr>
          <w:rFonts w:ascii="Times New Roman" w:hAnsi="Times New Roman"/>
          <w:b w:val="false"/>
          <w:i w:val="false"/>
          <w:color w:val="000000"/>
          <w:sz w:val="22"/>
        </w:rPr>
        <w:t> </w:t>
      </w:r>
      <w:r>
        <w:rPr>
          <w:rFonts w:ascii="Times New Roman" w:hAnsi="Times New Roman"/>
          <w:b w:val="false"/>
          <w:i w:val="false"/>
          <w:color w:val="000000"/>
          <w:sz w:val="22"/>
        </w:rPr>
        <w:t>A vignette, graphic, or pictorial representation of a product on a pet food label shall not misrepresent the contents of the package.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42.2(6)</w:t>
      </w:r>
      <w:r>
        <w:rPr>
          <w:rFonts w:ascii="Times New Roman" w:hAnsi="Times New Roman"/>
          <w:b w:val="false"/>
          <w:i w:val="false"/>
          <w:color w:val="000000"/>
          <w:sz w:val="22"/>
        </w:rPr>
        <w:t> </w:t>
      </w:r>
      <w:r>
        <w:rPr>
          <w:rFonts w:ascii="Times New Roman" w:hAnsi="Times New Roman"/>
          <w:b w:val="false"/>
          <w:i w:val="false"/>
          <w:color w:val="000000"/>
          <w:sz w:val="22"/>
        </w:rPr>
        <w:t>The use of the word “proven” in connection with label claims for a pet food is improper unless scientific or other empirical evidence establishing the claim represented as “proven”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42.2(7)</w:t>
      </w:r>
      <w:r>
        <w:rPr>
          <w:rFonts w:ascii="Times New Roman" w:hAnsi="Times New Roman"/>
          <w:b w:val="false"/>
          <w:i w:val="false"/>
          <w:color w:val="000000"/>
          <w:sz w:val="22"/>
        </w:rPr>
        <w:t> </w:t>
      </w:r>
      <w:r>
        <w:rPr>
          <w:rFonts w:ascii="Times New Roman" w:hAnsi="Times New Roman"/>
          <w:b w:val="false"/>
          <w:i w:val="false"/>
          <w:color w:val="000000"/>
          <w:sz w:val="22"/>
        </w:rPr>
        <w:t>No statement shall appear upon the label or labeling of a pet food which makes false or misleading comparisons between that pet food and any other pet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42.2(8)</w:t>
      </w:r>
      <w:r>
        <w:rPr>
          <w:rFonts w:ascii="Times New Roman" w:hAnsi="Times New Roman"/>
          <w:b w:val="false"/>
          <w:i w:val="false"/>
          <w:color w:val="000000"/>
          <w:sz w:val="22"/>
        </w:rPr>
        <w:t> </w:t>
      </w:r>
      <w:r>
        <w:rPr>
          <w:rFonts w:ascii="Times New Roman" w:hAnsi="Times New Roman"/>
          <w:b w:val="false"/>
          <w:i w:val="false"/>
          <w:color w:val="000000"/>
          <w:sz w:val="22"/>
        </w:rPr>
        <w:t>Personal or commercial endorsements are permitted on pet food labels where said endorsements are factual and not otherwise misleading.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42.2(9)</w:t>
      </w:r>
      <w:r>
        <w:rPr>
          <w:rFonts w:ascii="Times New Roman" w:hAnsi="Times New Roman"/>
          <w:b w:val="false"/>
          <w:i w:val="false"/>
          <w:color w:val="000000"/>
          <w:sz w:val="22"/>
        </w:rPr>
        <w:t> </w:t>
      </w:r>
      <w:r>
        <w:rPr>
          <w:rFonts w:ascii="Times New Roman" w:hAnsi="Times New Roman"/>
          <w:b w:val="false"/>
          <w:i w:val="false"/>
          <w:color w:val="000000"/>
          <w:sz w:val="22"/>
        </w:rPr>
        <w:t>When a pet food is enclosed in any outer container or wrapper which is intended for retail sale, all required label information must appear on such outside container or wrapper.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42.2(10)</w:t>
      </w:r>
      <w:r>
        <w:rPr>
          <w:rFonts w:ascii="Times New Roman" w:hAnsi="Times New Roman"/>
          <w:b w:val="false"/>
          <w:i w:val="false"/>
          <w:color w:val="000000"/>
          <w:sz w:val="22"/>
        </w:rPr>
        <w:t> </w:t>
      </w:r>
      <w:r>
        <w:rPr>
          <w:rFonts w:ascii="Times New Roman" w:hAnsi="Times New Roman"/>
          <w:b w:val="false"/>
          <w:i w:val="false"/>
          <w:color w:val="000000"/>
          <w:sz w:val="22"/>
        </w:rPr>
        <w:t>The words “Dog Food,” “Cat Food,” or similar designations must appear conspicuously upon the principal display panels of the pet food labels.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42.2(11)</w:t>
      </w:r>
      <w:r>
        <w:rPr>
          <w:rFonts w:ascii="Times New Roman" w:hAnsi="Times New Roman"/>
          <w:b w:val="false"/>
          <w:i w:val="false"/>
          <w:color w:val="000000"/>
          <w:sz w:val="22"/>
        </w:rPr>
        <w:t> </w:t>
      </w:r>
      <w:r>
        <w:rPr>
          <w:rFonts w:ascii="Times New Roman" w:hAnsi="Times New Roman"/>
          <w:b w:val="false"/>
          <w:i w:val="false"/>
          <w:color w:val="000000"/>
          <w:sz w:val="22"/>
        </w:rPr>
        <w:t>The label of a pet food shall not contain an unqualified representation or claim, directly or indirectly, that the pet food therein contained or a recommended feeding thereof is or meets the requisites of a complete, perfect, scientific or balanced ration for dogs or cats unless such product or feeding: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Contains ingredients in quantities sufficient to meet the nutrient requirements for all life stages established by the AAFCO Dog or Cat Food Nutrient Profiles, as the case may be, or some other AAFCO-recognized authority on animal nutrition</w:t>
      </w:r>
      <w:r>
        <w:rPr>
          <w:rFonts w:ascii="Times New Roman" w:hAnsi="Times New Roman"/>
          <w:b w:val="false"/>
          <w:i w:val="false"/>
          <w:color w:val="000000"/>
          <w:sz w:val="10"/>
        </w:rPr>
        <w:t>1</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Contains a combination of ingredients which when fed to a normal animal as the only source of nourishment in accordance with the testing procedures established by AAFCO meets the criteria of such testing procedures for all life stages.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42.2(12)</w:t>
      </w:r>
      <w:r>
        <w:rPr>
          <w:rFonts w:ascii="Times New Roman" w:hAnsi="Times New Roman"/>
          <w:b w:val="false"/>
          <w:i w:val="false"/>
          <w:color w:val="000000"/>
          <w:sz w:val="22"/>
        </w:rPr>
        <w:t> </w:t>
      </w:r>
      <w:r>
        <w:rPr>
          <w:rFonts w:ascii="Times New Roman" w:hAnsi="Times New Roman"/>
          <w:b w:val="false"/>
          <w:i w:val="false"/>
          <w:color w:val="000000"/>
          <w:sz w:val="22"/>
        </w:rPr>
        <w:t>Labels for products which are compounded for or which are suitable for only a limited purpose (e.g., a product designed for the feeding of puppies) may contain representations that said pet food product or recommended feeding thereof is or meets the requisites of a complete, perfect, scientific or balanced ration for dogs or cats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conjunction with a statement of a limited purpose for which the product is intended or suitable (as, for example, in the statement “A complete food for puppies”). Such representations and such required qualification therefore shall be juxtaposed on the same panel and in the same size, style and color print;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Such qualified representations may appear on pet food labels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pet food contains ingredients in quantities sufficient to meet the nutrient requirements established by the AAFCO Dog or Cat Food Nutrient Profiles, as the case may be, or some other AAFCO-recognized authority on animal nutrition, for such limited or qualified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pet food product contains a combination of ingredients which when fed for such limited purpose will satisfy the nutrient requirements for such limited purpose and has had its capabilities in this regard demonstrated by adequate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specified by </w:t>
      </w:r>
      <w:hyperlink r:id="rId5">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the name of any ingredient which appears on the label other than in the product name shall not be given undue emphasis so as to create the impression that such an ingredient is present in the product in a larger amount than is the fact, shall constitute at least 3 percent of the total ingredients (exclusive of water sufficient for processing) when preceded by the designation “with” or like term, shall be in the same size, style and color print and if the names of more than one such ingredient are shown, they shall appear in the order of their respective predominance by weight in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label of a dog or cat food (other than one prominently identified as a snack or treat as part of the designation required upon the principal display panel under </w:t>
      </w:r>
      <w:hyperlink r:id="rId6">
        <w:r>
          <w:rPr>
            <w:rStyle w:val="Hyperlink"/>
            <w:rFonts w:ascii="Times New Roman" w:hAnsi="Times New Roman"/>
            <w:b w:val="false"/>
            <w:i w:val="false"/>
            <w:color w:val="000000"/>
            <w:sz w:val="22"/>
          </w:rPr>
          <w:t>subrule 42.2(10)</w:t>
        </w:r>
      </w:hyperlink>
      <w:r>
        <w:rPr>
          <w:rFonts w:ascii="Times New Roman" w:hAnsi="Times New Roman"/>
          <w:b w:val="false"/>
          <w:i w:val="false"/>
          <w:color w:val="000000"/>
          <w:sz w:val="22"/>
        </w:rPr>
        <w:t>) shall bear, on either the principal display panel or the information panel (as those terms are defined in 21 CFR 501.1 and 501.2, respectively), in type of a size reasonably related to the largest type on the panel, a statement of the nutritional adequacy or purpose of the product. Such statement shall consist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 that the pet food meets the requirements of one or more of the recognized categories of nutritional adequacy: gestation, lactation, growth, maintenance, and complete for all life stages, as those categories are set forth in </w:t>
      </w:r>
      <w:hyperlink r:id="rId7">
        <w:r>
          <w:rPr>
            <w:rStyle w:val="Hyperlink"/>
            <w:rFonts w:ascii="Times New Roman" w:hAnsi="Times New Roman"/>
            <w:b w:val="false"/>
            <w:i w:val="false"/>
            <w:color w:val="000000"/>
            <w:sz w:val="22"/>
          </w:rPr>
          <w:t>subrules 42.2(11)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The claim shall be stated as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product) is formulated to meet the nutritional levels established by the AAFCO Dog (or Cat) Food Nutrient Profiles for ________. (Blank is to be completed by using the stage or stages of the pet’s life such as gestation, lactation, growth, maintenance or the words “All Life Stages.”)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Animal feeding tests using AAFCO procedures substantiate that (name of product) provides complete and balanced nutrition for ______. (Blank is to be completed by using the stage or stages of the pet’s life tested such as gestation, lactation, growth, maintenance or the words “All Life Stages.”)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nutrition or dietary claim for purposes other than those listed in </w:t>
      </w:r>
      <w:hyperlink r:id="rId9">
        <w:r>
          <w:rPr>
            <w:rStyle w:val="Hyperlink"/>
            <w:rFonts w:ascii="Times New Roman" w:hAnsi="Times New Roman"/>
            <w:b w:val="false"/>
            <w:i w:val="false"/>
            <w:color w:val="000000"/>
            <w:sz w:val="22"/>
          </w:rPr>
          <w:t>subrules 42.2(11)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if the claim is scientifically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 “This product is intended for intermittent or supplemental feeding only,” if a product does not meet either the requirements of </w:t>
      </w:r>
      <w:hyperlink r:id="rId11">
        <w:r>
          <w:rPr>
            <w:rStyle w:val="Hyperlink"/>
            <w:rFonts w:ascii="Times New Roman" w:hAnsi="Times New Roman"/>
            <w:b w:val="false"/>
            <w:i w:val="false"/>
            <w:color w:val="000000"/>
            <w:sz w:val="22"/>
          </w:rPr>
          <w:t>subrules 42.2(11)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or any other special nutritional or dietary need and so is suitable only for limited or intermittent or supplementary feeding.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 “Use only as directed by your veterinarian,” if it is a pet food product intended for use by, or under the supervision or direction of a veterinarian and shall make a statement in accordance with paragraph </w:t>
      </w:r>
      <w:hyperlink r:id="rId13">
        <w:r>
          <w:rPr>
            <w:rStyle w:val="Hyperlink"/>
            <w:rFonts w:ascii="Times New Roman" w:hAnsi="Times New Roman"/>
            <w:b w:val="false"/>
            <w:i w:val="false"/>
            <w:color w:val="000000"/>
            <w:sz w:val="22"/>
          </w:rPr>
          <w:t>42.2(14)</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42.2(14)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42.2(15)</w:t>
      </w:r>
      <w:r>
        <w:rPr>
          <w:rFonts w:ascii="Times New Roman" w:hAnsi="Times New Roman"/>
          <w:b w:val="false"/>
          <w:i w:val="false"/>
          <w:color w:val="000000"/>
          <w:sz w:val="22"/>
        </w:rPr>
        <w:t> </w:t>
      </w:r>
      <w:r>
        <w:rPr>
          <w:rFonts w:ascii="Times New Roman" w:hAnsi="Times New Roman"/>
          <w:b w:val="false"/>
          <w:i w:val="false"/>
          <w:color w:val="000000"/>
          <w:sz w:val="22"/>
        </w:rPr>
        <w:t>The use of claims on pet food labels stating improvement or newness shall be sufficiently substantiated by the manufacturer and limited to six months’ production. The use of claims stating preference or comparative attribute claims shall be sufficiently substantiated by the manufacturer and limited to one year’s production after which the claim must be removed or resubstantiated.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42.2(16)</w:t>
      </w:r>
      <w:r>
        <w:rPr>
          <w:rFonts w:ascii="Times New Roman" w:hAnsi="Times New Roman"/>
          <w:b w:val="false"/>
          <w:i w:val="false"/>
          <w:color w:val="000000"/>
          <w:sz w:val="22"/>
        </w:rPr>
        <w:t> </w:t>
      </w:r>
      <w:r>
        <w:rPr>
          <w:rFonts w:ascii="Times New Roman" w:hAnsi="Times New Roman"/>
          <w:b w:val="false"/>
          <w:i w:val="false"/>
          <w:color w:val="000000"/>
          <w:sz w:val="22"/>
        </w:rPr>
        <w:t xml:space="preserve">Dog and cat foods labeled as complete and balanced for any or all life stages as provided in </w:t>
      </w:r>
      <w:hyperlink r:id="rId15">
        <w:r>
          <w:rPr>
            <w:rStyle w:val="Hyperlink"/>
            <w:rFonts w:ascii="Times New Roman" w:hAnsi="Times New Roman"/>
            <w:b w:val="false"/>
            <w:i w:val="false"/>
            <w:color w:val="000000"/>
            <w:sz w:val="22"/>
          </w:rPr>
          <w:t>42.2(14)</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those pet foods labeled in accordance with paragraph </w:t>
      </w:r>
      <w:hyperlink r:id="rId16">
        <w:r>
          <w:rPr>
            <w:rStyle w:val="Hyperlink"/>
            <w:rFonts w:ascii="Times New Roman" w:hAnsi="Times New Roman"/>
            <w:b w:val="false"/>
            <w:i w:val="false"/>
            <w:color w:val="000000"/>
            <w:sz w:val="22"/>
          </w:rPr>
          <w:t>42.2(14)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list feeding directions on the product label. These directions shall be expressed in common terms and shall appear prominently on the label. Feeding directions shall, at a minimum, state “Feed (weight/unit of product) per (weight unit) of dog (or cat).”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42.2(17)</w:t>
      </w:r>
      <w:r>
        <w:rPr>
          <w:rFonts w:ascii="Times New Roman" w:hAnsi="Times New Roman"/>
          <w:b w:val="false"/>
          <w:i w:val="false"/>
          <w:color w:val="000000"/>
          <w:sz w:val="22"/>
        </w:rPr>
        <w:t> </w:t>
      </w:r>
      <w:r>
        <w:rPr>
          <w:rFonts w:ascii="Times New Roman" w:hAnsi="Times New Roman"/>
          <w:b w:val="false"/>
          <w:i w:val="false"/>
          <w:color w:val="000000"/>
          <w:sz w:val="22"/>
        </w:rPr>
        <w:t xml:space="preserve">A signed affidavit attesting that the product meets the requisites of </w:t>
      </w:r>
      <w:hyperlink r:id="rId17">
        <w:r>
          <w:rPr>
            <w:rStyle w:val="Hyperlink"/>
            <w:rFonts w:ascii="Times New Roman" w:hAnsi="Times New Roman"/>
            <w:b w:val="false"/>
            <w:i w:val="false"/>
            <w:color w:val="000000"/>
            <w:sz w:val="22"/>
          </w:rPr>
          <w:t>42.2(11)</w:t>
        </w:r>
      </w:hyperlink>
      <w:r>
        <w:rPr>
          <w:rFonts w:ascii="Times New Roman" w:hAnsi="Times New Roman"/>
          <w:b w:val="false"/>
          <w:i w:val="false"/>
          <w:color w:val="000000"/>
          <w:sz w:val="22"/>
        </w:rPr>
        <w:t xml:space="preserve"> or 42.2(12) shall be submitted to the secretary upon request.</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To the extent that the product’s ingredients provide nutrients in amounts which substantially deviate from those nutrient requirements estimated by such a recognized authority on animal nutrition, or in the event that no estimation has been made by a recognized authority on animal nutrition of the requirements of animals for one or more stages of said animals’ lives, the product’s represented capabilities in this regard must have been demonstrated by adequate testing.</w:t>
      </w:r>
    </w:p>
    <w:p>
      <w:pPr>
        <w:spacing w:before="0" w:after="0"/>
        <w:ind w:left="120"/>
        <w:jc w:val="both"/>
      </w:pPr>
      <w:r>
        <w:rPr>
          <w:rFonts w:ascii="Times New Roman" w:hAnsi="Times New Roman"/>
          <w:b/>
          <w:i w:val="false"/>
          <w:color w:val="000000"/>
          <w:sz w:val="22"/>
        </w:rPr>
        <w:t>21—42.3</w:t>
      </w:r>
      <w:r>
        <w:rPr>
          <w:rFonts w:ascii="Times New Roman" w:hAnsi="Times New Roman"/>
          <w:b/>
          <w:i w:val="false"/>
          <w:color w:val="000000"/>
          <w:sz w:val="22"/>
        </w:rPr>
        <w:t xml:space="preserve">(198) </w:t>
      </w:r>
      <w:r>
        <w:rPr>
          <w:rFonts w:ascii="Times New Roman" w:hAnsi="Times New Roman"/>
          <w:b/>
          <w:i w:val="false"/>
          <w:color w:val="000000"/>
          <w:sz w:val="22"/>
        </w:rPr>
        <w:t xml:space="preserve">Brand and product names.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val="false"/>
          <w:color w:val="000000"/>
          <w:sz w:val="22"/>
        </w:rPr>
        <w:t>No flavor designation shall be used on a pet food label unless the designated flavor is detectable by a recognized test method, or is one the presence of which provides a characteristic distinguishable by the pet. Any flavor designation on a pet food label must either conform to the name of its source as shown in the ingredient statement or the ingredient statement shall show the source of the flavor. The word “flavor” shall be printed in the same size type and with an equal degree of conspicuousness as the ingredient term(s) from which the flavor designation is derived. Distributors of pet food employing such flavor designation or claims on the labels of the product distributed by them shall, upon request, supply verification of the designated or claimed flavor to the appropriate control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val="false"/>
          <w:color w:val="000000"/>
          <w:sz w:val="22"/>
        </w:rPr>
        <w:t>The designation “100%” or “All” or words of similar connotation shall not be used in the brand or product name of a pet food if it contains more than one ingredient. However, for the purpose of this provision, water sufficient for processing, required decharacterizing agents and trace amounts of preservatives and condiments shall not be considered ingredients.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w:t>
      </w:r>
      <w:r>
        <w:rPr>
          <w:rFonts w:ascii="Times New Roman" w:hAnsi="Times New Roman"/>
          <w:b w:val="false"/>
          <w:i w:val="false"/>
          <w:color w:val="000000"/>
          <w:sz w:val="22"/>
        </w:rPr>
        <w:t> </w:t>
      </w:r>
      <w:r>
        <w:rPr>
          <w:rFonts w:ascii="Times New Roman" w:hAnsi="Times New Roman"/>
          <w:b w:val="false"/>
          <w:i w:val="false"/>
          <w:color w:val="000000"/>
          <w:sz w:val="22"/>
        </w:rPr>
        <w:t>The term “meat” and “meat by-products” shall be qualified to designate the animal from which the meat and meat by-products are derived unless the meat and meat by-products are from cattle, swine, sheep and goats, for example, “horsemeat” and “horsemeat by-products.”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pet food shall not be derived from one or more ingredients of a mixture of a pet food product unless all components or ingredients are included in the name except as specified by </w:t>
      </w:r>
      <w:hyperlink r:id="rId18">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42.3(5), or 42.3(6); provided that the name of an ingredient or combination of ingredients may be used as a part of the product name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ingredient or combination of ingredients is present in sufficient quantity to impart a distinctive characteristic to the product or is present in amounts which have a material bearing upon the price of the product or upon acceptance of the product by the purchaser thereof;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does not constitute a representation that the ingredient or combination of ingredients is present to the exclusion of other ingredients;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not otherwise false or misleading.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42.3(5)</w:t>
      </w:r>
      <w:r>
        <w:rPr>
          <w:rFonts w:ascii="Times New Roman" w:hAnsi="Times New Roman"/>
          <w:b w:val="false"/>
          <w:i w:val="false"/>
          <w:color w:val="000000"/>
          <w:sz w:val="22"/>
        </w:rPr>
        <w:t> </w:t>
      </w:r>
      <w:r>
        <w:rPr>
          <w:rFonts w:ascii="Times New Roman" w:hAnsi="Times New Roman"/>
          <w:b w:val="false"/>
          <w:i w:val="false"/>
          <w:color w:val="000000"/>
          <w:sz w:val="22"/>
        </w:rPr>
        <w:t>When an ingredient or a combination of ingredients derived from animals, poultry, or fish constitutes 95 percent or more of the total weight of all ingredients of a pet food mixture, the name or names of such ingredient(s) may form a part of the product name of the pet food; provided that where more than one ingredient is part of such product name, then all such ingredient names shall be in the same size, style, and color print. For the purpose of this provision, water sufficient for processing shall be excluded when calculating the percentage of the named ingredient(s). However, such named ingredient(s) shall constitute at least 70 percent of the total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42.3(6)</w:t>
      </w:r>
      <w:r>
        <w:rPr>
          <w:rFonts w:ascii="Times New Roman" w:hAnsi="Times New Roman"/>
          <w:b w:val="false"/>
          <w:i w:val="false"/>
          <w:color w:val="000000"/>
          <w:sz w:val="22"/>
        </w:rPr>
        <w:t> </w:t>
      </w:r>
      <w:r>
        <w:rPr>
          <w:rFonts w:ascii="Times New Roman" w:hAnsi="Times New Roman"/>
          <w:b w:val="false"/>
          <w:i w:val="false"/>
          <w:color w:val="000000"/>
          <w:sz w:val="22"/>
        </w:rPr>
        <w:t>When an ingredient or a combination of ingredients constitutes at least 25 percent but less than 95 percent of the total weight of all ingredients of a dog or cat food mixture, the name or names of such ingredient or ingredients may form a part of the product name of the pet food if each of the ingredients constitutes at least 3 percent of the product weight excluding water used for processing and only if the product name also includes a primary descriptive term such as “dinner,” “platter,” or similar designation so that the product name describes the contents of the product in accordance with an established law, custom or usage or so that the product name is not misleading. If the names of more than one such ingredient are shown, they shall appear in the order of their respective predominance by weight in the product. All such ingredient names and the primary descriptive term shall be in the same size, style and color print. For the purpose of this provision, water sufficient for processing shall be excluded when calculating the percentage of the named ingredient(s). However, such named ingredient(s) shall constitute at least 10 percent of the total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42.3(7)</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Contractions or coined names referring to ingredients shall not be used in the brand name of a pet food unless it is in compliance with </w:t>
      </w:r>
      <w:hyperlink r:id="rId19">
        <w:r>
          <w:rPr>
            <w:rStyle w:val="Hyperlink"/>
            <w:rFonts w:ascii="Times New Roman" w:hAnsi="Times New Roman"/>
            <w:b w:val="false"/>
            <w:i w:val="false"/>
            <w:color w:val="000000"/>
            <w:sz w:val="22"/>
          </w:rPr>
          <w:t>subrule 42.3(1)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42.3(4)</w:t>
        </w:r>
      </w:hyperlink>
      <w:r>
        <w:rPr>
          <w:rFonts w:ascii="Times New Roman" w:hAnsi="Times New Roman"/>
          <w:b w:val="false"/>
          <w:i w:val="false"/>
          <w:color w:val="000000"/>
          <w:sz w:val="22"/>
        </w:rPr>
        <w:t>, 42.3(5), or 42.3(6).</w:t>
      </w:r>
    </w:p>
    <w:p>
      <w:pPr>
        <w:spacing w:before="0" w:after="0"/>
        <w:ind w:left="120"/>
        <w:jc w:val="both"/>
      </w:pPr>
      <w:r>
        <w:rPr>
          <w:rFonts w:ascii="Times New Roman" w:hAnsi="Times New Roman"/>
          <w:b/>
          <w:i w:val="false"/>
          <w:color w:val="000000"/>
          <w:sz w:val="22"/>
        </w:rPr>
        <w:t>21—42.4</w:t>
      </w:r>
      <w:r>
        <w:rPr>
          <w:rFonts w:ascii="Times New Roman" w:hAnsi="Times New Roman"/>
          <w:b/>
          <w:i w:val="false"/>
          <w:color w:val="000000"/>
          <w:sz w:val="22"/>
        </w:rPr>
        <w:t xml:space="preserve">(198) </w:t>
      </w:r>
      <w:r>
        <w:rPr>
          <w:rFonts w:ascii="Times New Roman" w:hAnsi="Times New Roman"/>
          <w:b/>
          <w:i w:val="false"/>
          <w:color w:val="000000"/>
          <w:sz w:val="22"/>
        </w:rPr>
        <w:t xml:space="preserve">Expression of guarantees.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val="false"/>
          <w:color w:val="000000"/>
          <w:sz w:val="22"/>
        </w:rPr>
        <w:t>The sliding scale method of expressing a guaranteed analysis (for example, “protein 15-18 percent”)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1">
        <w:r>
          <w:rPr>
            <w:rStyle w:val="Hyperlink"/>
            <w:rFonts w:ascii="Times New Roman" w:hAnsi="Times New Roman"/>
            <w:b w:val="false"/>
            <w:i w:val="false"/>
            <w:color w:val="000000"/>
            <w:sz w:val="22"/>
          </w:rPr>
          <w:t>198.5</w:t>
        </w:r>
      </w:hyperlink>
      <w:r>
        <w:rPr>
          <w:rFonts w:ascii="Times New Roman" w:hAnsi="Times New Roman"/>
          <w:b w:val="false"/>
          <w:i w:val="false"/>
          <w:color w:val="000000"/>
          <w:sz w:val="22"/>
        </w:rPr>
        <w:t xml:space="preserve">, the label of a pet food which is formulated as and represented to be a mineral supplement shall include in the guaranteed analysis the minimum and maximum percentage of calcium, the minimum percentage of phosphorus and the minimum and maximum percentage of salt. The minimum content of all other essential nutrient elements recognized by the AAFCO Dog or Cat Food Nutrient Profile or other AAFCO-recognized nutrient profile from sources declared in the ingredient statement shall be expressed as the element in units specified in the recognized nutrient profile. Products labeled as per </w:t>
      </w:r>
      <w:hyperlink r:id="rId22">
        <w:r>
          <w:rPr>
            <w:rStyle w:val="Hyperlink"/>
            <w:rFonts w:ascii="Times New Roman" w:hAnsi="Times New Roman"/>
            <w:b w:val="false"/>
            <w:i w:val="false"/>
            <w:color w:val="000000"/>
            <w:sz w:val="22"/>
          </w:rPr>
          <w:t>42.2(2)</w:t>
        </w:r>
      </w:hyperlink>
      <w:r>
        <w:rPr>
          <w:rFonts w:ascii="Times New Roman" w:hAnsi="Times New Roman"/>
          <w:b w:val="false"/>
          <w:i w:val="false"/>
          <w:color w:val="000000"/>
          <w:sz w:val="22"/>
        </w:rPr>
        <w:t xml:space="preserve"> may express the mineral guarantees in milligrams (mg) per unit (e.g., tablets, capsules, granules, or liquids) consistent with those employed in the quantity statement and directions for use. Liquids expressed as volume must also list a weight equivalent (e.g., 1 fl.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oz.</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28 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42.4(3)</w:t>
      </w:r>
      <w:r>
        <w:rPr>
          <w:rFonts w:ascii="Times New Roman" w:hAnsi="Times New Roman"/>
          <w:b w:val="false"/>
          <w:i w:val="false"/>
          <w:color w:val="000000"/>
          <w:sz w:val="22"/>
        </w:rPr>
        <w:t> </w:t>
      </w:r>
      <w:r>
        <w:rPr>
          <w:rFonts w:ascii="Times New Roman" w:hAnsi="Times New Roman"/>
          <w:b w:val="false"/>
          <w:i w:val="false"/>
          <w:color w:val="000000"/>
          <w:sz w:val="22"/>
        </w:rPr>
        <w:t>Vitamins guaranteed on pet food labels shall be stated in international units per kilogram (IU/kg) for vitamins A, D, and E. All other vitamins shall be stated in milligrams per kilogram (mg/kg) except vitamin B</w:t>
      </w:r>
      <w:r>
        <w:rPr>
          <w:rFonts w:ascii="Times New Roman" w:hAnsi="Times New Roman"/>
          <w:b w:val="false"/>
          <w:i w:val="false"/>
          <w:color w:val="000000"/>
          <w:sz w:val="18"/>
          <w:vertAlign w:val="subscript"/>
        </w:rPr>
        <w:t>12</w:t>
      </w:r>
      <w:r>
        <w:rPr>
          <w:rFonts w:ascii="Times New Roman" w:hAnsi="Times New Roman"/>
          <w:b w:val="false"/>
          <w:i w:val="false"/>
          <w:color w:val="000000"/>
          <w:sz w:val="22"/>
        </w:rPr>
        <w:t xml:space="preserve"> which may be guaranteed in micrograms per kilogram (ug/kg).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label of a pet food which is formulated as and represented to be a vitamin supplement shall include a guarantee of the minimum content of each vitamin declared in the ingredient statement. Vitamin guarantees shall be expressed as per </w:t>
      </w:r>
      <w:hyperlink r:id="rId23">
        <w:r>
          <w:rPr>
            <w:rStyle w:val="Hyperlink"/>
            <w:rFonts w:ascii="Times New Roman" w:hAnsi="Times New Roman"/>
            <w:b w:val="false"/>
            <w:i w:val="false"/>
            <w:color w:val="000000"/>
            <w:sz w:val="22"/>
          </w:rPr>
          <w:t>42.4(3)</w:t>
        </w:r>
      </w:hyperlink>
      <w:r>
        <w:rPr>
          <w:rFonts w:ascii="Times New Roman" w:hAnsi="Times New Roman"/>
          <w:b w:val="false"/>
          <w:i w:val="false"/>
          <w:color w:val="000000"/>
          <w:sz w:val="22"/>
        </w:rPr>
        <w:t>. Products labeled as per 42.2(2) may express the vitamin guarantees in approved units (e.g., IU, mg, g) per unit (e.g., tablets, capsules, granules, or liquids) consistent with those employed in the quantity statement and directions for use. Liquids expressed as volume must also list a weight equivalent (e.g., 1 fl.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oz.</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28 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42.4(5)</w:t>
      </w:r>
      <w:r>
        <w:rPr>
          <w:rFonts w:ascii="Times New Roman" w:hAnsi="Times New Roman"/>
          <w:b w:val="false"/>
          <w:i w:val="false"/>
          <w:color w:val="000000"/>
          <w:sz w:val="22"/>
        </w:rPr>
        <w:t> </w:t>
      </w:r>
      <w:r>
        <w:rPr>
          <w:rFonts w:ascii="Times New Roman" w:hAnsi="Times New Roman"/>
          <w:b w:val="false"/>
          <w:i w:val="false"/>
          <w:color w:val="000000"/>
          <w:sz w:val="22"/>
        </w:rPr>
        <w:t>If the label of a pet food does not represent the pet food to be either a vitamin or a mineral supplement, but does include a table of comparison of a typical analysis of the vitamin, mineral, or nutrient content of the pet food with levels recommended by an AAFCO-recognized animal nutrition authority, such comparison may be stated in the units of measurement used in the AAFCO Dog or Cat Food Nutrient Profiles. The statement in a table of comparison of the vitamin, mineral, or nutrient content shall constitute a guarantee, but need not be repeated in the guaranteed analysis. Such table of comparison may appear on the label separate and apart from the guaranteed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42.4(6)</w:t>
      </w:r>
      <w:r>
        <w:rPr>
          <w:rFonts w:ascii="Times New Roman" w:hAnsi="Times New Roman"/>
          <w:b w:val="false"/>
          <w:i w:val="false"/>
          <w:color w:val="000000"/>
          <w:sz w:val="22"/>
        </w:rPr>
        <w:t> </w:t>
      </w:r>
      <w:r>
        <w:rPr>
          <w:rFonts w:ascii="Times New Roman" w:hAnsi="Times New Roman"/>
          <w:b w:val="false"/>
          <w:i w:val="false"/>
          <w:color w:val="000000"/>
          <w:sz w:val="22"/>
        </w:rPr>
        <w:t>The use of percentages or words of similar import when referring to nutrient levels established by the AAFCO Dog or Cat Food Nutrient Profiles or other AAFCO-recognized nutrient profile shall not be permitted on pet food labels, except that such direct comparisons in whole or part of the individual nutrient contents of a pet food with those recommended by the recognized nutrient profile may be made where the comparisons are expressed in the same quantitative units as those used by the cited nutrient profile, and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product in question meets the nutrient profile recommended by the authority,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comparison is preceded by a statement to that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42.4(7)</w:t>
      </w:r>
      <w:r>
        <w:rPr>
          <w:rFonts w:ascii="Times New Roman" w:hAnsi="Times New Roman"/>
          <w:b w:val="false"/>
          <w:i w:val="false"/>
          <w:color w:val="000000"/>
          <w:sz w:val="22"/>
        </w:rPr>
        <w:t> </w:t>
      </w:r>
      <w:r>
        <w:rPr>
          <w:rFonts w:ascii="Times New Roman" w:hAnsi="Times New Roman"/>
          <w:b w:val="false"/>
          <w:i w:val="false"/>
          <w:color w:val="000000"/>
          <w:sz w:val="22"/>
        </w:rPr>
        <w:t>Guarantees for crude protein, crude fat, and crude fiber are not required when the pet food is intended for purposes other than to furnish these substances or they are of minor significance relating to the primary purpose of the product, such as mineral or vitamin supplements.</w:t>
      </w:r>
    </w:p>
    <w:p>
      <w:pPr>
        <w:spacing w:before="0" w:after="0"/>
        <w:ind w:left="120"/>
        <w:jc w:val="both"/>
      </w:pPr>
      <w:r>
        <w:rPr>
          <w:rFonts w:ascii="Times New Roman" w:hAnsi="Times New Roman"/>
          <w:b/>
          <w:i w:val="false"/>
          <w:color w:val="000000"/>
          <w:sz w:val="22"/>
        </w:rPr>
        <w:t>21—42.5</w:t>
      </w:r>
      <w:r>
        <w:rPr>
          <w:rFonts w:ascii="Times New Roman" w:hAnsi="Times New Roman"/>
          <w:b/>
          <w:i w:val="false"/>
          <w:color w:val="000000"/>
          <w:sz w:val="22"/>
        </w:rPr>
        <w:t xml:space="preserve">(198) </w:t>
      </w:r>
      <w:r>
        <w:rPr>
          <w:rFonts w:ascii="Times New Roman" w:hAnsi="Times New Roman"/>
          <w:b/>
          <w:i w:val="false"/>
          <w:color w:val="000000"/>
          <w:sz w:val="22"/>
        </w:rPr>
        <w:t xml:space="preserve">Ingredients.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w:t>
      </w:r>
      <w:r>
        <w:rPr>
          <w:rFonts w:ascii="Times New Roman" w:hAnsi="Times New Roman"/>
          <w:b w:val="false"/>
          <w:i w:val="false"/>
          <w:color w:val="000000"/>
          <w:sz w:val="22"/>
        </w:rPr>
        <w:t> </w:t>
      </w:r>
      <w:r>
        <w:rPr>
          <w:rFonts w:ascii="Times New Roman" w:hAnsi="Times New Roman"/>
          <w:b w:val="false"/>
          <w:i w:val="false"/>
          <w:color w:val="000000"/>
          <w:sz w:val="22"/>
        </w:rPr>
        <w:t>The maximum moisture in all pet foods shall be guaranteed and shall not exceed 78 percent or the natural moisture content of the constituent ingredients of the product, whichever is greater. Pet foods such as those consisting principally of stew, gravy, sauce, broth, juice or a milk replacer which are so labeled may contain moisture in excess of 78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w:t>
      </w:r>
      <w:r>
        <w:rPr>
          <w:rFonts w:ascii="Times New Roman" w:hAnsi="Times New Roman"/>
          <w:b w:val="false"/>
          <w:i w:val="false"/>
          <w:color w:val="000000"/>
          <w:sz w:val="22"/>
        </w:rPr>
        <w:t> </w:t>
      </w:r>
      <w:r>
        <w:rPr>
          <w:rFonts w:ascii="Times New Roman" w:hAnsi="Times New Roman"/>
          <w:b w:val="false"/>
          <w:i w:val="false"/>
          <w:color w:val="000000"/>
          <w:sz w:val="22"/>
        </w:rPr>
        <w:t>Each ingredient of the pet food shall be listed in the ingredient statement, and names of all ingredients in the ingredient statement must be shown in letters or type of the same size. The failure to list the ingredients of a pet food in descending order by their predominance by weight in nonquantitative terms may be misleading. Any ingredient for which the Association of American Feed Control Officials has established a name and definition shall be identified by the name so established. Any ingredient for which no name and definition have been so established shall be identified by the common or usual name of the ingredient. Brand or trade names shall not be used in the ingredient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w:t>
      </w:r>
      <w:r>
        <w:rPr>
          <w:rFonts w:ascii="Times New Roman" w:hAnsi="Times New Roman"/>
          <w:b w:val="false"/>
          <w:i w:val="false"/>
          <w:color w:val="000000"/>
          <w:sz w:val="22"/>
        </w:rPr>
        <w:t> </w:t>
      </w:r>
      <w:r>
        <w:rPr>
          <w:rFonts w:ascii="Times New Roman" w:hAnsi="Times New Roman"/>
          <w:b w:val="false"/>
          <w:i w:val="false"/>
          <w:color w:val="000000"/>
          <w:sz w:val="22"/>
        </w:rPr>
        <w:t>The term “dehydrated” may precede the name of any ingredient in the ingredient list that has been artificially dried.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w:t>
      </w:r>
      <w:r>
        <w:rPr>
          <w:rFonts w:ascii="Times New Roman" w:hAnsi="Times New Roman"/>
          <w:b w:val="false"/>
          <w:i w:val="false"/>
          <w:color w:val="000000"/>
          <w:sz w:val="22"/>
        </w:rPr>
        <w:t> </w:t>
      </w:r>
      <w:r>
        <w:rPr>
          <w:rFonts w:ascii="Times New Roman" w:hAnsi="Times New Roman"/>
          <w:b w:val="false"/>
          <w:i w:val="false"/>
          <w:color w:val="000000"/>
          <w:sz w:val="22"/>
        </w:rPr>
        <w:t>No reference to quality or grade of an ingredient shall appear in the ingredient statement of a pet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w:t>
      </w:r>
      <w:r>
        <w:rPr>
          <w:rFonts w:ascii="Times New Roman" w:hAnsi="Times New Roman"/>
          <w:b w:val="false"/>
          <w:i w:val="false"/>
          <w:color w:val="000000"/>
          <w:sz w:val="22"/>
        </w:rPr>
        <w:t> </w:t>
      </w:r>
      <w:r>
        <w:rPr>
          <w:rFonts w:ascii="Times New Roman" w:hAnsi="Times New Roman"/>
          <w:b w:val="false"/>
          <w:i w:val="false"/>
          <w:color w:val="000000"/>
          <w:sz w:val="22"/>
        </w:rPr>
        <w:t>No reference to the quality, nature, form, or other attribute of an ingredient shall be made unless such designation is accurate and unless the ingredient imparts a distinctive characteristic to the pet food because it possesses that attribute.</w:t>
      </w:r>
    </w:p>
    <w:p>
      <w:pPr>
        <w:spacing w:before="0" w:after="0"/>
        <w:ind w:left="120"/>
        <w:jc w:val="both"/>
      </w:pPr>
      <w:r>
        <w:rPr>
          <w:rFonts w:ascii="Times New Roman" w:hAnsi="Times New Roman"/>
          <w:b/>
          <w:i w:val="false"/>
          <w:color w:val="000000"/>
          <w:sz w:val="22"/>
        </w:rPr>
        <w:t>21—42.6</w:t>
      </w:r>
      <w:r>
        <w:rPr>
          <w:rFonts w:ascii="Times New Roman" w:hAnsi="Times New Roman"/>
          <w:b/>
          <w:i w:val="false"/>
          <w:color w:val="000000"/>
          <w:sz w:val="22"/>
        </w:rPr>
        <w:t xml:space="preserve">(198) </w:t>
      </w:r>
      <w:r>
        <w:rPr>
          <w:rFonts w:ascii="Times New Roman" w:hAnsi="Times New Roman"/>
          <w:b/>
          <w:i w:val="false"/>
          <w:color w:val="000000"/>
          <w:sz w:val="22"/>
        </w:rPr>
        <w:t xml:space="preserve">Drugs and pet food additives.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val="false"/>
          <w:color w:val="000000"/>
          <w:sz w:val="22"/>
        </w:rPr>
        <w:t>An artificial color may be used in a pet food only if it has been shown to be harmless to pets. The permanent or provisional listing of an artificial color in the United States Food and Drug Regulations as safe for use, together with the conditions, limitations, and tolerances, if any, incorporated therein, shall be deemed to be satisfactory evidence that the color is, when used pursuant to such regulations, harmless to pets.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val="false"/>
          <w:color w:val="000000"/>
          <w:sz w:val="22"/>
        </w:rPr>
        <w:t>Prior to approval of a registration application or approval of a label for pet food which contains additives (including drugs, other special purpose additives, or nonnutritive additives), the distributor may be required to submit evidence to prove the safety and efficacy of the pet food when used according to directions furnished on the label. Satisfactory evidence of the safety and efficacy of a pet food may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 pet food contains such additives, the use of which conforms to the requirements of the applicable regulation in the Code of Federal Regulations, Title 21, or which are “prior sanctioned” or “generally recognized as safe” for such use,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When the pet food itself is a drug as defined in Iowa Code section </w:t>
      </w:r>
      <w:hyperlink r:id="rId24">
        <w:r>
          <w:rPr>
            <w:rStyle w:val="Hyperlink"/>
            <w:rFonts w:ascii="Times New Roman" w:hAnsi="Times New Roman"/>
            <w:b w:val="false"/>
            <w:i w:val="false"/>
            <w:color w:val="000000"/>
            <w:sz w:val="22"/>
          </w:rPr>
          <w:t>198.3(6)</w:t>
        </w:r>
      </w:hyperlink>
      <w:r>
        <w:rPr>
          <w:rFonts w:ascii="Times New Roman" w:hAnsi="Times New Roman"/>
          <w:b w:val="false"/>
          <w:i w:val="false"/>
          <w:color w:val="000000"/>
          <w:sz w:val="22"/>
        </w:rPr>
        <w:t xml:space="preserve"> and is generally recognized as safe and effective for label use or is marketed subject to an application approved by the Food and Drug Administration under Title 21, U.S.C. 360(b).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w:t>
      </w:r>
      <w:r>
        <w:rPr>
          <w:rFonts w:ascii="Times New Roman" w:hAnsi="Times New Roman"/>
          <w:b w:val="false"/>
          <w:i w:val="false"/>
          <w:color w:val="000000"/>
          <w:sz w:val="22"/>
        </w:rPr>
        <w:t> </w:t>
      </w:r>
      <w:r>
        <w:rPr>
          <w:rFonts w:ascii="Times New Roman" w:hAnsi="Times New Roman"/>
          <w:b w:val="false"/>
          <w:i w:val="false"/>
          <w:color w:val="000000"/>
          <w:sz w:val="22"/>
        </w:rPr>
        <w:t>The medicated labeling format recommended by the Association of American Feed Control Officials shall be used to ensure that adequate labeling is provided.</w:t>
      </w:r>
    </w:p>
    <w:p>
      <w:pPr>
        <w:spacing w:before="0" w:after="0"/>
        <w:ind w:left="120"/>
        <w:jc w:val="both"/>
      </w:pPr>
      <w:r>
        <w:rPr>
          <w:rFonts w:ascii="Times New Roman" w:hAnsi="Times New Roman"/>
          <w:b/>
          <w:i w:val="false"/>
          <w:color w:val="000000"/>
          <w:sz w:val="22"/>
        </w:rPr>
        <w:t>21—42.7</w:t>
      </w:r>
      <w:r>
        <w:rPr>
          <w:rFonts w:ascii="Times New Roman" w:hAnsi="Times New Roman"/>
          <w:b/>
          <w:i w:val="false"/>
          <w:color w:val="000000"/>
          <w:sz w:val="22"/>
        </w:rPr>
        <w:t xml:space="preserve">(198) </w:t>
      </w:r>
      <w:r>
        <w:rPr>
          <w:rFonts w:ascii="Times New Roman" w:hAnsi="Times New Roman"/>
          <w:b/>
          <w:i w:val="false"/>
          <w:color w:val="000000"/>
          <w:sz w:val="22"/>
        </w:rPr>
        <w:t xml:space="preserve">Statements of calorie content. </w:t>
      </w:r>
      <w:r>
        <w:rPr>
          <w:rFonts w:ascii="Times New Roman" w:hAnsi="Times New Roman"/>
          <w:b w:val="false"/>
          <w:i w:val="false"/>
          <w:color w:val="000000"/>
          <w:sz w:val="22"/>
        </w:rPr>
        <w:t xml:space="preserve">Except as required in </w:t>
      </w:r>
      <w:hyperlink r:id="rId25">
        <w:r>
          <w:rPr>
            <w:rStyle w:val="Hyperlink"/>
            <w:rFonts w:ascii="Times New Roman" w:hAnsi="Times New Roman"/>
            <w:b w:val="false"/>
            <w:i w:val="false"/>
            <w:color w:val="000000"/>
            <w:sz w:val="22"/>
          </w:rPr>
          <w:t>42.8(198)</w:t>
        </w:r>
      </w:hyperlink>
      <w:r>
        <w:rPr>
          <w:rFonts w:ascii="Times New Roman" w:hAnsi="Times New Roman"/>
          <w:b w:val="false"/>
          <w:i w:val="false"/>
          <w:color w:val="000000"/>
          <w:sz w:val="22"/>
        </w:rPr>
        <w:t>, the label of a dog or cat food may bear a statement of calorie content,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val="false"/>
          <w:color w:val="000000"/>
          <w:sz w:val="22"/>
        </w:rPr>
        <w:t>The statement shall be separate and distinct from the “Guaranteed Analysis” and shall appear under the heading “Calorie Content”;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val="false"/>
          <w:color w:val="000000"/>
          <w:sz w:val="22"/>
        </w:rPr>
        <w:t>The statement shall be measured in terms of metabolizable energy (ME) on an as-fed basis and must be expressed as “kilocalories per kilogram” (“kcal/kg”) of product, and may also be expressed as kilocalories per familiar household measure (e.g., cans, cups, pounds);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w:t>
      </w:r>
      <w:r>
        <w:rPr>
          <w:rFonts w:ascii="Times New Roman" w:hAnsi="Times New Roman"/>
          <w:b w:val="false"/>
          <w:i w:val="false"/>
          <w:color w:val="000000"/>
          <w:sz w:val="22"/>
        </w:rPr>
        <w:t> </w:t>
      </w:r>
      <w:r>
        <w:rPr>
          <w:rFonts w:ascii="Times New Roman" w:hAnsi="Times New Roman"/>
          <w:b w:val="false"/>
          <w:i w:val="false"/>
          <w:color w:val="000000"/>
          <w:sz w:val="22"/>
        </w:rPr>
        <w:t>An affidavit shall accompany the request for label review or registration, substantiating that the calorie content was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calculation using the following “Modified Atwater” formula:</w:t>
      </w:r>
    </w:p>
    <w:p>
      <w:pPr>
        <w:spacing w:before="0" w:after="0"/>
        <w:ind w:left="120"/>
        <w:jc w:val="both"/>
      </w:pPr>
      <w:r>
        <w:rPr>
          <w:rFonts w:ascii="Times New Roman" w:hAnsi="Times New Roman"/>
          <w:b w:val="false"/>
          <w:i w:val="false"/>
          <w:color w:val="000000"/>
          <w:sz w:val="22"/>
        </w:rPr>
        <w:t xml:space="preserve">ME(kcal/kg) = 10[(3.5 × CP) + (8.5 × CF) + (3.5 × NFE)] </w:t>
      </w:r>
    </w:p>
    <w:p>
      <w:pPr>
        <w:spacing w:before="0" w:after="0"/>
        <w:ind w:left="120"/>
        <w:jc w:val="both"/>
      </w:pPr>
      <w:r>
        <w:rPr>
          <w:rFonts w:ascii="Times New Roman" w:hAnsi="Times New Roman"/>
          <w:b w:val="false"/>
          <w:i w:val="false"/>
          <w:color w:val="000000"/>
          <w:sz w:val="22"/>
        </w:rPr>
        <w:t>where CP = % crude protein as fed</w:t>
      </w:r>
    </w:p>
    <w:p>
      <w:pPr>
        <w:spacing w:before="0" w:after="0"/>
        <w:ind w:left="120"/>
        <w:jc w:val="both"/>
      </w:pPr>
      <w:r>
        <w:rPr>
          <w:rFonts w:ascii="Times New Roman" w:hAnsi="Times New Roman"/>
          <w:b w:val="false"/>
          <w:i w:val="false"/>
          <w:color w:val="000000"/>
          <w:sz w:val="22"/>
        </w:rPr>
        <w:t>CF = % crude fat as fed</w:t>
      </w:r>
    </w:p>
    <w:p>
      <w:pPr>
        <w:spacing w:before="0" w:after="0"/>
        <w:ind w:left="120"/>
        <w:jc w:val="both"/>
      </w:pPr>
      <w:r>
        <w:rPr>
          <w:rFonts w:ascii="Times New Roman" w:hAnsi="Times New Roman"/>
          <w:b w:val="false"/>
          <w:i w:val="false"/>
          <w:color w:val="000000"/>
          <w:sz w:val="22"/>
        </w:rPr>
        <w:t>NFE = % nitrogen free extract (carbohydrate) as fed</w:t>
      </w:r>
    </w:p>
    <w:p>
      <w:pPr>
        <w:spacing w:before="0" w:after="0"/>
        <w:ind w:left="120"/>
        <w:jc w:val="both"/>
      </w:pPr>
      <w:r>
        <w:rPr>
          <w:rFonts w:ascii="Times New Roman" w:hAnsi="Times New Roman"/>
          <w:b w:val="false"/>
          <w:i w:val="false"/>
          <w:color w:val="000000"/>
          <w:sz w:val="22"/>
        </w:rPr>
        <w:t>and the percentages of CP and CF are the arithmetic averages from proximate analyses of at least four production batches of the product, and the NFE is calculated as the difference between 100 and the sum of CP, CF, and the percentages of crude fiber, moisture and ash (determined in the same manner as CP and CF). The results of all the analyses used in the calculation must accompany the affidavit, and the claim on the label or other labeling must be followed parenthetically by the word “calculated”;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a testing procedure established by the Association of American Feed Control Officials. The summary data used in the determination of calorie content must accompany the affidavit. The value stated on the label shall not exceed or understate the value determined in accordance with </w:t>
      </w:r>
      <w:hyperlink r:id="rId26">
        <w:r>
          <w:rPr>
            <w:rStyle w:val="Hyperlink"/>
            <w:rFonts w:ascii="Times New Roman" w:hAnsi="Times New Roman"/>
            <w:b w:val="false"/>
            <w:i w:val="false"/>
            <w:color w:val="000000"/>
            <w:sz w:val="22"/>
          </w:rPr>
          <w:t>42.7(3)</w:t>
        </w:r>
      </w:hyperlink>
      <w:r>
        <w:rPr>
          <w:rFonts w:ascii="Times New Roman" w:hAnsi="Times New Roman"/>
          <w:b w:val="false"/>
          <w:i/>
          <w:color w:val="000000"/>
          <w:sz w:val="22"/>
        </w:rPr>
        <w:t>“a”</w:t>
      </w:r>
      <w:r>
        <w:rPr>
          <w:rFonts w:ascii="Times New Roman" w:hAnsi="Times New Roman"/>
          <w:b w:val="false"/>
          <w:i w:val="false"/>
          <w:color w:val="000000"/>
          <w:sz w:val="22"/>
        </w:rPr>
        <w:t xml:space="preserve"> by more than 15 percent;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comparative claims that shall not be false, misleading or given undue emphasis and must be based on the same methodology for both products.</w:t>
      </w:r>
    </w:p>
    <w:p>
      <w:pPr>
        <w:spacing w:before="0" w:after="0"/>
        <w:ind w:left="120"/>
        <w:jc w:val="both"/>
      </w:pPr>
      <w:r>
        <w:rPr>
          <w:rFonts w:ascii="Times New Roman" w:hAnsi="Times New Roman"/>
          <w:b/>
          <w:i w:val="false"/>
          <w:color w:val="000000"/>
          <w:sz w:val="22"/>
        </w:rPr>
        <w:t>21—42.8</w:t>
      </w:r>
      <w:r>
        <w:rPr>
          <w:rFonts w:ascii="Times New Roman" w:hAnsi="Times New Roman"/>
          <w:b/>
          <w:i w:val="false"/>
          <w:color w:val="000000"/>
          <w:sz w:val="22"/>
        </w:rPr>
        <w:t xml:space="preserve">(198) </w:t>
      </w:r>
      <w:r>
        <w:rPr>
          <w:rFonts w:ascii="Times New Roman" w:hAnsi="Times New Roman"/>
          <w:b/>
          <w:i w:val="false"/>
          <w:color w:val="000000"/>
          <w:sz w:val="22"/>
        </w:rPr>
        <w:t xml:space="preserve">Descriptive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color w:val="000000"/>
          <w:sz w:val="22"/>
        </w:rPr>
        <w:t xml:space="preserve">Calorie terms.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Dog food products bearing the term “light,” “lite,” “low calorie,” or words of similar designation shall contain and state on the label no more than 3100 kcal ME/kg for products containing less than 20 percent moisture, no more than 2500 kcal ME/kg for products containing 20 percent or more but less than 65 percent moisture, and no more than 900 kcal ME/kg for products containing 65 percent or more moisture. The label shall bear a calorie content statement in accordance with the format provided in </w:t>
      </w:r>
      <w:hyperlink r:id="rId27">
        <w:r>
          <w:rPr>
            <w:rStyle w:val="Hyperlink"/>
            <w:rFonts w:ascii="Times New Roman" w:hAnsi="Times New Roman"/>
            <w:b w:val="false"/>
            <w:i w:val="false"/>
            <w:color w:val="000000"/>
            <w:sz w:val="22"/>
          </w:rPr>
          <w:t>42.7(198)</w:t>
        </w:r>
      </w:hyperlink>
      <w:r>
        <w:rPr>
          <w:rFonts w:ascii="Times New Roman" w:hAnsi="Times New Roman"/>
          <w:b w:val="false"/>
          <w:i w:val="false"/>
          <w:color w:val="000000"/>
          <w:sz w:val="22"/>
        </w:rPr>
        <w:t>. Feeding directions shall reflect a reduction in calorie intake consistent with the intended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Cat food products bearing the term “light,” “lite,” “low calorie,” or words of similar designation shall contain and state on the label no more than 3250 kcal ME/kg for products containing less than 20 percent moisture, no more than 2650 kcal ME/kg for products containing 20 percent or more but less than 65 percent moisture, and no more than 950 kcal ME/kg for products containing 65 percent or more moisture. The label shall bear a calorie content statement in accordance with the format provided in </w:t>
      </w:r>
      <w:hyperlink r:id="rId28">
        <w:r>
          <w:rPr>
            <w:rStyle w:val="Hyperlink"/>
            <w:rFonts w:ascii="Times New Roman" w:hAnsi="Times New Roman"/>
            <w:b w:val="false"/>
            <w:i w:val="false"/>
            <w:color w:val="000000"/>
            <w:sz w:val="22"/>
          </w:rPr>
          <w:t>42.7(198)</w:t>
        </w:r>
      </w:hyperlink>
      <w:r>
        <w:rPr>
          <w:rFonts w:ascii="Times New Roman" w:hAnsi="Times New Roman"/>
          <w:b w:val="false"/>
          <w:i w:val="false"/>
          <w:color w:val="000000"/>
          <w:sz w:val="22"/>
        </w:rPr>
        <w:t>. Feeding directions shall reflect a reduction in calorie intake consistent with the intended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“Less” or “reduced calories.” For dog or cat food product labels bearing a claim of “less calories,” “reduced calories,” or words of similar designation, the percentage of reduction and the product of comparison shall be explicitly stated and juxtaposed with the claim in the same size, style, and color print. The product label shall also bear a calorie content statement in accordance with the format provided in </w:t>
      </w:r>
      <w:hyperlink r:id="rId29">
        <w:r>
          <w:rPr>
            <w:rStyle w:val="Hyperlink"/>
            <w:rFonts w:ascii="Times New Roman" w:hAnsi="Times New Roman"/>
            <w:b w:val="false"/>
            <w:i w:val="false"/>
            <w:color w:val="000000"/>
            <w:sz w:val="22"/>
          </w:rPr>
          <w:t>42.7(198)</w:t>
        </w:r>
      </w:hyperlink>
      <w:r>
        <w:rPr>
          <w:rFonts w:ascii="Times New Roman" w:hAnsi="Times New Roman"/>
          <w:b w:val="false"/>
          <w:i w:val="false"/>
          <w:color w:val="000000"/>
          <w:sz w:val="22"/>
        </w:rPr>
        <w:t>. Comparisons between products in different categories of moisture content less than 20 percent, 20 percent or more but less than 65 percent, or 65 percent or more are misleading. Feeding directions shall reflect a reduction in calories compared to feeding directions for the product of comparison.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color w:val="000000"/>
          <w:sz w:val="22"/>
        </w:rPr>
        <w:t xml:space="preserve">Fat terms.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Dog food product labels bearing the term “lean,” “low fat,” or words of similar designation shall contain and guarantee on the label no more than 9 percent crude fat for products containing less than 20 percent moisture, no more than 7 percent crude fat for products containing 20 percent or more but less than 65 percent moisture, and no more than 4 percent crude fat for products containing 65 percent or more moisture. The product label shall bear a maximum crude fat guarantee immediately following the minimum crude fat guarantee in addition to the mandatory guaranteed analysis information as specified in </w:t>
      </w:r>
      <w:hyperlink r:id="rId30">
        <w:r>
          <w:rPr>
            <w:rStyle w:val="Hyperlink"/>
            <w:rFonts w:ascii="Times New Roman" w:hAnsi="Times New Roman"/>
            <w:b w:val="false"/>
            <w:i w:val="false"/>
            <w:color w:val="000000"/>
            <w:sz w:val="22"/>
          </w:rPr>
          <w:t>42.2(2)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Cat food products bearing the term “lean,” “low fat,” or words of similar designation shall contain and guarantee on the label no more than 10 percent crude fat for products containing less than 20 percent moisture, no more than 8 percent crude fat for products containing 20 percent or more but less than 65 percent moisture, and no more than 5 percent crude fat for products containing 65 percent or more moisture. The product label shall bear a maximum crude fat guarantee immediately following the minimum crude fat guarantee in addition to the mandatory guaranteed analysis information as specified in </w:t>
      </w:r>
      <w:hyperlink r:id="rId31">
        <w:r>
          <w:rPr>
            <w:rStyle w:val="Hyperlink"/>
            <w:rFonts w:ascii="Times New Roman" w:hAnsi="Times New Roman"/>
            <w:b w:val="false"/>
            <w:i w:val="false"/>
            <w:color w:val="000000"/>
            <w:sz w:val="22"/>
          </w:rPr>
          <w:t>42.2(2)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“Less” or “reduced fat.” For dog or cat food labels bearing a claim of “less fat,” “reduced fat,” or words of similar designation, the percentage of reduction and the product of comparison shall be explicitly stated and juxtaposed with the claim in the same size, style, and color print. The product label shall also bear a maximum crude fat guarantee immediately following the minimum crude fat guarantee in addition to the mandatory guaranteed analysis information as specified in </w:t>
      </w:r>
      <w:hyperlink r:id="rId32">
        <w:r>
          <w:rPr>
            <w:rStyle w:val="Hyperlink"/>
            <w:rFonts w:ascii="Times New Roman" w:hAnsi="Times New Roman"/>
            <w:b w:val="false"/>
            <w:i w:val="false"/>
            <w:color w:val="000000"/>
            <w:sz w:val="22"/>
          </w:rPr>
          <w:t>42.2(2)</w:t>
        </w:r>
      </w:hyperlink>
      <w:r>
        <w:rPr>
          <w:rFonts w:ascii="Times New Roman" w:hAnsi="Times New Roman"/>
          <w:b w:val="false"/>
          <w:i w:val="false"/>
          <w:color w:val="000000"/>
          <w:sz w:val="22"/>
        </w:rPr>
        <w:t>. Comparisons between products in different categories of moisture content less than 20 percent, 20 percent or more but less than 65 percent, or 65 percent or more are misleading.</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3">
        <w:r>
          <w:rPr>
            <w:rStyle w:val="Hyperlink"/>
            <w:rFonts w:ascii="Times New Roman" w:hAnsi="Times New Roman"/>
            <w:b w:val="false"/>
            <w:i w:val="false"/>
            <w:color w:val="000000"/>
            <w:sz w:val="22"/>
          </w:rPr>
          <w:t>198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November 5, 1974]</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7/24/98, Notice 6/3/98—published 8/12/98, effective 9/16/98]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42.3.pdf" Type="http://schemas.openxmlformats.org/officeDocument/2006/relationships/hyperlink" Id="rId5"/>
    <Relationship TargetMode="External" Target="https://www.legis.iowa.gov/docs/iac/rule/21.42.2.pdf" Type="http://schemas.openxmlformats.org/officeDocument/2006/relationships/hyperlink" Id="rId6"/>
    <Relationship TargetMode="External" Target="https://www.legis.iowa.gov/docs/iac/rule/21.42.2.pdf" Type="http://schemas.openxmlformats.org/officeDocument/2006/relationships/hyperlink" Id="rId7"/>
    <Relationship TargetMode="External" Target="https://www.legis.iowa.gov/docs/iac/rule/21.42.2.pdf" Type="http://schemas.openxmlformats.org/officeDocument/2006/relationships/hyperlink" Id="rId8"/>
    <Relationship TargetMode="External" Target="https://www.legis.iowa.gov/docs/iac/rule/21.42.2.pdf" Type="http://schemas.openxmlformats.org/officeDocument/2006/relationships/hyperlink" Id="rId9"/>
    <Relationship TargetMode="External" Target="https://www.legis.iowa.gov/docs/iac/rule/21.42.2.pdf" Type="http://schemas.openxmlformats.org/officeDocument/2006/relationships/hyperlink" Id="rId10"/>
    <Relationship TargetMode="External" Target="https://www.legis.iowa.gov/docs/iac/rule/21.42.2.pdf" Type="http://schemas.openxmlformats.org/officeDocument/2006/relationships/hyperlink" Id="rId11"/>
    <Relationship TargetMode="External" Target="https://www.legis.iowa.gov/docs/iac/rule/21.42.2.pdf" Type="http://schemas.openxmlformats.org/officeDocument/2006/relationships/hyperlink" Id="rId12"/>
    <Relationship TargetMode="External" Target="https://www.legis.iowa.gov/docs/iac/rule/21.42.2.pdf" Type="http://schemas.openxmlformats.org/officeDocument/2006/relationships/hyperlink" Id="rId13"/>
    <Relationship TargetMode="External" Target="https://www.legis.iowa.gov/docs/iac/rule/21.42.2.pdf" Type="http://schemas.openxmlformats.org/officeDocument/2006/relationships/hyperlink" Id="rId14"/>
    <Relationship TargetMode="External" Target="https://www.legis.iowa.gov/docs/iac/rule/21.42.2.pdf" Type="http://schemas.openxmlformats.org/officeDocument/2006/relationships/hyperlink" Id="rId15"/>
    <Relationship TargetMode="External" Target="https://www.legis.iowa.gov/docs/iac/rule/21.42.2.pdf" Type="http://schemas.openxmlformats.org/officeDocument/2006/relationships/hyperlink" Id="rId16"/>
    <Relationship TargetMode="External" Target="https://www.legis.iowa.gov/docs/iac/rule/21.42.2.pdf" Type="http://schemas.openxmlformats.org/officeDocument/2006/relationships/hyperlink" Id="rId17"/>
    <Relationship TargetMode="External" Target="https://www.legis.iowa.gov/docs/iac/rule/21.42.3.pdf" Type="http://schemas.openxmlformats.org/officeDocument/2006/relationships/hyperlink" Id="rId18"/>
    <Relationship TargetMode="External" Target="https://www.legis.iowa.gov/docs/iac/rule/21.42.3.pdf" Type="http://schemas.openxmlformats.org/officeDocument/2006/relationships/hyperlink" Id="rId19"/>
    <Relationship TargetMode="External" Target="https://www.legis.iowa.gov/docs/iac/rule/21.42.3.pdf" Type="http://schemas.openxmlformats.org/officeDocument/2006/relationships/hyperlink" Id="rId20"/>
    <Relationship TargetMode="External" Target="https://www.legis.iowa.gov/docs/ico/chapter/198.5.pdf" Type="http://schemas.openxmlformats.org/officeDocument/2006/relationships/hyperlink" Id="rId21"/>
    <Relationship TargetMode="External" Target="https://www.legis.iowa.gov/docs/iac/rule/21.42.2.pdf" Type="http://schemas.openxmlformats.org/officeDocument/2006/relationships/hyperlink" Id="rId22"/>
    <Relationship TargetMode="External" Target="https://www.legis.iowa.gov/docs/iac/rule/21.42.4.pdf" Type="http://schemas.openxmlformats.org/officeDocument/2006/relationships/hyperlink" Id="rId23"/>
    <Relationship TargetMode="External" Target="https://www.legis.iowa.gov/docs/ico/chapter/198.3.pdf" Type="http://schemas.openxmlformats.org/officeDocument/2006/relationships/hyperlink" Id="rId24"/>
    <Relationship TargetMode="External" Target="https://www.legis.iowa.gov/docs/iac/rule/21.42.8.pdf" Type="http://schemas.openxmlformats.org/officeDocument/2006/relationships/hyperlink" Id="rId25"/>
    <Relationship TargetMode="External" Target="https://www.legis.iowa.gov/docs/iac/rule/21.42.7.pdf" Type="http://schemas.openxmlformats.org/officeDocument/2006/relationships/hyperlink" Id="rId26"/>
    <Relationship TargetMode="External" Target="https://www.legis.iowa.gov/docs/iac/rule/21.42.7.pdf" Type="http://schemas.openxmlformats.org/officeDocument/2006/relationships/hyperlink" Id="rId27"/>
    <Relationship TargetMode="External" Target="https://www.legis.iowa.gov/docs/iac/rule/21.42.7.pdf" Type="http://schemas.openxmlformats.org/officeDocument/2006/relationships/hyperlink" Id="rId28"/>
    <Relationship TargetMode="External" Target="https://www.legis.iowa.gov/docs/iac/rule/21.42.7.pdf" Type="http://schemas.openxmlformats.org/officeDocument/2006/relationships/hyperlink" Id="rId29"/>
    <Relationship TargetMode="External" Target="https://www.legis.iowa.gov/docs/iac/rule/21.42.2.pdf" Type="http://schemas.openxmlformats.org/officeDocument/2006/relationships/hyperlink" Id="rId30"/>
    <Relationship TargetMode="External" Target="https://www.legis.iowa.gov/docs/iac/rule/21.42.2.pdf" Type="http://schemas.openxmlformats.org/officeDocument/2006/relationships/hyperlink" Id="rId31"/>
    <Relationship TargetMode="External" Target="https://www.legis.iowa.gov/docs/iac/rule/21.42.2.pdf" Type="http://schemas.openxmlformats.org/officeDocument/2006/relationships/hyperlink" Id="rId32"/>
    <Relationship TargetMode="External" Target="https://www.legis.iowa.gov/docs/ico/chapter/198.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