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w:t>
      </w:r>
    </w:p>
    <w:p>
      <w:pPr>
        <w:spacing w:before="0" w:after="0"/>
        <w:ind w:left="120"/>
        <w:jc w:val="center"/>
      </w:pPr>
      <w:r>
        <w:rPr>
          <w:rFonts w:ascii="Times New Roman" w:hAnsi="Times New Roman"/>
          <w:b w:val="false"/>
          <w:i w:val="false"/>
          <w:color w:val="000000"/>
          <w:sz w:val="21"/>
        </w:rPr>
        <w:t>CERTIFICATES OF EMPLOYABILITY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205—9.1</w:t>
      </w:r>
      <w:r>
        <w:rPr>
          <w:rFonts w:ascii="Times New Roman" w:hAnsi="Times New Roman"/>
          <w:b/>
          <w:i w:val="false"/>
          <w:color w:val="000000"/>
          <w:sz w:val="22"/>
        </w:rPr>
        <w:t xml:space="preserve">(906)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relationship” </w:t>
      </w:r>
      <w:r>
        <w:rPr>
          <w:rFonts w:ascii="Times New Roman" w:hAnsi="Times New Roman"/>
          <w:b w:val="false"/>
          <w:i w:val="false"/>
          <w:color w:val="000000"/>
          <w:sz w:val="22"/>
        </w:rPr>
        <w:t>means that the nature of criminal conduct for which the eligible offender was convicted has a direct bearing on the offender’s fitness or ability to perform one or more of the duties or responsibilities necessarily related to the certificate of employability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offender” </w:t>
      </w:r>
      <w:r>
        <w:rPr>
          <w:rFonts w:ascii="Times New Roman" w:hAnsi="Times New Roman"/>
          <w:b w:val="false"/>
          <w:i w:val="false"/>
          <w:color w:val="000000"/>
          <w:sz w:val="22"/>
        </w:rPr>
        <w:t xml:space="preserve">means a person who has been convicted of one or more eligible crimes and has been sentenced to the custody of the director of the department of corrections. Persons required to register under Iowa Code chapter </w:t>
      </w:r>
      <w:hyperlink r:id="rId5">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are ineligible for the certificate of employability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w:t>
      </w:r>
      <w:r>
        <w:rPr>
          <w:rFonts w:ascii="Times New Roman" w:hAnsi="Times New Roman"/>
          <w:b w:val="false"/>
          <w:i w:val="false"/>
          <w:color w:val="000000"/>
          <w:sz w:val="22"/>
        </w:rPr>
        <w:t>means any occupation, vocation, or employment or any form of vocational or educational training. For the purposes of this chapter, “employment” shall not include membership in any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“Private employer” </w:t>
      </w:r>
      <w:r>
        <w:rPr>
          <w:rFonts w:ascii="Times New Roman" w:hAnsi="Times New Roman"/>
          <w:b w:val="false"/>
          <w:i w:val="false"/>
          <w:color w:val="000000"/>
          <w:sz w:val="22"/>
        </w:rPr>
        <w:t>means any person, company, corporation, labor organization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the state or any local subdivision thereof or any state or local department, agency, board or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205—9.2</w:t>
      </w:r>
      <w:r>
        <w:rPr>
          <w:rFonts w:ascii="Times New Roman" w:hAnsi="Times New Roman"/>
          <w:b/>
          <w:i w:val="false"/>
          <w:color w:val="000000"/>
          <w:sz w:val="22"/>
        </w:rPr>
        <w:t xml:space="preserve">(906) </w:t>
      </w:r>
      <w:r>
        <w:rPr>
          <w:rFonts w:ascii="Times New Roman" w:hAnsi="Times New Roman"/>
          <w:b/>
          <w:i w:val="false"/>
          <w:color w:val="000000"/>
          <w:sz w:val="22"/>
        </w:rPr>
        <w:t xml:space="preserve">Certificates of employability.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9.2(1)</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chapter apply to any application by an eligible offender to any public agency or private employer for employment, except where a mandatory forfeiture, disability or bar to employment is imposed by law and has not been removed by an executive pardon. The provisions of this chapter also apply to an application to a licensing agency by an eligible offender to obtain licensure required for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9.2(2)</w:t>
      </w:r>
      <w:r>
        <w:rPr>
          <w:rFonts w:ascii="Times New Roman" w:hAnsi="Times New Roman"/>
          <w:b w:val="false"/>
          <w:i w:val="false"/>
          <w:color w:val="000000"/>
          <w:sz w:val="22"/>
        </w:rPr>
        <w:t> </w:t>
      </w:r>
      <w:r>
        <w:rPr>
          <w:rFonts w:ascii="Times New Roman" w:hAnsi="Times New Roman"/>
          <w:b w:val="false"/>
          <w:i w:val="false"/>
          <w:color w:val="000000"/>
          <w:sz w:val="22"/>
        </w:rPr>
        <w:t>When a certificate of employability is presented to a public agency, the licensing agency cannot deny a license based on the felony conviction or based on a lack of good moral character unless the agency makes a determination that there is a direct relationship between the offense and the license sought or that the issuance of the license involves unreasonable risk to property or the safety and welfare of specific individuals or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9.2(3)</w:t>
      </w:r>
      <w:r>
        <w:rPr>
          <w:rFonts w:ascii="Times New Roman" w:hAnsi="Times New Roman"/>
          <w:b w:val="false"/>
          <w:i w:val="false"/>
          <w:color w:val="000000"/>
          <w:sz w:val="22"/>
        </w:rPr>
        <w:t> </w:t>
      </w:r>
      <w:r>
        <w:rPr>
          <w:rFonts w:ascii="Times New Roman" w:hAnsi="Times New Roman"/>
          <w:b w:val="false"/>
          <w:i w:val="false"/>
          <w:color w:val="000000"/>
          <w:sz w:val="22"/>
        </w:rPr>
        <w:t>A certificate of employability does not prevent any judicial, administrative, licensing or other body, board or authority from relying upon the conviction specified therein as the basis for the exercise of its discretionary power to suspend, revoke, refuse to issue or refuse to renew any license, permit or other authority or privilege in accordance with the provisions set out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205—9.3</w:t>
      </w:r>
      <w:r>
        <w:rPr>
          <w:rFonts w:ascii="Times New Roman" w:hAnsi="Times New Roman"/>
          <w:b/>
          <w:i w:val="false"/>
          <w:color w:val="000000"/>
          <w:sz w:val="22"/>
        </w:rPr>
        <w:t xml:space="preserve">(906) </w:t>
      </w:r>
      <w:r>
        <w:rPr>
          <w:rFonts w:ascii="Times New Roman" w:hAnsi="Times New Roman"/>
          <w:b/>
          <w:i w:val="false"/>
          <w:color w:val="000000"/>
          <w:sz w:val="22"/>
        </w:rPr>
        <w:t xml:space="preserve">Issuance of a certificate of employability. </w:t>
      </w:r>
      <w:r>
        <w:rPr>
          <w:rFonts w:ascii="Times New Roman" w:hAnsi="Times New Roman"/>
          <w:b w:val="false"/>
          <w:i w:val="false"/>
          <w:color w:val="000000"/>
          <w:sz w:val="22"/>
        </w:rPr>
        <w:t>The department of corrections issues a certificate of employability at the time of release to an eligible offender who: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9.3(1)</w:t>
      </w:r>
      <w:r>
        <w:rPr>
          <w:rFonts w:ascii="Times New Roman" w:hAnsi="Times New Roman"/>
          <w:b w:val="false"/>
          <w:i w:val="false"/>
          <w:color w:val="000000"/>
          <w:sz w:val="22"/>
        </w:rPr>
        <w:t> </w:t>
      </w:r>
      <w:r>
        <w:rPr>
          <w:rFonts w:ascii="Times New Roman" w:hAnsi="Times New Roman"/>
          <w:b w:val="false"/>
          <w:i w:val="false"/>
          <w:color w:val="000000"/>
          <w:sz w:val="22"/>
        </w:rPr>
        <w:t>Receives a parole, work release, or early discharge from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9.3(2)</w:t>
      </w:r>
      <w:r>
        <w:rPr>
          <w:rFonts w:ascii="Times New Roman" w:hAnsi="Times New Roman"/>
          <w:b w:val="false"/>
          <w:i w:val="false"/>
          <w:color w:val="000000"/>
          <w:sz w:val="22"/>
        </w:rPr>
        <w:t> </w:t>
      </w:r>
      <w:r>
        <w:rPr>
          <w:rFonts w:ascii="Times New Roman" w:hAnsi="Times New Roman"/>
          <w:b w:val="false"/>
          <w:i w:val="false"/>
          <w:color w:val="000000"/>
          <w:sz w:val="22"/>
        </w:rPr>
        <w:t>Successfully completes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of corrections registered apprenticeship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Career Readiness Certificate and the life skills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205—9.4</w:t>
      </w:r>
      <w:r>
        <w:rPr>
          <w:rFonts w:ascii="Times New Roman" w:hAnsi="Times New Roman"/>
          <w:b/>
          <w:i w:val="false"/>
          <w:color w:val="000000"/>
          <w:sz w:val="22"/>
        </w:rPr>
        <w:t xml:space="preserve">(906) </w:t>
      </w:r>
      <w:r>
        <w:rPr>
          <w:rFonts w:ascii="Times New Roman" w:hAnsi="Times New Roman"/>
          <w:b/>
          <w:i w:val="false"/>
          <w:color w:val="000000"/>
          <w:sz w:val="22"/>
        </w:rPr>
        <w:t xml:space="preserve">Certificate not to be deemed a pardon. </w:t>
      </w:r>
      <w:r>
        <w:rPr>
          <w:rFonts w:ascii="Times New Roman" w:hAnsi="Times New Roman"/>
          <w:b w:val="false"/>
          <w:i w:val="false"/>
          <w:color w:val="000000"/>
          <w:sz w:val="22"/>
        </w:rPr>
        <w:t>Nothing contained in this chapter is deemed to alter, limit, or affect the manner of applying for pardons to the governor, and no certificate issued hereunder is deemed or construed to be a pardon.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8441C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906.19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7742B</w:t>
      </w:r>
      <w:r>
        <w:rPr>
          <w:rFonts w:ascii="Times New Roman" w:hAnsi="Times New Roman"/>
          <w:b w:val="false"/>
          <w:i w:val="false"/>
          <w:color w:val="000000"/>
          <w:sz w:val="21"/>
        </w:rPr>
        <w:t xml:space="preserve"> (Notice ARC 7337B, IAB 11/19/08)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2678C</w:t>
      </w:r>
      <w:r>
        <w:rPr>
          <w:rFonts w:ascii="Times New Roman" w:hAnsi="Times New Roman"/>
          <w:b w:val="false"/>
          <w:i w:val="false"/>
          <w:color w:val="000000"/>
          <w:sz w:val="21"/>
        </w:rPr>
        <w:t xml:space="preserve"> (Notice ARC 2590C, IAB 6/22/16)</w:t>
      </w:r>
      <w:r>
        <w:rPr>
          <w:rFonts w:ascii="Times New Roman" w:hAnsi="Times New Roman"/>
          <w:b w:val="false"/>
          <w:i w:val="false"/>
          <w:color w:val="000000"/>
          <w:sz w:val="21"/>
        </w:rPr>
        <w:t>, IAB 8/17/16, effective 12/19/16]</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8441C</w:t>
      </w:r>
      <w:r>
        <w:rPr>
          <w:rFonts w:ascii="Times New Roman" w:hAnsi="Times New Roman"/>
          <w:b w:val="false"/>
          <w:i w:val="false"/>
          <w:color w:val="000000"/>
          <w:sz w:val="21"/>
        </w:rPr>
        <w:t xml:space="preserve"> (Notice ARC 8187C, IAB 8/7/24)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2A.pdf" Type="http://schemas.openxmlformats.org/officeDocument/2006/relationships/hyperlink" Id="rId5"/>
    <Relationship TargetMode="External" Target="https://www.legis.iowa.gov/docs/ico/chapter/906.1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