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PAROLE AND WORK RELEASE CONSIDERATIONS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205—8.1</w:t>
      </w:r>
      <w:r>
        <w:rPr>
          <w:rFonts w:ascii="Times New Roman" w:hAnsi="Times New Roman"/>
          <w:b/>
          <w:i w:val="false"/>
          <w:color w:val="000000"/>
          <w:sz w:val="22"/>
        </w:rPr>
        <w:t xml:space="preserve">(906) </w:t>
      </w:r>
      <w:r>
        <w:rPr>
          <w:rFonts w:ascii="Times New Roman" w:hAnsi="Times New Roman"/>
          <w:b/>
          <w:i w:val="false"/>
          <w:color w:val="000000"/>
          <w:sz w:val="22"/>
        </w:rPr>
        <w:t xml:space="preserve">Purpose of parole and work release considerations. </w:t>
      </w:r>
      <w:r>
        <w:rPr>
          <w:rFonts w:ascii="Times New Roman" w:hAnsi="Times New Roman"/>
          <w:b w:val="false"/>
          <w:i w:val="false"/>
          <w:color w:val="000000"/>
          <w:sz w:val="22"/>
        </w:rPr>
        <w:t>The board shall determine whether there is reasonable probability that an inmate committed to the custody of the department of corrections who is eligible for parole or work release can be released without detriment to the community or the inmate. The board considers the best interests of society, and parole or work release is not granted as an award of clemency.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205—8.2</w:t>
      </w:r>
      <w:r>
        <w:rPr>
          <w:rFonts w:ascii="Times New Roman" w:hAnsi="Times New Roman"/>
          <w:b/>
          <w:i w:val="false"/>
          <w:color w:val="000000"/>
          <w:sz w:val="22"/>
        </w:rPr>
        <w:t xml:space="preserve">(904,906) </w:t>
      </w:r>
      <w:r>
        <w:rPr>
          <w:rFonts w:ascii="Times New Roman" w:hAnsi="Times New Roman"/>
          <w:b/>
          <w:i w:val="false"/>
          <w:color w:val="000000"/>
          <w:sz w:val="22"/>
        </w:rPr>
        <w:t xml:space="preserve">Parole and work release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Mandatory sentences. </w:t>
      </w:r>
      <w:r>
        <w:rPr>
          <w:rFonts w:ascii="Times New Roman" w:hAnsi="Times New Roman"/>
          <w:b w:val="false"/>
          <w:i w:val="false"/>
          <w:color w:val="000000"/>
          <w:sz w:val="22"/>
        </w:rPr>
        <w:t xml:space="preserve">The board will not grant parole to an inmate serving a mandatory minimum sentence. The board will not grant work release to an inmate serving a mandatory minimum sentence unless the inmate is within six months of completing the mandatory minimum portion of the sentence. A parole or work release granted contrary to this rule will be rescinded. Mandatory minimum sentences are set out in the Iowa Code and are incorporated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Release to residential facility first. </w:t>
      </w:r>
      <w:r>
        <w:rPr>
          <w:rFonts w:ascii="Times New Roman" w:hAnsi="Times New Roman"/>
          <w:b w:val="false"/>
          <w:i w:val="false"/>
          <w:color w:val="000000"/>
          <w:sz w:val="22"/>
        </w:rPr>
        <w:t xml:space="preserve">A person on parole or work release who is serving a sentence under Iowa Code section </w:t>
      </w:r>
      <w:hyperlink r:id="rId5">
        <w:r>
          <w:rPr>
            <w:rStyle w:val="Hyperlink"/>
            <w:rFonts w:ascii="Times New Roman" w:hAnsi="Times New Roman"/>
            <w:b w:val="false"/>
            <w:i w:val="false"/>
            <w:color w:val="000000"/>
            <w:sz w:val="22"/>
          </w:rPr>
          <w:t>902.12</w:t>
        </w:r>
      </w:hyperlink>
      <w:r>
        <w:rPr>
          <w:rFonts w:ascii="Times New Roman" w:hAnsi="Times New Roman"/>
          <w:b w:val="false"/>
          <w:i w:val="false"/>
          <w:color w:val="000000"/>
          <w:sz w:val="22"/>
        </w:rPr>
        <w:t xml:space="preserve"> shall begin parole or work release in a residential facility operated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Parole to detainer. </w:t>
      </w:r>
      <w:r>
        <w:rPr>
          <w:rFonts w:ascii="Times New Roman" w:hAnsi="Times New Roman"/>
          <w:b w:val="false"/>
          <w:i w:val="false"/>
          <w:color w:val="000000"/>
          <w:sz w:val="22"/>
        </w:rPr>
        <w:t xml:space="preserve">The board may grant parole to an inmate against whom a detainer has been placed by another jurisdiction. A person paroled who has a detainer lodged against the person under the provisions of Iowa Code chapter </w:t>
      </w:r>
      <w:hyperlink r:id="rId6">
        <w:r>
          <w:rPr>
            <w:rStyle w:val="Hyperlink"/>
            <w:rFonts w:ascii="Times New Roman" w:hAnsi="Times New Roman"/>
            <w:b w:val="false"/>
            <w:i w:val="false"/>
            <w:color w:val="000000"/>
            <w:sz w:val="22"/>
          </w:rPr>
          <w:t>821</w:t>
        </w:r>
      </w:hyperlink>
      <w:r>
        <w:rPr>
          <w:rFonts w:ascii="Times New Roman" w:hAnsi="Times New Roman"/>
          <w:b w:val="false"/>
          <w:i w:val="false"/>
          <w:color w:val="000000"/>
          <w:sz w:val="22"/>
        </w:rPr>
        <w:t xml:space="preserve"> may be paroled directly to the receiving state rather than to a residential facility operated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Parole to other states. </w:t>
      </w:r>
      <w:r>
        <w:rPr>
          <w:rFonts w:ascii="Times New Roman" w:hAnsi="Times New Roman"/>
          <w:b w:val="false"/>
          <w:i w:val="false"/>
          <w:color w:val="000000"/>
          <w:sz w:val="22"/>
        </w:rPr>
        <w:t xml:space="preserve">The board may grant parole to another state pursuant to the provisions of the interstate compact for adult offender supervision set forth in Iowa Code chapter </w:t>
      </w:r>
      <w:hyperlink r:id="rId7">
        <w:r>
          <w:rPr>
            <w:rStyle w:val="Hyperlink"/>
            <w:rFonts w:ascii="Times New Roman" w:hAnsi="Times New Roman"/>
            <w:b w:val="false"/>
            <w:i w:val="false"/>
            <w:color w:val="000000"/>
            <w:sz w:val="22"/>
          </w:rPr>
          <w:t>907B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205—8.3</w:t>
      </w:r>
      <w:r>
        <w:rPr>
          <w:rFonts w:ascii="Times New Roman" w:hAnsi="Times New Roman"/>
          <w:b/>
          <w:i w:val="false"/>
          <w:color w:val="000000"/>
          <w:sz w:val="22"/>
        </w:rPr>
        <w:t xml:space="preserve">(904A) </w:t>
      </w:r>
      <w:r>
        <w:rPr>
          <w:rFonts w:ascii="Times New Roman" w:hAnsi="Times New Roman"/>
          <w:b/>
          <w:i w:val="false"/>
          <w:color w:val="000000"/>
          <w:sz w:val="22"/>
        </w:rPr>
        <w:t xml:space="preserve">Risk assessment. </w:t>
      </w:r>
      <w:r>
        <w:rPr>
          <w:rFonts w:ascii="Times New Roman" w:hAnsi="Times New Roman"/>
          <w:b w:val="false"/>
          <w:i w:val="false"/>
          <w:color w:val="000000"/>
          <w:sz w:val="22"/>
        </w:rPr>
        <w:t>The board will assess the risk of an inmate committed to the custody of the department of corrections. The board will review a risk assessment instrument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205—8.4</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and work release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Case reviews. </w:t>
      </w:r>
      <w:r>
        <w:rPr>
          <w:rFonts w:ascii="Times New Roman" w:hAnsi="Times New Roman"/>
          <w:b w:val="false"/>
          <w:i w:val="false"/>
          <w:color w:val="000000"/>
          <w:sz w:val="22"/>
        </w:rPr>
        <w:t xml:space="preserve">The board may review the records of an inmate committed to the custody of the department of corrections and consider the inmate’s prospects for parole or work release at any time. The board will notify an inmate only if the inmate is granted parole or work release, except as provided in subrule </w:t>
      </w:r>
      <w:hyperlink r:id="rId8">
        <w:r>
          <w:rPr>
            <w:rStyle w:val="Hyperlink"/>
            <w:rFonts w:ascii="Times New Roman" w:hAnsi="Times New Roman"/>
            <w:b w:val="false"/>
            <w:i w:val="false"/>
            <w:color w:val="000000"/>
            <w:sz w:val="22"/>
          </w:rPr>
          <w:t>8.14(3)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The board may, in its discretion, interview an inmate committed to the custody of the department of corrections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Frequency of inmate review. </w:t>
      </w:r>
      <w:r>
        <w:rPr>
          <w:rFonts w:ascii="Times New Roman" w:hAnsi="Times New Roman"/>
          <w:b w:val="false"/>
          <w:i w:val="false"/>
          <w:color w:val="000000"/>
          <w:sz w:val="22"/>
        </w:rPr>
        <w:t>The board will review the status of each inmate who is eligible for parole annually as directed by the Iowa Code and shall provide the inmate with notice of its parole or work release decision. The board will not place an inmate on work release for longer than 6 months in any 12-month period unless approval is given by a majority of the full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Annual review not required. </w:t>
      </w:r>
      <w:r>
        <w:rPr>
          <w:rFonts w:ascii="Times New Roman" w:hAnsi="Times New Roman"/>
          <w:b w:val="false"/>
          <w:i w:val="false"/>
          <w:color w:val="000000"/>
          <w:sz w:val="22"/>
        </w:rPr>
        <w:t xml:space="preserve">Inmates who are not currently eligible for parole because of Iowa Code section </w:t>
      </w:r>
      <w:hyperlink r:id="rId9">
        <w:r>
          <w:rPr>
            <w:rStyle w:val="Hyperlink"/>
            <w:rFonts w:ascii="Times New Roman" w:hAnsi="Times New Roman"/>
            <w:b w:val="false"/>
            <w:i w:val="false"/>
            <w:color w:val="000000"/>
            <w:sz w:val="22"/>
          </w:rPr>
          <w:t>906.5(1)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excepted from the annual review requirement of subrule </w:t>
      </w:r>
      <w:hyperlink r:id="rId10">
        <w:r>
          <w:rPr>
            <w:rStyle w:val="Hyperlink"/>
            <w:rFonts w:ascii="Times New Roman" w:hAnsi="Times New Roman"/>
            <w:b w:val="false"/>
            <w:i w:val="false"/>
            <w:color w:val="000000"/>
            <w:sz w:val="22"/>
          </w:rPr>
          <w:t>8.4(3)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Department initiated review. </w:t>
      </w:r>
      <w:r>
        <w:rPr>
          <w:rFonts w:ascii="Times New Roman" w:hAnsi="Times New Roman"/>
          <w:b w:val="false"/>
          <w:i w:val="false"/>
          <w:color w:val="000000"/>
          <w:sz w:val="22"/>
        </w:rPr>
        <w:t>The department of corrections may recommend an inmate for parole or work release consideration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205—8.5</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and work release information. </w:t>
      </w:r>
      <w:r>
        <w:rPr>
          <w:rFonts w:ascii="Times New Roman" w:hAnsi="Times New Roman"/>
          <w:b w:val="false"/>
          <w:i w:val="false"/>
          <w:color w:val="000000"/>
          <w:sz w:val="22"/>
        </w:rPr>
        <w:t>The board will notify the department of corrections when an inmate is to be considered for parole or work release. The receipt of notice by the department of corrections constitutes a request for updated information on the inmate. The board will request information required for parole or work release decision making. The department of corrections will furnish updated information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205—8.6</w:t>
      </w:r>
      <w:r>
        <w:rPr>
          <w:rFonts w:ascii="Times New Roman" w:hAnsi="Times New Roman"/>
          <w:b/>
          <w:i w:val="false"/>
          <w:color w:val="000000"/>
          <w:sz w:val="22"/>
        </w:rPr>
        <w:t xml:space="preserve">(906) </w:t>
      </w:r>
      <w:r>
        <w:rPr>
          <w:rFonts w:ascii="Times New Roman" w:hAnsi="Times New Roman"/>
          <w:b/>
          <w:i w:val="false"/>
          <w:color w:val="000000"/>
          <w:sz w:val="22"/>
        </w:rPr>
        <w:t xml:space="preserve">Interview notice. </w:t>
      </w:r>
      <w:r>
        <w:rPr>
          <w:rFonts w:ascii="Times New Roman" w:hAnsi="Times New Roman"/>
          <w:b w:val="false"/>
          <w:i w:val="false"/>
          <w:color w:val="000000"/>
          <w:sz w:val="22"/>
        </w:rPr>
        <w:t>The board or the board’s designee will notify an inmate to be interviewed for parole or work release consideration of the time and purpose of the interview. Notice given to the department of corrections is considered notice to the inmate. Not less than 20 days prior to the interview, the board will also notify the department of corrections of the scheduling of the interview, and the department shall make the inmate available to the board for the interview. The interview may be conducted electronically by videoconference. However, if health, safety, or security conditions require moving the inmate to another institution or facility prior to the scheduled interview, the department of corrections will notify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205—8.7</w:t>
      </w:r>
      <w:r>
        <w:rPr>
          <w:rFonts w:ascii="Times New Roman" w:hAnsi="Times New Roman"/>
          <w:b/>
          <w:i w:val="false"/>
          <w:color w:val="000000"/>
          <w:sz w:val="22"/>
        </w:rPr>
        <w:t xml:space="preserve">(906) </w:t>
      </w:r>
      <w:r>
        <w:rPr>
          <w:rFonts w:ascii="Times New Roman" w:hAnsi="Times New Roman"/>
          <w:b/>
          <w:i w:val="false"/>
          <w:color w:val="000000"/>
          <w:sz w:val="22"/>
        </w:rPr>
        <w:t xml:space="preserve">Continuance. </w:t>
      </w:r>
      <w:r>
        <w:rPr>
          <w:rFonts w:ascii="Times New Roman" w:hAnsi="Times New Roman"/>
          <w:b w:val="false"/>
          <w:i w:val="false"/>
          <w:color w:val="000000"/>
          <w:sz w:val="22"/>
        </w:rPr>
        <w:t>The board may reschedule or continue a parole or work release interview upon its own motion or upon a showing of good cause, as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205—8.8</w:t>
      </w:r>
      <w:r>
        <w:rPr>
          <w:rFonts w:ascii="Times New Roman" w:hAnsi="Times New Roman"/>
          <w:b/>
          <w:i w:val="false"/>
          <w:color w:val="000000"/>
          <w:sz w:val="22"/>
        </w:rPr>
        <w:t xml:space="preserve">(906) </w:t>
      </w:r>
      <w:r>
        <w:rPr>
          <w:rFonts w:ascii="Times New Roman" w:hAnsi="Times New Roman"/>
          <w:b/>
          <w:i w:val="false"/>
          <w:color w:val="000000"/>
          <w:sz w:val="22"/>
        </w:rPr>
        <w:t xml:space="preserve">Factors considered in parole and work release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color w:val="000000"/>
          <w:sz w:val="22"/>
        </w:rPr>
        <w:t xml:space="preserve">Release considerations. </w:t>
      </w:r>
      <w:r>
        <w:rPr>
          <w:rFonts w:ascii="Times New Roman" w:hAnsi="Times New Roman"/>
          <w:b w:val="false"/>
          <w:i w:val="false"/>
          <w:color w:val="000000"/>
          <w:sz w:val="22"/>
        </w:rPr>
        <w:t>The board may consider the following factors and others deemed relevant to the parole and work release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Previous criminal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Nature and circumstances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Recidivism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Convictions or behavior indicating a propensity for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Participation in institutional programs, including academic and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Psychiatric and psychological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Length of time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serious or habitual institutional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Success or failure while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Prior parole or work release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Prior refusal to accept parole or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History of drug or alcohol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parole plan formulated by the inmate;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General attitude and behavior while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color w:val="000000"/>
          <w:sz w:val="22"/>
        </w:rPr>
        <w:t xml:space="preserve">Psychological and psychiatric evaluations. </w:t>
      </w:r>
      <w:r>
        <w:rPr>
          <w:rFonts w:ascii="Times New Roman" w:hAnsi="Times New Roman"/>
          <w:b w:val="false"/>
          <w:i w:val="false"/>
          <w:color w:val="000000"/>
          <w:sz w:val="22"/>
        </w:rPr>
        <w:t>The board may request a complete psychiatric or psychological evaluation of an inmate whenever, in the opinion of the board, it would be beneficial to the board’s decision. The board may routinely request an evaluation of an inmate convicted of a crime involving sexual abuse or personal violence or of an inmate who has committed assaults or violent acts while incarcerated.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205—8.9</w:t>
      </w:r>
      <w:r>
        <w:rPr>
          <w:rFonts w:ascii="Times New Roman" w:hAnsi="Times New Roman"/>
          <w:b/>
          <w:i w:val="false"/>
          <w:color w:val="000000"/>
          <w:sz w:val="22"/>
        </w:rPr>
        <w:t xml:space="preserve">(906) </w:t>
      </w:r>
      <w:r>
        <w:rPr>
          <w:rFonts w:ascii="Times New Roman" w:hAnsi="Times New Roman"/>
          <w:b/>
          <w:i w:val="false"/>
          <w:color w:val="000000"/>
          <w:sz w:val="22"/>
        </w:rPr>
        <w:t xml:space="preserve">Information disclosure to inmate. </w:t>
      </w:r>
      <w:r>
        <w:rPr>
          <w:rFonts w:ascii="Times New Roman" w:hAnsi="Times New Roman"/>
          <w:b w:val="false"/>
          <w:i w:val="false"/>
          <w:color w:val="000000"/>
          <w:sz w:val="22"/>
        </w:rPr>
        <w:t>The board normally considers only information that has been reviewed by the inmate, except when the board deems such review not feasible. The information is considered only if the following safeguards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The staff of the department of corrections discusses the information with the inmate and discloses to the inmate any factual allegations if the disclosure can be done in a manner that protects confidential sources.</w:t>
      </w:r>
    </w:p>
    <w:p>
      <w:pPr>
        <w:spacing w:before="0" w:after="0"/>
        <w:ind w:left="120"/>
        <w:jc w:val="both"/>
      </w:pPr>
      <w:r>
        <w:rPr>
          <w:rFonts w:ascii="Times New Roman" w:hAnsi="Times New Roman"/>
          <w:b w:val="false"/>
          <w:i w:val="false"/>
          <w:color w:val="000000"/>
          <w:sz w:val="22"/>
        </w:rPr>
        <w:t>Factual allegations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statements attributed to the inmate;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allegations of criminal or antisocial behavior with or without court conviction from within or without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allegations of threats made by the inmate;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allegations of drug addiction or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allegations regarding family history, employment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inmate’s disciplinary record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If any information from outside institutions under the supervision of the department of corrections is to be considered by the board, and it is necessary to protect the source, the inmate will be informed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substance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communications.</w:t>
      </w:r>
    </w:p>
    <w:p>
      <w:pPr>
        <w:spacing w:before="0" w:after="0"/>
        <w:ind w:left="120"/>
        <w:jc w:val="both"/>
      </w:pPr>
      <w:r>
        <w:rPr>
          <w:rFonts w:ascii="Times New Roman" w:hAnsi="Times New Roman"/>
          <w:b w:val="false"/>
          <w:i w:val="false"/>
          <w:color w:val="000000"/>
          <w:sz w:val="22"/>
        </w:rPr>
        <w:t>The inmate will be given the opportunity to respond to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w:t>
      </w:r>
      <w:r>
        <w:rPr>
          <w:rFonts w:ascii="Times New Roman" w:hAnsi="Times New Roman"/>
          <w:b w:val="false"/>
          <w:i w:val="false"/>
          <w:color w:val="000000"/>
          <w:sz w:val="22"/>
        </w:rPr>
        <w:t> </w:t>
      </w:r>
      <w:r>
        <w:rPr>
          <w:rFonts w:ascii="Times New Roman" w:hAnsi="Times New Roman"/>
          <w:b w:val="false"/>
          <w:i w:val="false"/>
          <w:color w:val="000000"/>
          <w:sz w:val="22"/>
        </w:rPr>
        <w:t>The inmate’s reports from institutions under the supervision of the department of corrections, including reception reports, progress reports, medical reports, and social information or reports, should, to the extent possible, be structured so as to separate opinion from factual information. The factual information will be made available for review by the inmate; opinion information shall be confidential. Psychiatric or psychological test results or diagnoses may be deemed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205—8.10</w:t>
      </w:r>
      <w:r>
        <w:rPr>
          <w:rFonts w:ascii="Times New Roman" w:hAnsi="Times New Roman"/>
          <w:b/>
          <w:i w:val="false"/>
          <w:color w:val="000000"/>
          <w:sz w:val="22"/>
        </w:rPr>
        <w:t xml:space="preserve">(906) </w:t>
      </w:r>
      <w:r>
        <w:rPr>
          <w:rFonts w:ascii="Times New Roman" w:hAnsi="Times New Roman"/>
          <w:b/>
          <w:i w:val="false"/>
          <w:color w:val="000000"/>
          <w:sz w:val="22"/>
        </w:rPr>
        <w:t xml:space="preserve">Interview procedure. </w:t>
      </w:r>
      <w:r>
        <w:rPr>
          <w:rFonts w:ascii="Times New Roman" w:hAnsi="Times New Roman"/>
          <w:b w:val="false"/>
          <w:i w:val="false"/>
          <w:color w:val="000000"/>
          <w:sz w:val="22"/>
        </w:rPr>
        <w:t>The board may, in its discretion, interview the inmate and consider the inmate’s records with respect to history, current situation, parole and work release prospects, and other pertinent matters. If the inmate is interviewed, the board or board panel will give the inmate ample opportunity to express views and present materials.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205—8.11</w:t>
      </w:r>
      <w:r>
        <w:rPr>
          <w:rFonts w:ascii="Times New Roman" w:hAnsi="Times New Roman"/>
          <w:b/>
          <w:i w:val="false"/>
          <w:color w:val="000000"/>
          <w:sz w:val="22"/>
        </w:rPr>
        <w:t xml:space="preserve">(906) </w:t>
      </w:r>
      <w:r>
        <w:rPr>
          <w:rFonts w:ascii="Times New Roman" w:hAnsi="Times New Roman"/>
          <w:b/>
          <w:i w:val="false"/>
          <w:color w:val="000000"/>
          <w:sz w:val="22"/>
        </w:rPr>
        <w:t xml:space="preserve">Case review procedure. </w:t>
      </w:r>
      <w:r>
        <w:rPr>
          <w:rFonts w:ascii="Times New Roman" w:hAnsi="Times New Roman"/>
          <w:b w:val="false"/>
          <w:i w:val="false"/>
          <w:color w:val="000000"/>
          <w:sz w:val="22"/>
        </w:rPr>
        <w:t>The board or board panel may consider the inmate’s records and other information with respect to history, current situation, parole and work release prospects, and other pertinent matters. A case review may take place at any time and is in addition to any other required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205—8.12</w:t>
      </w:r>
      <w:r>
        <w:rPr>
          <w:rFonts w:ascii="Times New Roman" w:hAnsi="Times New Roman"/>
          <w:b/>
          <w:i w:val="false"/>
          <w:color w:val="000000"/>
          <w:sz w:val="22"/>
        </w:rPr>
        <w:t xml:space="preserve">(906) </w:t>
      </w:r>
      <w:r>
        <w:rPr>
          <w:rFonts w:ascii="Times New Roman" w:hAnsi="Times New Roman"/>
          <w:b/>
          <w:i w:val="false"/>
          <w:color w:val="000000"/>
          <w:sz w:val="22"/>
        </w:rPr>
        <w:t xml:space="preserve">Conduct at parole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interview proceedings are open meetings and generally conducted by electronic means and governed by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panel or panel’s designee will maintain the decorum of the hearing and may refuse to admit or may expel anyone whose conduct is disorderly.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interviews are conducted electronically via videoconference. All interested persons should contact the board’s business office prior to the start of the hearing to ensure that the persons have the proper information to allow the persons to view the proceedings online. Such information will also be maintained on the board’s website: </w:t>
      </w:r>
      <w:hyperlink r:id="rId12">
        <w:r>
          <w:rPr>
            <w:rStyle w:val="Hyperlink"/>
            <w:rFonts w:ascii="Times New Roman" w:hAnsi="Times New Roman"/>
            <w:b w:val="false"/>
            <w:i w:val="false"/>
            <w:color w:val="000000"/>
            <w:sz w:val="22"/>
            <w:u w:val="single"/>
          </w:rPr>
          <w:t>bop.iowa.gov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val="false"/>
          <w:color w:val="000000"/>
          <w:sz w:val="22"/>
        </w:rPr>
        <w:t xml:space="preserve">Spectators, other than registered victims, do not participate in the parole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205—8.13</w:t>
      </w:r>
      <w:r>
        <w:rPr>
          <w:rFonts w:ascii="Times New Roman" w:hAnsi="Times New Roman"/>
          <w:b/>
          <w:i w:val="false"/>
          <w:color w:val="000000"/>
          <w:sz w:val="22"/>
        </w:rPr>
        <w:t xml:space="preserve">(904,906) </w:t>
      </w:r>
      <w:r>
        <w:rPr>
          <w:rFonts w:ascii="Times New Roman" w:hAnsi="Times New Roman"/>
          <w:b/>
          <w:i w:val="false"/>
          <w:color w:val="000000"/>
          <w:sz w:val="22"/>
        </w:rPr>
        <w:t xml:space="preserve">Parole authorized following work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The board grants parole to an inmate on work release status if at least three members of the board agree that the inmate can be released without detriment to the community or to the inmate. If three members do not agree, the board will deny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The board grants parole or work release to an inmate if at least three members of the board agree that the inmate can be released without detriment to the community or to the inmate. If three members do not agree, the board will deny parole or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The board may determine if an inmate is required to provide a physical specimen to be submitted for DNA profiling as a condition of parole or work release. The board considers the deterrent effect of DNA profiling, the likelihood of repeated violations by the offender, and the seriousness of the offense. When funds have been allocated from the general fund of the state, or funds have been provided by other public or private sources, the board will order DNA profiling, if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205—8.14</w:t>
      </w:r>
      <w:r>
        <w:rPr>
          <w:rFonts w:ascii="Times New Roman" w:hAnsi="Times New Roman"/>
          <w:b/>
          <w:i w:val="false"/>
          <w:color w:val="000000"/>
          <w:sz w:val="22"/>
        </w:rPr>
        <w:t xml:space="preserve">(906) </w:t>
      </w:r>
      <w:r>
        <w:rPr>
          <w:rFonts w:ascii="Times New Roman" w:hAnsi="Times New Roman"/>
          <w:b/>
          <w:i w:val="false"/>
          <w:color w:val="000000"/>
          <w:sz w:val="22"/>
        </w:rPr>
        <w:t xml:space="preserve">Notice of parole and work release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The board will give notice of a decision to grant parole by issuing an order for parole to the facility where the inmate in question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The board will give notice of a decision to grant work release by issuing an order for work release to the facility where the inmate in question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The board will give notice of a decision to deny parole or work release by issuing a notice of parole or work release denial to the facility where the inmate in question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The board need not disclose a decision to grant or deny parole or work release to anyone other than the inmate in question and the facility where the inmate is incarcerated until at least two working days have elapsed from the date of the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205—8.15</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authorized following work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val="false"/>
          <w:color w:val="000000"/>
          <w:sz w:val="22"/>
        </w:rPr>
        <w:t>The board may, at the time of granting work release, grant an offender parole contingent upon successful completion of work release. Whenever the board grants parole contingent upon successful completion of work release, it will indicate in the offender’s file any special conditions for parole and that parole is contingent upon successful completion of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val="false"/>
          <w:color w:val="000000"/>
          <w:sz w:val="22"/>
        </w:rPr>
        <w:t>The residential manager makes a determination whether the offender has successfully completed the work release. For the purpose of this rule, successful completion of work release means, at a minimum, the absence of any violent acts or threats of violence by the offender from the time the work release was authorized and either (1) the offender has completed all board-recommended programs or (2) the offender has enrolled in all recommended programs not completed and is making satisfactory progress toward completion and the facility is able to arrange for continued program participation while the offender is on parole. When an offender successfully completes the work release program, the residential manager shall certify that fact to the board in a written or electronic certification. Upon receipt of the certification, the chairperson or the chairperson’s designee will cause a parole order to be issued and forwarded to the residential facility where a parole agreement will be executed by the offender with such parole conditions as the board may require in its original release decision. Parole is effective only upon execution of the parole order and agreement by the parole officer and the parolee. No further action is required by the parole board for said parole. Before the parole becomes effective, the chairperson or the chairperson’s designee may refer the case back to the board for further consideration. Nothing in this rule shall prevent the parole board from considering revocations of work release or parole for violations of the parole order, agreement, or any other provision of law, as otherwise provided in the board’s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residential manager does not certify that an offender has successfully completed work release within the six-month limit established in Iowa Code section </w:t>
      </w:r>
      <w:hyperlink r:id="rId13">
        <w:r>
          <w:rPr>
            <w:rStyle w:val="Hyperlink"/>
            <w:rFonts w:ascii="Times New Roman" w:hAnsi="Times New Roman"/>
            <w:b w:val="false"/>
            <w:i w:val="false"/>
            <w:color w:val="000000"/>
            <w:sz w:val="22"/>
          </w:rPr>
          <w:t>904.904</w:t>
        </w:r>
      </w:hyperlink>
      <w:r>
        <w:rPr>
          <w:rFonts w:ascii="Times New Roman" w:hAnsi="Times New Roman"/>
          <w:b w:val="false"/>
          <w:i w:val="false"/>
          <w:color w:val="000000"/>
          <w:sz w:val="22"/>
        </w:rPr>
        <w:t>, and if the offender’s work release has not otherwise been revoked, the offender’s case will be reviewed by the board. The board may grant parole, extend work release, refer the offender back to prison, or take any other action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of parole contingent upon successful completion of work release will comply with subrules </w:t>
      </w:r>
      <w:hyperlink r:id="rId14">
        <w:r>
          <w:rPr>
            <w:rStyle w:val="Hyperlink"/>
            <w:rFonts w:ascii="Times New Roman" w:hAnsi="Times New Roman"/>
            <w:b w:val="false"/>
            <w:i w:val="false"/>
            <w:color w:val="000000"/>
            <w:sz w:val="22"/>
          </w:rPr>
          <w:t>8.13(1)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val="false"/>
          <w:color w:val="000000"/>
          <w:sz w:val="22"/>
        </w:rPr>
        <w:t>An offender who has been granted parole contingent upon successful completion of work release and who fails to successfully complete work release for whatever reason will be reviewed for further release consideration according to the board’s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granted under this rule is administered and supervised according to the board’s administrative rules, 205—Chapters </w:t>
      </w:r>
      <w:hyperlink r:id="rId16">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6/2/80, Notice 2/6/80—published 6/25/80, effective 7/30/80]</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4/5/83, Notice 2/16/83—published 4/27/83, effective 6/1/83]</w:t>
      </w:r>
    </w:p>
    <w:p>
      <w:pPr>
        <w:spacing w:before="0" w:after="0"/>
        <w:ind w:left="120"/>
        <w:jc w:val="center"/>
      </w:pPr>
      <w:r>
        <w:rPr>
          <w:rFonts w:ascii="Times New Roman" w:hAnsi="Times New Roman"/>
          <w:b w:val="false"/>
          <w:i w:val="false"/>
          <w:color w:val="000000"/>
          <w:sz w:val="21"/>
        </w:rPr>
        <w:t>[Filed 7/13/84, Notice 5/9/84—published 8/1/84, effective 9/4/84]</w:t>
      </w:r>
    </w:p>
    <w:p>
      <w:pPr>
        <w:spacing w:before="0" w:after="0"/>
        <w:ind w:left="120"/>
        <w:jc w:val="center"/>
      </w:pPr>
      <w:r>
        <w:rPr>
          <w:rFonts w:ascii="Times New Roman" w:hAnsi="Times New Roman"/>
          <w:b w:val="false"/>
          <w:i w:val="false"/>
          <w:color w:val="000000"/>
          <w:sz w:val="21"/>
        </w:rPr>
        <w:t>[Filed 2/11/85, Notice 10/10/84—published 2/27/85, effective 4/13/85]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0421C</w:t>
      </w:r>
      <w:r>
        <w:rPr>
          <w:rFonts w:ascii="Times New Roman" w:hAnsi="Times New Roman"/>
          <w:b w:val="false"/>
          <w:i w:val="false"/>
          <w:color w:val="000000"/>
          <w:sz w:val="21"/>
        </w:rPr>
        <w:t xml:space="preserve"> (Notice ARC 0320C,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8440C</w:t>
      </w:r>
      <w:r>
        <w:rPr>
          <w:rFonts w:ascii="Times New Roman" w:hAnsi="Times New Roman"/>
          <w:b w:val="false"/>
          <w:i w:val="false"/>
          <w:color w:val="000000"/>
          <w:sz w:val="21"/>
        </w:rPr>
        <w:t xml:space="preserve"> (Notice ARC 8212C, IAB 9/18/24)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2.12.pdf" Type="http://schemas.openxmlformats.org/officeDocument/2006/relationships/hyperlink" Id="rId5"/>
    <Relationship TargetMode="External" Target="https://www.legis.iowa.gov/docs/ico/chapter/821.pdf" Type="http://schemas.openxmlformats.org/officeDocument/2006/relationships/hyperlink" Id="rId6"/>
    <Relationship TargetMode="External" Target="https://www.legis.iowa.gov/docs/ico/chapter/907B.pdf" Type="http://schemas.openxmlformats.org/officeDocument/2006/relationships/hyperlink" Id="rId7"/>
    <Relationship TargetMode="External" Target="https://www.legis.iowa.gov/docs/iac/rule/205.8.14.pdf" Type="http://schemas.openxmlformats.org/officeDocument/2006/relationships/hyperlink" Id="rId8"/>
    <Relationship TargetMode="External" Target="https://www.legis.iowa.gov/docs/ico/chapter/906.5.pdf" Type="http://schemas.openxmlformats.org/officeDocument/2006/relationships/hyperlink" Id="rId9"/>
    <Relationship TargetMode="External" Target="https://www.legis.iowa.gov/docs/iac/rule/205.8.4.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bop.iowa.gov" Type="http://schemas.openxmlformats.org/officeDocument/2006/relationships/hyperlink" Id="rId12"/>
    <Relationship TargetMode="External" Target="https://www.legis.iowa.gov/docs/ico/chapter/904.904.pdf" Type="http://schemas.openxmlformats.org/officeDocument/2006/relationships/hyperlink" Id="rId13"/>
    <Relationship TargetMode="External" Target="https://www.legis.iowa.gov/docs/iac/rule/205.8.13.pdf" Type="http://schemas.openxmlformats.org/officeDocument/2006/relationships/hyperlink" Id="rId14"/>
    <Relationship TargetMode="External" Target="https://www.legis.iowa.gov/docs/iac/rule/205.8.13.pdf" Type="http://schemas.openxmlformats.org/officeDocument/2006/relationships/hyperlink" Id="rId15"/>
    <Relationship TargetMode="External" Target="https://www.legis.iowa.gov/docs/iac/chapter/205.10.pdf" Type="http://schemas.openxmlformats.org/officeDocument/2006/relationships/hyperlink" Id="rId16"/>
    <Relationship TargetMode="External" Target="https://www.legis.iowa.gov/docs/iac/chapter/205.11.pdf" Type="http://schemas.openxmlformats.org/officeDocument/2006/relationships/hyperlink" Id="rId17"/>
    <Relationship TargetMode="External" Target="https://www.legis.iowa.gov/docs/ico/chapter/904.pdf" Type="http://schemas.openxmlformats.org/officeDocument/2006/relationships/hyperlink" Id="rId18"/>
    <Relationship TargetMode="External" Target="https://www.legis.iowa.gov/docs/ico/chapter/904A.pdf" Type="http://schemas.openxmlformats.org/officeDocument/2006/relationships/hyperlink" Id="rId19"/>
    <Relationship TargetMode="External" Target="https://www.legis.iowa.gov/docs/ico/chapter/906.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