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GENERAL ADMINISTRATION</w:t>
      </w:r>
    </w:p>
    <w:p>
      <w:pPr>
        <w:spacing w:before="0" w:after="0"/>
        <w:ind w:left="120"/>
        <w:jc w:val="center"/>
      </w:pPr>
      <w:r>
        <w:rPr>
          <w:rFonts w:ascii="Times New Roman" w:hAnsi="Times New Roman"/>
          <w:b w:val="false"/>
          <w:i w:val="false"/>
          <w:color w:val="000000"/>
          <w:sz w:val="20"/>
        </w:rPr>
        <w:t>[Prior to 2/22/89, Parole, Board of[615] Chs 1 and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205—1.1</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parole is established by Iowa Code chapter </w:t>
      </w:r>
      <w:hyperlink r:id="rId5">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and consists of five members, including a chairperson and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the composition of the board and the selection of a chairperson, a vice chairperson, and board members are set out in Iowa Code chapter </w:t>
      </w:r>
      <w:hyperlink r:id="rId6">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As used in the rules of the board of parole, the term “board” means the Iowa board of parole.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205—1.2</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responsibilities. </w:t>
      </w:r>
      <w:r>
        <w:rPr>
          <w:rFonts w:ascii="Times New Roman" w:hAnsi="Times New Roman"/>
          <w:b w:val="false"/>
          <w:i w:val="false"/>
          <w:color w:val="000000"/>
          <w:sz w:val="22"/>
        </w:rPr>
        <w:t xml:space="preserve">The statutory responsibilities of the board are set out in Iowa Code chapter </w:t>
      </w:r>
      <w:hyperlink r:id="rId7">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205—1.3</w:t>
      </w:r>
      <w:r>
        <w:rPr>
          <w:rFonts w:ascii="Times New Roman" w:hAnsi="Times New Roman"/>
          <w:b/>
          <w:i w:val="false"/>
          <w:color w:val="000000"/>
          <w:sz w:val="22"/>
        </w:rPr>
        <w:t xml:space="preserve">(904A) </w:t>
      </w:r>
      <w:r>
        <w:rPr>
          <w:rFonts w:ascii="Times New Roman" w:hAnsi="Times New Roman"/>
          <w:b/>
          <w:i w:val="false"/>
          <w:color w:val="000000"/>
          <w:sz w:val="22"/>
        </w:rPr>
        <w:t xml:space="preserve">Business location and hours. </w:t>
      </w:r>
      <w:r>
        <w:rPr>
          <w:rFonts w:ascii="Times New Roman" w:hAnsi="Times New Roman"/>
          <w:b w:val="false"/>
          <w:i w:val="false"/>
          <w:color w:val="000000"/>
          <w:sz w:val="22"/>
        </w:rPr>
        <w:t>The board’s business office address is Jessie Parker Building, 510 East 12th Street, Des Moines, Iowa 50319; telephone 515.725.5757. Business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excluding legal holidays.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205—1.4</w:t>
      </w:r>
      <w:r>
        <w:rPr>
          <w:rFonts w:ascii="Times New Roman" w:hAnsi="Times New Roman"/>
          <w:b/>
          <w:i w:val="false"/>
          <w:color w:val="000000"/>
          <w:sz w:val="22"/>
        </w:rPr>
        <w:t xml:space="preserve">(904A) </w:t>
      </w:r>
      <w:r>
        <w:rPr>
          <w:rFonts w:ascii="Times New Roman" w:hAnsi="Times New Roman"/>
          <w:b/>
          <w:i w:val="false"/>
          <w:color w:val="000000"/>
          <w:sz w:val="22"/>
        </w:rPr>
        <w:t xml:space="preserve">Board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board may conduct the following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meeting. </w:t>
      </w:r>
      <w:r>
        <w:rPr>
          <w:rFonts w:ascii="Times New Roman" w:hAnsi="Times New Roman"/>
          <w:b w:val="false"/>
          <w:i w:val="false"/>
          <w:color w:val="000000"/>
          <w:sz w:val="22"/>
        </w:rPr>
        <w:t>The board may meet each month to consider rules, procedures and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hearing. </w:t>
      </w:r>
      <w:r>
        <w:rPr>
          <w:rFonts w:ascii="Times New Roman" w:hAnsi="Times New Roman"/>
          <w:b w:val="false"/>
          <w:i w:val="false"/>
          <w:color w:val="000000"/>
          <w:sz w:val="22"/>
        </w:rPr>
        <w:t>The board may conduct a public hearing to solicit input and comment on parole and work release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Board session. </w:t>
      </w:r>
      <w:r>
        <w:rPr>
          <w:rFonts w:ascii="Times New Roman" w:hAnsi="Times New Roman"/>
          <w:b w:val="false"/>
          <w:i w:val="false"/>
          <w:color w:val="000000"/>
          <w:sz w:val="22"/>
        </w:rPr>
        <w:t>Board sessions will be held each month at any location designated by the chairperson. A board session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case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Parole and work release interviews;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Parole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Parole discharge reviews;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Executive clemency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designates panels composed of at least three board members to conduct board sessions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Majority vote. </w:t>
      </w:r>
      <w:r>
        <w:rPr>
          <w:rFonts w:ascii="Times New Roman" w:hAnsi="Times New Roman"/>
          <w:b w:val="false"/>
          <w:i w:val="false"/>
          <w:color w:val="000000"/>
          <w:sz w:val="22"/>
        </w:rPr>
        <w:t>All questions are decided by a majority vote of the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board keeps copies of the minutes of board meetings on file at the business office. The list of individuals considered by the board for action constitutes the minutes of a board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color w:val="000000"/>
          <w:sz w:val="22"/>
        </w:rPr>
        <w:t xml:space="preserve">Public notice and agenda. </w:t>
      </w:r>
      <w:r>
        <w:rPr>
          <w:rFonts w:ascii="Times New Roman" w:hAnsi="Times New Roman"/>
          <w:b w:val="false"/>
          <w:i w:val="false"/>
          <w:color w:val="000000"/>
          <w:sz w:val="22"/>
        </w:rPr>
        <w:t xml:space="preserve">The board establishes the date, time, and location of all meetings. The board gives public notice of all meetings pursuant to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The board mails copies of, or provides by electronic means, notices of public meetings and a tentative agenda to news media that have so requested. When it is determined that an emergency meeting is required, the board notifies any news media that have requested notification as soon as the need for an emergency meeting has been decided. The nature of the emergency will be stated in the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color w:val="000000"/>
          <w:sz w:val="22"/>
        </w:rPr>
        <w:t xml:space="preserve">Public access to meetings. </w:t>
      </w:r>
      <w:r>
        <w:rPr>
          <w:rFonts w:ascii="Times New Roman" w:hAnsi="Times New Roman"/>
          <w:b w:val="false"/>
          <w:i w:val="false"/>
          <w:color w:val="000000"/>
          <w:sz w:val="22"/>
        </w:rPr>
        <w:t xml:space="preserve">Members of the public have access to board meetings as provided in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Persons wishing to appear before the board will submit their requests to the business office not less than three days prior to the business meeting. Members of the public wishing to attend board meetings conducted in department of corrections penal institutions should consult, in advance, department of corrections administrative rules relating to visitation and public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color w:val="000000"/>
          <w:sz w:val="22"/>
        </w:rPr>
        <w:t xml:space="preserve">Electronic meetings. </w:t>
      </w:r>
      <w:r>
        <w:rPr>
          <w:rFonts w:ascii="Times New Roman" w:hAnsi="Times New Roman"/>
          <w:b w:val="false"/>
          <w:i w:val="false"/>
          <w:color w:val="000000"/>
          <w:sz w:val="22"/>
        </w:rPr>
        <w:t xml:space="preserve">The board may conduct a meeting by electronic means as provided in Iowa Code section </w:t>
      </w:r>
      <w:hyperlink r:id="rId10">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8436C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904A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7/26/76, Notice 1/26/76—published 8/9/76, effective 9/13/76]</w:t>
      </w:r>
    </w:p>
    <w:p>
      <w:pPr>
        <w:spacing w:before="0" w:after="0"/>
        <w:ind w:left="120"/>
        <w:jc w:val="center"/>
      </w:pPr>
      <w:r>
        <w:rPr>
          <w:rFonts w:ascii="Times New Roman" w:hAnsi="Times New Roman"/>
          <w:b w:val="false"/>
          <w:i w:val="false"/>
          <w:color w:val="000000"/>
          <w:sz w:val="21"/>
        </w:rPr>
        <w:t>[Filed 2/7/79, Notices 10/4/78, 11/1/78—published 3/7/79, effective 4/11/79]</w:t>
      </w:r>
    </w:p>
    <w:p>
      <w:pPr>
        <w:spacing w:before="0" w:after="0"/>
        <w:ind w:left="120"/>
        <w:jc w:val="center"/>
      </w:pPr>
      <w:r>
        <w:rPr>
          <w:rFonts w:ascii="Times New Roman" w:hAnsi="Times New Roman"/>
          <w:b w:val="false"/>
          <w:i w:val="false"/>
          <w:color w:val="000000"/>
          <w:sz w:val="21"/>
        </w:rPr>
        <w:t>[Filed 11/17/81, Notice 8/5/81—published 12/9/81, effective 1/14/82]</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9/21/06, Notice 7/5/06—published 10/11/06, effective 11/15/06]</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8436C</w:t>
      </w:r>
      <w:r>
        <w:rPr>
          <w:rFonts w:ascii="Times New Roman" w:hAnsi="Times New Roman"/>
          <w:b w:val="false"/>
          <w:i w:val="false"/>
          <w:color w:val="000000"/>
          <w:sz w:val="21"/>
        </w:rPr>
        <w:t xml:space="preserve"> (Notice ARC 8209C, IAB 9/18/24)</w:t>
      </w:r>
      <w:r>
        <w:rPr>
          <w:rFonts w:ascii="Times New Roman" w:hAnsi="Times New Roman"/>
          <w:b w:val="false"/>
          <w:i w:val="false"/>
          <w:color w:val="000000"/>
          <w:sz w:val="21"/>
        </w:rPr>
        <w:t>, IAB 12/11/24, effective 1/15/25]</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4A.pdf" Type="http://schemas.openxmlformats.org/officeDocument/2006/relationships/hyperlink" Id="rId5"/>
    <Relationship TargetMode="External" Target="https://www.legis.iowa.gov/docs/ico/chapter/904A.pdf" Type="http://schemas.openxmlformats.org/officeDocument/2006/relationships/hyperlink" Id="rId6"/>
    <Relationship TargetMode="External" Target="https://www.legis.iowa.gov/docs/ico/chapter/904A.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8.pdf" Type="http://schemas.openxmlformats.org/officeDocument/2006/relationships/hyperlink" Id="rId10"/>
    <Relationship TargetMode="External" Target="https://www.legis.iowa.gov/docs/ico/chapter/904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