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PAROLE</w:t>
      </w:r>
    </w:p>
    <w:p>
      <w:pPr>
        <w:spacing w:before="0" w:after="0"/>
        <w:ind w:left="120"/>
        <w:jc w:val="center"/>
      </w:pPr>
      <w:r>
        <w:rPr>
          <w:rFonts w:ascii="Times New Roman" w:hAnsi="Times New Roman"/>
          <w:b w:val="false"/>
          <w:i w:val="false"/>
          <w:color w:val="000000"/>
          <w:sz w:val="14"/>
        </w:rPr>
        <w:t>[Prior to 10/1/83, Social Services[770] Ch 26]</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201—45.1</w:t>
      </w:r>
      <w:r>
        <w:rPr>
          <w:rFonts w:ascii="Times New Roman" w:hAnsi="Times New Roman"/>
          <w:b/>
          <w:i w:val="false"/>
          <w:color w:val="000000"/>
          <w:sz w:val="22"/>
        </w:rPr>
        <w:t xml:space="preserve">(906)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Persons committed to the director of the department of corrections and granted parole by the Iowa board of parole shall be supervised by the judicial district departments of correctional services. The district departments shall impose conditions of parole as established and approved by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Effective date/parole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Parole is effective only upon the acceptance of the terms of parole as evidenced by the signing of the standard parole agreement form by the parolee before a district department employee. The parole agreement shall be issued only upon the written order of the board of parole and shall not be issued prior to the establishment of an approved parole plan. The parolee may not be released on parole prior to the execution of the parole agreement. The parole agreement shall contain the conditions of parole and shall contain the parolee’s reporting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Districts shall have statewide approved written policies and procedures which ensure the use of the statewide case management system. Districts will use the statewide approved and validated risk/needs instrument that assesses and addresses client risk, criminogenic needs and protective factors in an effort to mitigate the probability for future violence, criminal behavior and victimization. By stratifying risk using the risk-need-responsivity model, districts will focus the majority of their resources on clients who pose a greater risk to reoffend ensuring that all moderate-high risk clients receive evidence-based case planning and case management using the risk-need-responsivity model and core correctional practices to include: ongoing risk needs assessment, case plan follow-up and documentation, transfer of records, staff training, and continuous quality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to ensure the delivery of parole services which are consistent with statewide policy and expectations.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color w:val="000000"/>
          <w:sz w:val="22"/>
        </w:rPr>
        <w:t xml:space="preserve">Earned and honor time. </w:t>
      </w:r>
      <w:r>
        <w:rPr>
          <w:rFonts w:ascii="Times New Roman" w:hAnsi="Times New Roman"/>
          <w:b w:val="false"/>
          <w:i w:val="false"/>
          <w:color w:val="000000"/>
          <w:sz w:val="22"/>
        </w:rPr>
        <w:t>Earned and honor time shall be awarded in accordance with department of corrections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w:t>
      </w:r>
      <w:r>
        <w:rPr>
          <w:rFonts w:ascii="Times New Roman" w:hAnsi="Times New Roman"/>
          <w:b w:val="false"/>
          <w:i w:val="false"/>
          <w:color w:val="000000"/>
          <w:sz w:val="22"/>
        </w:rPr>
        <w:t> </w:t>
      </w:r>
      <w:r>
        <w:rPr>
          <w:rFonts w:ascii="Times New Roman" w:hAnsi="Times New Roman"/>
          <w:b w:val="false"/>
          <w:i/>
          <w:color w:val="000000"/>
          <w:sz w:val="22"/>
        </w:rPr>
        <w:t xml:space="preserve">Furlough. </w:t>
      </w:r>
      <w:r>
        <w:rPr>
          <w:rFonts w:ascii="Times New Roman" w:hAnsi="Times New Roman"/>
          <w:b w:val="false"/>
          <w:i w:val="false"/>
          <w:color w:val="000000"/>
          <w:sz w:val="22"/>
        </w:rPr>
        <w:t xml:space="preserve">Parolees may be granted a community placement furlough to their prospective parole area upon request by the assigned supervising parole officer pursuant to 201—subparagraph </w:t>
      </w:r>
      <w:hyperlink r:id="rId5">
        <w:r>
          <w:rPr>
            <w:rStyle w:val="Hyperlink"/>
            <w:rFonts w:ascii="Times New Roman" w:hAnsi="Times New Roman"/>
            <w:b w:val="false"/>
            <w:i w:val="false"/>
            <w:color w:val="000000"/>
            <w:sz w:val="22"/>
          </w:rPr>
          <w:t>20.12(5)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The district departments shall have written policy and procedures on furloughs.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w:t>
      </w:r>
      <w:r>
        <w:rPr>
          <w:rFonts w:ascii="Times New Roman" w:hAnsi="Times New Roman"/>
          <w:b w:val="false"/>
          <w:i w:val="false"/>
          <w:color w:val="000000"/>
          <w:sz w:val="22"/>
        </w:rPr>
        <w:t> </w:t>
      </w:r>
      <w:r>
        <w:rPr>
          <w:rFonts w:ascii="Times New Roman" w:hAnsi="Times New Roman"/>
          <w:b w:val="false"/>
          <w:i/>
          <w:color w:val="000000"/>
          <w:sz w:val="22"/>
        </w:rPr>
        <w:t xml:space="preserve">Parole release funds. </w:t>
      </w:r>
      <w:r>
        <w:rPr>
          <w:rFonts w:ascii="Times New Roman" w:hAnsi="Times New Roman"/>
          <w:b w:val="false"/>
          <w:i w:val="false"/>
          <w:color w:val="000000"/>
          <w:sz w:val="22"/>
        </w:rPr>
        <w:t xml:space="preserve">Clients approved for parole will receive clothing or a clothing allowance, money and transportation in accordance with the provisions of Iowa Code section </w:t>
      </w:r>
      <w:hyperlink r:id="rId6">
        <w:r>
          <w:rPr>
            <w:rStyle w:val="Hyperlink"/>
            <w:rFonts w:ascii="Times New Roman" w:hAnsi="Times New Roman"/>
            <w:b w:val="false"/>
            <w:i w:val="false"/>
            <w:color w:val="000000"/>
            <w:sz w:val="22"/>
          </w:rPr>
          <w:t>906.9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w:t>
      </w:r>
      <w:r>
        <w:rPr>
          <w:rFonts w:ascii="Times New Roman" w:hAnsi="Times New Roman"/>
          <w:b w:val="false"/>
          <w:i w:val="false"/>
          <w:color w:val="000000"/>
          <w:sz w:val="22"/>
        </w:rPr>
        <w:t> </w:t>
      </w:r>
      <w:r>
        <w:rPr>
          <w:rFonts w:ascii="Times New Roman" w:hAnsi="Times New Roman"/>
          <w:b w:val="false"/>
          <w:i/>
          <w:color w:val="000000"/>
          <w:sz w:val="22"/>
        </w:rPr>
        <w:t xml:space="preserve">Medical services. </w:t>
      </w:r>
      <w:r>
        <w:rPr>
          <w:rFonts w:ascii="Times New Roman" w:hAnsi="Times New Roman"/>
          <w:b w:val="false"/>
          <w:i w:val="false"/>
          <w:color w:val="000000"/>
          <w:sz w:val="22"/>
        </w:rPr>
        <w:t>The district department shall have written policies and procedures which govern the medical care of parolees in case of emergencies, sudden illnesses, accidents,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45.1(7)</w:t>
      </w:r>
      <w:r>
        <w:rPr>
          <w:rFonts w:ascii="Times New Roman" w:hAnsi="Times New Roman"/>
          <w:b w:val="false"/>
          <w:i w:val="false"/>
          <w:color w:val="000000"/>
          <w:sz w:val="22"/>
        </w:rPr>
        <w:t> </w:t>
      </w:r>
      <w:r>
        <w:rPr>
          <w:rFonts w:ascii="Times New Roman" w:hAnsi="Times New Roman"/>
          <w:b w:val="false"/>
          <w:i/>
          <w:color w:val="000000"/>
          <w:sz w:val="22"/>
        </w:rPr>
        <w:t xml:space="preserve">Pharmaceuticals. </w:t>
      </w:r>
      <w:r>
        <w:rPr>
          <w:rFonts w:ascii="Times New Roman" w:hAnsi="Times New Roman"/>
          <w:b w:val="false"/>
          <w:i w:val="false"/>
          <w:color w:val="000000"/>
          <w:sz w:val="22"/>
        </w:rPr>
        <w:t xml:space="preserve">Except in an emergency pursuant to Iowa Code section </w:t>
      </w:r>
      <w:hyperlink r:id="rId7">
        <w:r>
          <w:rPr>
            <w:rStyle w:val="Hyperlink"/>
            <w:rFonts w:ascii="Times New Roman" w:hAnsi="Times New Roman"/>
            <w:b w:val="false"/>
            <w:i w:val="false"/>
            <w:color w:val="000000"/>
            <w:sz w:val="22"/>
          </w:rPr>
          <w:t>613.17</w:t>
        </w:r>
      </w:hyperlink>
      <w:r>
        <w:rPr>
          <w:rFonts w:ascii="Times New Roman" w:hAnsi="Times New Roman"/>
          <w:b w:val="false"/>
          <w:i w:val="false"/>
          <w:color w:val="000000"/>
          <w:sz w:val="22"/>
        </w:rPr>
        <w:t>, the district department personnel shall not administer or dispense any prescription drugs, including antabuse, to parolees.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district department shall have a written grievance procedure for all parolees which shall include the method by which all parolees are notified of the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4152C</w:t>
      </w:r>
      <w:r>
        <w:rPr>
          <w:rFonts w:ascii="Times New Roman" w:hAnsi="Times New Roman"/>
          <w:b w:val="false"/>
          <w:i w:val="false"/>
          <w:color w:val="000000"/>
          <w:sz w:val="16"/>
        </w:rPr>
        <w:t>, IAB 12/5/18,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7006C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201—45.2</w:t>
      </w:r>
      <w:r>
        <w:rPr>
          <w:rFonts w:ascii="Times New Roman" w:hAnsi="Times New Roman"/>
          <w:b/>
          <w:i w:val="false"/>
          <w:color w:val="000000"/>
          <w:sz w:val="22"/>
        </w:rPr>
        <w:t xml:space="preserve">(906) </w:t>
      </w:r>
      <w:r>
        <w:rPr>
          <w:rFonts w:ascii="Times New Roman" w:hAnsi="Times New Roman"/>
          <w:b/>
          <w:i w:val="false"/>
          <w:color w:val="000000"/>
          <w:sz w:val="22"/>
        </w:rPr>
        <w:t xml:space="preserve">Conditions of parole. </w:t>
      </w:r>
      <w:r>
        <w:rPr>
          <w:rFonts w:ascii="Times New Roman" w:hAnsi="Times New Roman"/>
          <w:b w:val="false"/>
          <w:i w:val="false"/>
          <w:color w:val="000000"/>
          <w:sz w:val="22"/>
        </w:rPr>
        <w:t xml:space="preserve">Rescinded </w:t>
      </w:r>
      <w:r>
        <w:rPr>
          <w:rFonts w:ascii="Times New Roman" w:hAnsi="Times New Roman"/>
          <w:b/>
          <w:i w:val="false"/>
          <w:color w:val="000000"/>
          <w:sz w:val="22"/>
        </w:rPr>
        <w:t>ARC 7006C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5/3/23</w:t>
      </w:r>
      <w:r>
        <w:rPr>
          <w:rFonts w:ascii="Times New Roman" w:hAnsi="Times New Roman"/>
          <w:b w:val="false"/>
          <w:i w:val="false"/>
          <w:color w:val="000000"/>
          <w:sz w:val="22"/>
        </w:rPr>
        <w:t xml:space="preserve">, effective 6/7/23. </w:t>
      </w:r>
    </w:p>
    <w:p>
      <w:pPr>
        <w:spacing w:before="0" w:after="0"/>
        <w:ind w:left="120"/>
        <w:jc w:val="both"/>
      </w:pPr>
      <w:r>
        <w:rPr>
          <w:rFonts w:ascii="Times New Roman" w:hAnsi="Times New Roman"/>
          <w:b/>
          <w:i w:val="false"/>
          <w:color w:val="000000"/>
          <w:sz w:val="22"/>
        </w:rPr>
        <w:t>201—45.3</w:t>
      </w:r>
      <w:r>
        <w:rPr>
          <w:rFonts w:ascii="Times New Roman" w:hAnsi="Times New Roman"/>
          <w:b/>
          <w:i w:val="false"/>
          <w:color w:val="000000"/>
          <w:sz w:val="22"/>
        </w:rPr>
        <w:t xml:space="preserve">(910) </w:t>
      </w:r>
      <w:r>
        <w:rPr>
          <w:rFonts w:ascii="Times New Roman" w:hAnsi="Times New Roman"/>
          <w:b/>
          <w:i w:val="false"/>
          <w:color w:val="000000"/>
          <w:sz w:val="22"/>
        </w:rPr>
        <w:t xml:space="preserve">Restitution.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Restitution plan of payment. </w:t>
      </w:r>
      <w:r>
        <w:rPr>
          <w:rFonts w:ascii="Times New Roman" w:hAnsi="Times New Roman"/>
          <w:b w:val="false"/>
          <w:i w:val="false"/>
          <w:color w:val="000000"/>
          <w:sz w:val="22"/>
        </w:rPr>
        <w:t>There shall be a restitution plan of payment developed on those parolees who have been court ordered to pay restitution unless the court-ordered restitution plan of payment has been completed. Factors which must be considered in developing the restitution plan of payment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 income/employment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Family circumstances</w:t>
      </w:r>
    </w:p>
    <w:p>
      <w:pPr>
        <w:spacing w:before="0" w:after="0"/>
        <w:ind w:left="120"/>
        <w:jc w:val="both"/>
      </w:pPr>
      <w:r>
        <w:rPr>
          <w:rFonts w:ascii="Times New Roman" w:hAnsi="Times New Roman"/>
          <w:b w:val="false"/>
          <w:i w:val="false"/>
          <w:color w:val="000000"/>
          <w:sz w:val="22"/>
        </w:rPr>
        <w:t>The district department shall have written policies and procedures governing the development and modification of the restitution plan of payment. Final approval of the restitution plan of payment shall be by the district director.</w:t>
      </w:r>
    </w:p>
    <w:p>
      <w:pPr>
        <w:spacing w:before="0" w:after="0"/>
        <w:ind w:left="120"/>
        <w:jc w:val="both"/>
      </w:pPr>
      <w:r>
        <w:rPr>
          <w:rFonts w:ascii="Times New Roman" w:hAnsi="Times New Roman"/>
          <w:b w:val="false"/>
          <w:i w:val="false"/>
          <w:color w:val="000000"/>
          <w:sz w:val="22"/>
        </w:rPr>
        <w:t>The approved restitution plan of payment shall be forwarded to the appropriate clerk of court by the district department or to the person responsible for collection, if collections are performed by the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parolee shall submit payments in a timely manner to the clerk of court or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payments are made to the clerk of the district court, the parolee shall provide the district department proof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will provide statements to the appropriate clerks of court when community service is ordered in lieu of financial restitution.</w:t>
      </w:r>
    </w:p>
    <w:p>
      <w:pPr>
        <w:spacing w:before="0" w:after="0"/>
        <w:ind w:left="120"/>
        <w:jc w:val="both"/>
      </w:pPr>
      <w:r>
        <w:rPr>
          <w:rFonts w:ascii="Times New Roman" w:hAnsi="Times New Roman"/>
          <w:b/>
          <w:i w:val="false"/>
          <w:color w:val="000000"/>
          <w:sz w:val="22"/>
        </w:rPr>
        <w:t>201—45.4</w:t>
      </w:r>
      <w:r>
        <w:rPr>
          <w:rFonts w:ascii="Times New Roman" w:hAnsi="Times New Roman"/>
          <w:b/>
          <w:i w:val="false"/>
          <w:color w:val="000000"/>
          <w:sz w:val="22"/>
        </w:rPr>
        <w:t xml:space="preserve">(908) </w:t>
      </w:r>
      <w:r>
        <w:rPr>
          <w:rFonts w:ascii="Times New Roman" w:hAnsi="Times New Roman"/>
          <w:b/>
          <w:i w:val="false"/>
          <w:color w:val="000000"/>
          <w:sz w:val="22"/>
        </w:rPr>
        <w:t xml:space="preserve">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Offenses. </w:t>
      </w:r>
      <w:r>
        <w:rPr>
          <w:rFonts w:ascii="Times New Roman" w:hAnsi="Times New Roman"/>
          <w:b w:val="false"/>
          <w:i w:val="false"/>
          <w:color w:val="000000"/>
          <w:sz w:val="22"/>
        </w:rPr>
        <w:t>The district department may at any time report violations of the conditions of parole to the board of parole.</w:t>
      </w:r>
    </w:p>
    <w:p>
      <w:pPr>
        <w:spacing w:before="0" w:after="0"/>
        <w:ind w:left="120"/>
        <w:jc w:val="both"/>
      </w:pPr>
      <w:r>
        <w:rPr>
          <w:rFonts w:ascii="Times New Roman" w:hAnsi="Times New Roman"/>
          <w:b w:val="false"/>
          <w:i w:val="false"/>
          <w:color w:val="000000"/>
          <w:sz w:val="22"/>
        </w:rPr>
        <w:t xml:space="preserve">Within five business days of receipt of knowledge of the commission of required reportable violations as designated by the board of parole, the supervising officer shall make written report to the board of parole of the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Detention. </w:t>
      </w:r>
      <w:r>
        <w:rPr>
          <w:rFonts w:ascii="Times New Roman" w:hAnsi="Times New Roman"/>
          <w:b w:val="false"/>
          <w:i w:val="false"/>
          <w:color w:val="000000"/>
          <w:sz w:val="22"/>
        </w:rPr>
        <w:t xml:space="preserve">A parole officer, with supervisory approval, may arrest a parolee when there is probable cause to believe the parolee has violated conditions of parole which may result in parole revocation. The arresting agent may request temporary detention of the parolee in a local detention facility. In such cases, all actions of the agent shall be in accordance with Iowa Code sections </w:t>
      </w:r>
      <w:hyperlink r:id="rId8">
        <w:r>
          <w:rPr>
            <w:rStyle w:val="Hyperlink"/>
            <w:rFonts w:ascii="Times New Roman" w:hAnsi="Times New Roman"/>
            <w:b w:val="false"/>
            <w:i w:val="false"/>
            <w:color w:val="000000"/>
            <w:sz w:val="22"/>
          </w:rPr>
          <w:t>908.1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Absconding from supervision. </w:t>
      </w:r>
      <w:r>
        <w:rPr>
          <w:rFonts w:ascii="Times New Roman" w:hAnsi="Times New Roman"/>
          <w:b w:val="false"/>
          <w:i w:val="false"/>
          <w:color w:val="000000"/>
          <w:sz w:val="22"/>
        </w:rPr>
        <w:t>Upon receipt of information that a parolee has absconded from supervision, a preliminary parole violation information shall immediately be filed with a judge, an associate judge, or a magistrate and a warrant for arrest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9097B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201—45.5</w:t>
      </w:r>
      <w:r>
        <w:rPr>
          <w:rFonts w:ascii="Times New Roman" w:hAnsi="Times New Roman"/>
          <w:b/>
          <w:i w:val="false"/>
          <w:color w:val="000000"/>
          <w:sz w:val="22"/>
        </w:rPr>
        <w:t xml:space="preserve">(906) </w:t>
      </w:r>
      <w:r>
        <w:rPr>
          <w:rFonts w:ascii="Times New Roman" w:hAnsi="Times New Roman"/>
          <w:b/>
          <w:i w:val="false"/>
          <w:color w:val="000000"/>
          <w:sz w:val="22"/>
        </w:rPr>
        <w:t xml:space="preserve">Voluntary return to institution. </w:t>
      </w:r>
      <w:r>
        <w:rPr>
          <w:rFonts w:ascii="Times New Roman" w:hAnsi="Times New Roman"/>
          <w:b w:val="false"/>
          <w:i w:val="false"/>
          <w:color w:val="000000"/>
          <w:sz w:val="22"/>
        </w:rPr>
        <w:t>A parolee may return to an Iowa department of corrections institution for a period not to exceed 90 days for treatment or further training, provided a voluntary return agreement is approved and signed by the district department and the warden of said institution and by the parolee prior to the return. A parolee’s voluntary return to the institution will also require a hearing with the parole board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201—45.6</w:t>
      </w:r>
      <w:r>
        <w:rPr>
          <w:rFonts w:ascii="Times New Roman" w:hAnsi="Times New Roman"/>
          <w:b/>
          <w:i w:val="false"/>
          <w:color w:val="000000"/>
          <w:sz w:val="22"/>
        </w:rPr>
        <w:t xml:space="preserve">(906) </w:t>
      </w:r>
      <w:r>
        <w:rPr>
          <w:rFonts w:ascii="Times New Roman" w:hAnsi="Times New Roman"/>
          <w:b/>
          <w:i w:val="false"/>
          <w:color w:val="000000"/>
          <w:sz w:val="22"/>
        </w:rPr>
        <w:t xml:space="preserve">Discharge from parole. </w:t>
      </w:r>
      <w:r>
        <w:rPr>
          <w:rFonts w:ascii="Times New Roman" w:hAnsi="Times New Roman"/>
          <w:b w:val="false"/>
          <w:i w:val="false"/>
          <w:color w:val="000000"/>
          <w:sz w:val="22"/>
        </w:rPr>
        <w:t xml:space="preserve">The parole officer shall make application for discharge to the district director following the parolee’s satisfactory adjustment under supervision and upon the parole officer’s determination that the parolee is able and willing to perform in a law-abiding fashion without further supervision. Discharge from parole may be granted prior to expiration of sentence, except for persons convicted for violation of Iowa Code section </w:t>
      </w:r>
      <w:hyperlink r:id="rId10">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709.8</w:t>
        </w:r>
      </w:hyperlink>
      <w:r>
        <w:rPr>
          <w:rFonts w:ascii="Times New Roman" w:hAnsi="Times New Roman"/>
          <w:b w:val="false"/>
          <w:i w:val="false"/>
          <w:color w:val="000000"/>
          <w:sz w:val="22"/>
        </w:rPr>
        <w:t>, on or with a child. Such persons shall not be discharged until expiration of maximum sentence. Discharge granted by the district director shall terminate the person’s sentence.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Recommendation. The recommendation for discharge from parole as submitted by the supervising officer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Parolee’s adjustment to parole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offenses committed by the parolee while under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Violation of any parole conditions set by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Abuse of alcohol or drugs while on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Restitution accomplished by the parolee.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reasons why the discharge is appropriate, based on the consideration of the parolee’s level of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Upon discharge, the parole officer shall give the discharged parolee the standard information to be completed and submitted if the ex-parolee seeks restoration of citizenship rights. If the ex-parolee seeks restoration within 60 days of discharge, the parole agent shall recommend for or against the restoration. The standard information shall be forwarded to the board of parole by the person seeking the restoration.</w:t>
      </w:r>
    </w:p>
    <w:p>
      <w:pPr>
        <w:spacing w:before="0" w:after="0"/>
        <w:ind w:left="120"/>
        <w:jc w:val="both"/>
      </w:pPr>
      <w:r>
        <w:rPr>
          <w:rFonts w:ascii="Times New Roman" w:hAnsi="Times New Roman"/>
          <w:b w:val="false"/>
          <w:i w:val="false"/>
          <w:color w:val="000000"/>
          <w:sz w:val="22"/>
        </w:rPr>
        <w:t xml:space="preserve">Under no circumstances shall parole supervision extend beyond the expiration of a parolee’s sentence. (Iowa Code section </w:t>
      </w:r>
      <w:hyperlink r:id="rId13">
        <w:r>
          <w:rPr>
            <w:rStyle w:val="Hyperlink"/>
            <w:rFonts w:ascii="Times New Roman" w:hAnsi="Times New Roman"/>
            <w:b w:val="false"/>
            <w:i w:val="false"/>
            <w:color w:val="000000"/>
            <w:sz w:val="22"/>
          </w:rPr>
          <w:t>906.15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val="false"/>
          <w:color w:val="000000"/>
          <w:sz w:val="22"/>
        </w:rPr>
        <w:t>After 60 days an ex-parolee may request restoration of citizenship by contacting the governor’s office to request Executive Clemency forms.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201—45.7</w:t>
      </w:r>
      <w:r>
        <w:rPr>
          <w:rFonts w:ascii="Times New Roman" w:hAnsi="Times New Roman"/>
          <w:b/>
          <w:i w:val="false"/>
          <w:color w:val="000000"/>
          <w:sz w:val="22"/>
        </w:rPr>
        <w:t xml:space="preserve">(905) </w:t>
      </w:r>
      <w:r>
        <w:rPr>
          <w:rFonts w:ascii="Times New Roman" w:hAnsi="Times New Roman"/>
          <w:b/>
          <w:i w:val="false"/>
          <w:color w:val="000000"/>
          <w:sz w:val="22"/>
        </w:rPr>
        <w:t xml:space="preserve">Supervision enrollment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preparation, submission, review, modification, collection, and retention of supervision enrollment fees, in accordance with Iowa Code section </w:t>
      </w:r>
      <w:hyperlink r:id="rId14">
        <w:r>
          <w:rPr>
            <w:rStyle w:val="Hyperlink"/>
            <w:rFonts w:ascii="Times New Roman" w:hAnsi="Times New Roman"/>
            <w:b w:val="false"/>
            <w:i w:val="false"/>
            <w:color w:val="000000"/>
            <w:sz w:val="22"/>
          </w:rPr>
          <w:t>905.14(3)</w:t>
        </w:r>
      </w:hyperlink>
      <w:r>
        <w:rPr>
          <w:rFonts w:ascii="Times New Roman" w:hAnsi="Times New Roman"/>
          <w:b w:val="false"/>
          <w:i w:val="false"/>
          <w:color w:val="000000"/>
          <w:sz w:val="22"/>
        </w:rPr>
        <w:t>. Payments shall be made directly to the supervising judicial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and procedures governing the waiver of collection of supervision enrollment fees for persons determined to be unable to pay, in accordance with Iowa Code section </w:t>
      </w:r>
      <w:hyperlink r:id="rId15">
        <w:r>
          <w:rPr>
            <w:rStyle w:val="Hyperlink"/>
            <w:rFonts w:ascii="Times New Roman" w:hAnsi="Times New Roman"/>
            <w:b w:val="false"/>
            <w:i w:val="false"/>
            <w:color w:val="000000"/>
            <w:sz w:val="22"/>
          </w:rPr>
          <w:t>905.14(3)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collection and retention of supervision enrollment fees for persons transferring to another judicial district. Fees will be collected by the supervising judicial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collection of supervision enrollment fees for persons who receive additional supervisions.</w:t>
      </w:r>
    </w:p>
    <w:p>
      <w:pPr>
        <w:spacing w:before="0" w:after="0"/>
        <w:ind w:left="120"/>
        <w:jc w:val="both"/>
      </w:pPr>
      <w:r>
        <w:rPr>
          <w:rFonts w:ascii="Times New Roman" w:hAnsi="Times New Roman"/>
          <w:b/>
          <w:i w:val="false"/>
          <w:color w:val="000000"/>
          <w:sz w:val="22"/>
        </w:rPr>
        <w:t>201—45.8</w:t>
      </w:r>
      <w:r>
        <w:rPr>
          <w:rFonts w:ascii="Times New Roman" w:hAnsi="Times New Roman"/>
          <w:b/>
          <w:i w:val="false"/>
          <w:color w:val="000000"/>
          <w:sz w:val="22"/>
        </w:rPr>
        <w:t xml:space="preserve">(905) </w:t>
      </w:r>
      <w:r>
        <w:rPr>
          <w:rFonts w:ascii="Times New Roman" w:hAnsi="Times New Roman"/>
          <w:b/>
          <w:i w:val="false"/>
          <w:color w:val="000000"/>
          <w:sz w:val="22"/>
        </w:rPr>
        <w:t xml:space="preserve">Infectious disease. </w:t>
      </w:r>
      <w:r>
        <w:rPr>
          <w:rFonts w:ascii="Times New Roman" w:hAnsi="Times New Roman"/>
          <w:b w:val="false"/>
          <w:i w:val="false"/>
          <w:color w:val="000000"/>
          <w:sz w:val="22"/>
        </w:rPr>
        <w:t xml:space="preserve">In compliance with Iowa Code section </w:t>
      </w:r>
      <w:hyperlink r:id="rId16">
        <w:r>
          <w:rPr>
            <w:rStyle w:val="Hyperlink"/>
            <w:rFonts w:ascii="Times New Roman" w:hAnsi="Times New Roman"/>
            <w:b w:val="false"/>
            <w:i w:val="false"/>
            <w:color w:val="000000"/>
            <w:sz w:val="22"/>
          </w:rPr>
          <w:t>905.15</w:t>
        </w:r>
      </w:hyperlink>
      <w:r>
        <w:rPr>
          <w:rFonts w:ascii="Times New Roman" w:hAnsi="Times New Roman"/>
          <w:b w:val="false"/>
          <w:i w:val="false"/>
          <w:color w:val="000000"/>
          <w:sz w:val="22"/>
        </w:rPr>
        <w:t>, the district department shall have a written policy and procedure to prevent the transmission of contagious infectious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255.29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905.14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906.9 to 906.11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906.15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906.16</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908.1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908.2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908.8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12/12/75, Notice 10/6/75—published 12/29/75, effective 2/2/76]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8/3/77, Notice 6/15/77—published 8/24/77, effective 9/28/77]</w:t>
      </w:r>
    </w:p>
    <w:p>
      <w:pPr>
        <w:spacing w:before="0" w:after="0"/>
        <w:ind w:left="120"/>
        <w:jc w:val="center"/>
      </w:pPr>
      <w:r>
        <w:rPr>
          <w:rFonts w:ascii="Times New Roman" w:hAnsi="Times New Roman"/>
          <w:b w:val="false"/>
          <w:i w:val="false"/>
          <w:color w:val="000000"/>
          <w:sz w:val="21"/>
        </w:rPr>
        <w:t>[Filed emergency 8/29/83—published 9/14/83, effective 10/1/83]</w:t>
      </w:r>
    </w:p>
    <w:p>
      <w:pPr>
        <w:spacing w:before="0" w:after="0"/>
        <w:ind w:left="120"/>
        <w:jc w:val="center"/>
      </w:pPr>
      <w:r>
        <w:rPr>
          <w:rFonts w:ascii="Times New Roman" w:hAnsi="Times New Roman"/>
          <w:b w:val="false"/>
          <w:i w:val="false"/>
          <w:color w:val="000000"/>
          <w:sz w:val="21"/>
        </w:rPr>
        <w:t>[Filed 2/24/84, Notice 1/4/84—published 3/14/84, effective 7/1/84]</w:t>
      </w:r>
    </w:p>
    <w:p>
      <w:pPr>
        <w:spacing w:before="0" w:after="0"/>
        <w:ind w:left="120"/>
        <w:jc w:val="center"/>
      </w:pPr>
      <w:r>
        <w:rPr>
          <w:rFonts w:ascii="Times New Roman" w:hAnsi="Times New Roman"/>
          <w:b w:val="false"/>
          <w:i w:val="false"/>
          <w:color w:val="000000"/>
          <w:sz w:val="21"/>
        </w:rPr>
        <w:t>[Filed 3/3/89, Notice 11/2/88—published 3/22/89, effective 4/26/89]</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emergency 9/13/91—published 10/2/91, effective 9/13/91]</w:t>
      </w:r>
    </w:p>
    <w:p>
      <w:pPr>
        <w:spacing w:before="0" w:after="0"/>
        <w:ind w:left="120"/>
        <w:jc w:val="center"/>
      </w:pPr>
      <w:r>
        <w:rPr>
          <w:rFonts w:ascii="Times New Roman" w:hAnsi="Times New Roman"/>
          <w:b w:val="false"/>
          <w:i w:val="false"/>
          <w:color w:val="000000"/>
          <w:sz w:val="21"/>
        </w:rPr>
        <w:t>[Filed 1/31/92, Notice 10/2/91—published 2/19/92, effective 3/27/92]</w:t>
      </w:r>
    </w:p>
    <w:p>
      <w:pPr>
        <w:spacing w:before="0" w:after="0"/>
        <w:ind w:left="120"/>
        <w:jc w:val="center"/>
      </w:pPr>
      <w:r>
        <w:rPr>
          <w:rFonts w:ascii="Times New Roman" w:hAnsi="Times New Roman"/>
          <w:b w:val="false"/>
          <w:i w:val="false"/>
          <w:color w:val="000000"/>
          <w:sz w:val="21"/>
        </w:rPr>
        <w:t>[Filed emergency 6/30/97—published 7/30/97, effective 7/1/97]</w:t>
      </w:r>
    </w:p>
    <w:p>
      <w:pPr>
        <w:spacing w:before="0" w:after="0"/>
        <w:ind w:left="120"/>
        <w:jc w:val="center"/>
      </w:pPr>
      <w:r>
        <w:rPr>
          <w:rFonts w:ascii="Times New Roman" w:hAnsi="Times New Roman"/>
          <w:b w:val="false"/>
          <w:i w:val="false"/>
          <w:color w:val="000000"/>
          <w:sz w:val="21"/>
        </w:rPr>
        <w:t>[Filed 11/17/04, Notice 9/15/04—published 12/8/04, effective 1/12/05]</w:t>
      </w:r>
    </w:p>
    <w:p>
      <w:pPr>
        <w:spacing w:before="0" w:after="0"/>
        <w:ind w:left="120"/>
        <w:jc w:val="center"/>
      </w:pPr>
      <w:r>
        <w:rPr>
          <w:rFonts w:ascii="Times New Roman" w:hAnsi="Times New Roman"/>
          <w:b w:val="false"/>
          <w:i w:val="false"/>
          <w:color w:val="000000"/>
          <w:sz w:val="21"/>
        </w:rPr>
        <w:t>[Filed ARC 9097B</w:t>
      </w:r>
      <w:r>
        <w:rPr>
          <w:rFonts w:ascii="Times New Roman" w:hAnsi="Times New Roman"/>
          <w:b w:val="false"/>
          <w:i w:val="false"/>
          <w:color w:val="000000"/>
          <w:sz w:val="21"/>
        </w:rPr>
        <w:t xml:space="preserve"> (Notice ARC 8926B, IAB 7/14/10)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4152C, IAB 12/5/18, effective 11/14/18]</w:t>
      </w:r>
    </w:p>
    <w:p>
      <w:pPr>
        <w:spacing w:before="0" w:after="0"/>
        <w:ind w:left="120"/>
        <w:jc w:val="center"/>
      </w:pPr>
      <w:r>
        <w:rPr>
          <w:rFonts w:ascii="Times New Roman" w:hAnsi="Times New Roman"/>
          <w:b w:val="false"/>
          <w:i w:val="false"/>
          <w:color w:val="000000"/>
          <w:sz w:val="21"/>
        </w:rPr>
        <w:t>[Filed ARC 6905C</w:t>
      </w:r>
      <w:r>
        <w:rPr>
          <w:rFonts w:ascii="Times New Roman" w:hAnsi="Times New Roman"/>
          <w:b w:val="false"/>
          <w:i w:val="false"/>
          <w:color w:val="000000"/>
          <w:sz w:val="21"/>
        </w:rPr>
        <w:t xml:space="preserve"> (Notice ARC 6607C,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7006C</w:t>
      </w:r>
      <w:r>
        <w:rPr>
          <w:rFonts w:ascii="Times New Roman" w:hAnsi="Times New Roman"/>
          <w:b w:val="false"/>
          <w:i w:val="false"/>
          <w:color w:val="000000"/>
          <w:sz w:val="21"/>
        </w:rPr>
        <w:t xml:space="preserve"> (Notice ARC 6914C, IAB 2/22/23)</w:t>
      </w:r>
      <w:r>
        <w:rPr>
          <w:rFonts w:ascii="Times New Roman" w:hAnsi="Times New Roman"/>
          <w:b w:val="false"/>
          <w:i w:val="false"/>
          <w:color w:val="000000"/>
          <w:sz w:val="21"/>
        </w:rPr>
        <w:t>, IAB 5/3/23, effective 6/7/23]</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01.20.12.pdf" Type="http://schemas.openxmlformats.org/officeDocument/2006/relationships/hyperlink" Id="rId5"/>
    <Relationship TargetMode="External" Target="https://www.legis.iowa.gov/docs/ico/chapter/906.9.pdf" Type="http://schemas.openxmlformats.org/officeDocument/2006/relationships/hyperlink" Id="rId6"/>
    <Relationship TargetMode="External" Target="https://www.legis.iowa.gov/docs/ico/chapter/613.17.pdf" Type="http://schemas.openxmlformats.org/officeDocument/2006/relationships/hyperlink" Id="rId7"/>
    <Relationship TargetMode="External" Target="https://www.legis.iowa.gov/docs/ico/chapter/908.1.pdf" Type="http://schemas.openxmlformats.org/officeDocument/2006/relationships/hyperlink" Id="rId8"/>
    <Relationship TargetMode="External" Target="https://www.legis.iowa.gov/docs/ico/chapter/908.2.pdf" Type="http://schemas.openxmlformats.org/officeDocument/2006/relationships/hyperlink" Id="rId9"/>
    <Relationship TargetMode="External" Target="https://www.legis.iowa.gov/docs/ico/chapter/709.3.pdf" Type="http://schemas.openxmlformats.org/officeDocument/2006/relationships/hyperlink" Id="rId10"/>
    <Relationship TargetMode="External" Target="https://www.legis.iowa.gov/docs/ico/chapter/709.4.pdf" Type="http://schemas.openxmlformats.org/officeDocument/2006/relationships/hyperlink" Id="rId11"/>
    <Relationship TargetMode="External" Target="https://www.legis.iowa.gov/docs/ico/chapter/709.8.pdf" Type="http://schemas.openxmlformats.org/officeDocument/2006/relationships/hyperlink" Id="rId12"/>
    <Relationship TargetMode="External" Target="https://www.legis.iowa.gov/docs/ico/chapter/906.15.pdf" Type="http://schemas.openxmlformats.org/officeDocument/2006/relationships/hyperlink" Id="rId13"/>
    <Relationship TargetMode="External" Target="https://www.legis.iowa.gov/docs/ico/chapter/905.14.pdf" Type="http://schemas.openxmlformats.org/officeDocument/2006/relationships/hyperlink" Id="rId14"/>
    <Relationship TargetMode="External" Target="https://www.legis.iowa.gov/docs/ico/chapter/905.14.pdf" Type="http://schemas.openxmlformats.org/officeDocument/2006/relationships/hyperlink" Id="rId15"/>
    <Relationship TargetMode="External" Target="https://www.legis.iowa.gov/docs/ico/chapter/905.15.pdf" Type="http://schemas.openxmlformats.org/officeDocument/2006/relationships/hyperlink" Id="rId16"/>
    <Relationship TargetMode="External" Target="https://www.legis.iowa.gov/docs/ico/chapter/255.29.pdf" Type="http://schemas.openxmlformats.org/officeDocument/2006/relationships/hyperlink" Id="rId17"/>
    <Relationship TargetMode="External" Target="https://www.legis.iowa.gov/docs/ico/chapter/905.14.pdf" Type="http://schemas.openxmlformats.org/officeDocument/2006/relationships/hyperlink" Id="rId18"/>
    <Relationship TargetMode="External" Target="https://www.legis.iowa.gov/docs/ico/chapter/906.9-11.pdf" Type="http://schemas.openxmlformats.org/officeDocument/2006/relationships/hyperlink" Id="rId19"/>
    <Relationship TargetMode="External" Target="https://www.legis.iowa.gov/docs/ico/chapter/906.15.pdf" Type="http://schemas.openxmlformats.org/officeDocument/2006/relationships/hyperlink" Id="rId20"/>
    <Relationship TargetMode="External" Target="https://www.legis.iowa.gov/docs/ico/chapter/906.16.pdf" Type="http://schemas.openxmlformats.org/officeDocument/2006/relationships/hyperlink" Id="rId21"/>
    <Relationship TargetMode="External" Target="https://www.legis.iowa.gov/docs/ico/chapter/908.1.pdf" Type="http://schemas.openxmlformats.org/officeDocument/2006/relationships/hyperlink" Id="rId22"/>
    <Relationship TargetMode="External" Target="https://www.legis.iowa.gov/docs/ico/chapter/908.2.pdf" Type="http://schemas.openxmlformats.org/officeDocument/2006/relationships/hyperlink" Id="rId23"/>
    <Relationship TargetMode="External" Target="https://www.legis.iowa.gov/docs/ico/chapter/908.8.pdf" Type="http://schemas.openxmlformats.org/officeDocument/2006/relationships/hyperlink" Id="rId24"/>
    <Relationship TargetMode="External" Target="https://www.legis.iowa.gov/docs/ico/chapter/910.5.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