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WORK RELEASE</w:t>
      </w:r>
    </w:p>
    <w:p>
      <w:pPr>
        <w:spacing w:before="0" w:after="0"/>
        <w:ind w:left="120"/>
        <w:jc w:val="center"/>
      </w:pPr>
      <w:r>
        <w:rPr>
          <w:rFonts w:ascii="Times New Roman" w:hAnsi="Times New Roman"/>
          <w:b w:val="false"/>
          <w:i w:val="false"/>
          <w:color w:val="000000"/>
          <w:sz w:val="14"/>
        </w:rPr>
        <w:t>[Prior to 10/1/83, Social Services[770] Ch 24]</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201—44.1</w:t>
      </w:r>
      <w:r>
        <w:rPr>
          <w:rFonts w:ascii="Times New Roman" w:hAnsi="Times New Roman"/>
          <w:b/>
          <w:i w:val="false"/>
          <w:color w:val="000000"/>
          <w:sz w:val="22"/>
        </w:rPr>
        <w:t xml:space="preserve">(904)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Persons committed to the director of the department of corrections and approved for work release by the board of parole shall be supervised and housed by the judicial district departments of correctional services in accordance with the purchase of service agreement between the district departments and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staff shall ensure the provision and maintenance of a safe environment for the residents. Each facility shall comply with fire, building, health and safety regulations or standards applicable in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policy which ensures that at least one staff member is readily available to residents 24 hours a day in each work release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which establish facility rules, possible sanctions and appeal procedures for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and procedures for searching work release residents and their property and for seizure of resident property or contraband.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and procedures which conform to appropriate statutes and regulations governing and reporting the use of physical force by work release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and procedures for the control of a work release resident’s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District department staff shall not purchase, directly or indirectly, property or services belonging to or being sold by any person under supervision except as specifically allowed under department of corrections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which establish a grievance procedure for work release residents for activities other than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and procedures which establish compliance with all federal PREA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44.1(3)</w:t>
      </w:r>
      <w:r>
        <w:rPr>
          <w:rFonts w:ascii="Times New Roman" w:hAnsi="Times New Roman"/>
          <w:b w:val="false"/>
          <w:i w:val="false"/>
          <w:color w:val="000000"/>
          <w:sz w:val="22"/>
        </w:rPr>
        <w:t> </w:t>
      </w:r>
      <w:r>
        <w:rPr>
          <w:rFonts w:ascii="Times New Roman" w:hAnsi="Times New Roman"/>
          <w:b w:val="false"/>
          <w:i/>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admit residents in accordance with the purchase of service agreement with the department of corrections or federal correctional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intake, the facility staff shall discuss with each resident program goals, services available, rules governing conduct in the facility, disciplinary procedures, client fiscal management and residents’ responsibilities, rights, communication privileges, and all federal PREA orientation and education standards and shall obtain written documentation from the resident that these matters were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44.1(4)</w:t>
      </w:r>
      <w:r>
        <w:rPr>
          <w:rFonts w:ascii="Times New Roman" w:hAnsi="Times New Roman"/>
          <w:b w:val="false"/>
          <w:i w:val="false"/>
          <w:color w:val="000000"/>
          <w:sz w:val="22"/>
        </w:rPr>
        <w:t> </w:t>
      </w:r>
      <w:r>
        <w:rPr>
          <w:rFonts w:ascii="Times New Roman" w:hAnsi="Times New Roman"/>
          <w:b w:val="false"/>
          <w:i/>
          <w:color w:val="000000"/>
          <w:sz w:val="22"/>
        </w:rPr>
        <w:t xml:space="preserve">Earned time. </w:t>
      </w:r>
      <w:r>
        <w:rPr>
          <w:rFonts w:ascii="Times New Roman" w:hAnsi="Times New Roman"/>
          <w:b w:val="false"/>
          <w:i w:val="false"/>
          <w:color w:val="000000"/>
          <w:sz w:val="22"/>
        </w:rPr>
        <w:t>Earned time shall be awarded in accordance with department of corrections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records for state work release clients as required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maintain a case record for each client under supervision which shall include, when applicable, the following: (1) Identification data, (2) institutional information packet, (3) case plan, (4) restitution plan, (5) work release plans, (6) generic notes, (7) disciplinary reports, (8) hold orders, (9) transfer reports, (10) parole progress reports, (11) signed release of information forms, and (12) discharge reports.</w:t>
      </w:r>
    </w:p>
    <w:p>
      <w:pPr>
        <w:spacing w:before="0" w:after="0"/>
        <w:ind w:left="120"/>
        <w:jc w:val="both"/>
      </w:pPr>
      <w:r>
        <w:rPr>
          <w:rFonts w:ascii="Times New Roman" w:hAnsi="Times New Roman"/>
          <w:b w:val="false"/>
          <w:i w:val="false"/>
          <w:color w:val="000000"/>
          <w:sz w:val="22"/>
        </w:rPr>
        <w:t>Written procedures shall exist at the facility concerning the security, maintenance, accessibility, closure and destruction of said case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Districts shall have statewide approved written policies and procedures which ensure the use of the statewide case management system. Districts will use the statewide approved and validated risk/needs instrument that assesses and addresses client risk, criminogenic needs and protective factors in an effort to mitigate the probability for future violence, criminal behavior and victimization. By stratifying risk using the risk-need-responsivity model, districts will focus the majority of their resources on clients who pose a greater risk to reoffend ensuring that all moderate-high risk clients receive evidence-based case planning and case management using the risk-need-responsivity model and core correctional practices to include: ongoing risk needs assessment, case plan follow-up and documentation, transfer of records, staff training, and continuous quality improvement.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9097B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201—44.2</w:t>
      </w:r>
      <w:r>
        <w:rPr>
          <w:rFonts w:ascii="Times New Roman" w:hAnsi="Times New Roman"/>
          <w:b/>
          <w:i w:val="false"/>
          <w:color w:val="000000"/>
          <w:sz w:val="22"/>
        </w:rPr>
        <w:t xml:space="preserve">(904) </w:t>
      </w:r>
      <w:r>
        <w:rPr>
          <w:rFonts w:ascii="Times New Roman" w:hAnsi="Times New Roman"/>
          <w:b/>
          <w:i w:val="false"/>
          <w:color w:val="000000"/>
          <w:sz w:val="22"/>
        </w:rPr>
        <w:t xml:space="preserve">Provision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44.2(1)</w:t>
      </w:r>
      <w:r>
        <w:rPr>
          <w:rFonts w:ascii="Times New Roman" w:hAnsi="Times New Roman"/>
          <w:b w:val="false"/>
          <w:i w:val="false"/>
          <w:color w:val="000000"/>
          <w:sz w:val="22"/>
        </w:rPr>
        <w:t> </w:t>
      </w:r>
      <w:r>
        <w:rPr>
          <w:rFonts w:ascii="Times New Roman" w:hAnsi="Times New Roman"/>
          <w:b w:val="false"/>
          <w:i/>
          <w:color w:val="000000"/>
          <w:sz w:val="22"/>
        </w:rPr>
        <w:t xml:space="preserve">Contingency plan. </w:t>
      </w:r>
      <w:r>
        <w:rPr>
          <w:rFonts w:ascii="Times New Roman" w:hAnsi="Times New Roman"/>
          <w:b w:val="false"/>
          <w:i w:val="false"/>
          <w:color w:val="000000"/>
          <w:sz w:val="22"/>
        </w:rPr>
        <w:t>The district department shall have contingency plans that will ensure proper continuation of the program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44.2(2)</w:t>
      </w:r>
      <w:r>
        <w:rPr>
          <w:rFonts w:ascii="Times New Roman" w:hAnsi="Times New Roman"/>
          <w:b w:val="false"/>
          <w:i w:val="false"/>
          <w:color w:val="000000"/>
          <w:sz w:val="22"/>
        </w:rPr>
        <w:t> </w:t>
      </w:r>
      <w:r>
        <w:rPr>
          <w:rFonts w:ascii="Times New Roman" w:hAnsi="Times New Roman"/>
          <w:b w:val="false"/>
          <w:i/>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policies and procedures which ensure that all work release residents have access to three meals a day during the week and two meals on weekend days and that meals provided at the work release facility meet recognized minimum daily nutritional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which ensure that if food service is provided, all facilities including kitchen equipment and food handlers comply with applicable health and safety laws and regulations as evidenced by a certificate of rating from the Iowa department of agriculture and land stewardship or local restaurant inspection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44.2(3)</w:t>
      </w:r>
      <w:r>
        <w:rPr>
          <w:rFonts w:ascii="Times New Roman" w:hAnsi="Times New Roman"/>
          <w:b w:val="false"/>
          <w:i w:val="false"/>
          <w:color w:val="000000"/>
          <w:sz w:val="22"/>
        </w:rPr>
        <w:t> </w:t>
      </w:r>
      <w:r>
        <w:rPr>
          <w:rFonts w:ascii="Times New Roman" w:hAnsi="Times New Roman"/>
          <w:b w:val="false"/>
          <w:i/>
          <w:color w:val="000000"/>
          <w:sz w:val="22"/>
        </w:rPr>
        <w:t xml:space="preserve">Medical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refer for a medical examination any work release resident suspected of having a communicable disease, which safeguards both residents and employees. Employees who contract a communicable disease, except common colds, should not be permitted to work in a facility until the danger of contagion is ended. For purposes of this rule, communicable disease shall mean any disease which is transmittable from one person to another and is either temporarily or permanently debilitating.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govern the medical care of work release residents in case of emergencies, sudden illnesses, accidents,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method of handling prescription and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compliance with Iowa Code section </w:t>
      </w:r>
      <w:hyperlink r:id="rId5">
        <w:r>
          <w:rPr>
            <w:rStyle w:val="Hyperlink"/>
            <w:rFonts w:ascii="Times New Roman" w:hAnsi="Times New Roman"/>
            <w:b w:val="false"/>
            <w:i w:val="false"/>
            <w:color w:val="000000"/>
            <w:sz w:val="22"/>
          </w:rPr>
          <w:t>905.15</w:t>
        </w:r>
      </w:hyperlink>
      <w:r>
        <w:rPr>
          <w:rFonts w:ascii="Times New Roman" w:hAnsi="Times New Roman"/>
          <w:b w:val="false"/>
          <w:i w:val="false"/>
          <w:color w:val="000000"/>
          <w:sz w:val="22"/>
        </w:rPr>
        <w:t>, the district department shall have written policies and procedures to prevent the transmission of contagious infectious disease. Notification to facility personnel is required if any person committed to the facility is found to have a contagious 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44.2(4)</w:t>
      </w:r>
      <w:r>
        <w:rPr>
          <w:rFonts w:ascii="Times New Roman" w:hAnsi="Times New Roman"/>
          <w:b w:val="false"/>
          <w:i w:val="false"/>
          <w:color w:val="000000"/>
          <w:sz w:val="22"/>
        </w:rPr>
        <w:t> </w:t>
      </w:r>
      <w:r>
        <w:rPr>
          <w:rFonts w:ascii="Times New Roman" w:hAnsi="Times New Roman"/>
          <w:b w:val="false"/>
          <w:i/>
          <w:color w:val="000000"/>
          <w:sz w:val="22"/>
        </w:rPr>
        <w:t xml:space="preserve">Visitation. </w:t>
      </w:r>
      <w:r>
        <w:rPr>
          <w:rFonts w:ascii="Times New Roman" w:hAnsi="Times New Roman"/>
          <w:b w:val="false"/>
          <w:i w:val="false"/>
          <w:color w:val="000000"/>
          <w:sz w:val="22"/>
        </w:rPr>
        <w:t>The district department shall have written policies and procedures which provide for visitation, but visiting privileges may be limited to the extent necessary for security and management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District department staff may provide transportation for residents in order to facilitate program objectives or to transport residents for security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201—44.3</w:t>
      </w:r>
      <w:r>
        <w:rPr>
          <w:rFonts w:ascii="Times New Roman" w:hAnsi="Times New Roman"/>
          <w:b/>
          <w:i w:val="false"/>
          <w:color w:val="000000"/>
          <w:sz w:val="22"/>
        </w:rPr>
        <w:t xml:space="preserve">(910) </w:t>
      </w:r>
      <w:r>
        <w:rPr>
          <w:rFonts w:ascii="Times New Roman" w:hAnsi="Times New Roman"/>
          <w:b/>
          <w:i w:val="false"/>
          <w:color w:val="000000"/>
          <w:sz w:val="22"/>
        </w:rPr>
        <w:t xml:space="preserve">Restitution.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Restitution plan of payment. </w:t>
      </w:r>
      <w:r>
        <w:rPr>
          <w:rFonts w:ascii="Times New Roman" w:hAnsi="Times New Roman"/>
          <w:b w:val="false"/>
          <w:i w:val="false"/>
          <w:color w:val="000000"/>
          <w:sz w:val="22"/>
        </w:rPr>
        <w:t>The district departments shall have a policy and procedure for restitution. The restitution policy and procedure shall be administered in accordance with local judicial procedure and the Code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 releasee shall submit payments in a timely manner to the clerk of court or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payments are made to the clerk of the district court, the work releasee shall provide the district department proof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provide statements to the appropriate clerks of court when community service is ordered in lieu of financial restitution.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201—44.4</w:t>
      </w:r>
      <w:r>
        <w:rPr>
          <w:rFonts w:ascii="Times New Roman" w:hAnsi="Times New Roman"/>
          <w:b/>
          <w:i w:val="false"/>
          <w:color w:val="000000"/>
          <w:sz w:val="22"/>
        </w:rPr>
        <w:t xml:space="preserve">(904) </w:t>
      </w:r>
      <w:r>
        <w:rPr>
          <w:rFonts w:ascii="Times New Roman" w:hAnsi="Times New Roman"/>
          <w:b/>
          <w:i w:val="false"/>
          <w:color w:val="000000"/>
          <w:sz w:val="22"/>
        </w:rPr>
        <w:t xml:space="preserve">Resident finances.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shall surrender earnings to the facility in accordance with Iowa Code section </w:t>
      </w:r>
      <w:hyperlink r:id="rId6">
        <w:r>
          <w:rPr>
            <w:rStyle w:val="Hyperlink"/>
            <w:rFonts w:ascii="Times New Roman" w:hAnsi="Times New Roman"/>
            <w:b w:val="false"/>
            <w:i w:val="false"/>
            <w:color w:val="000000"/>
            <w:sz w:val="22"/>
          </w:rPr>
          <w:t>904.905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departments of correctional services shall provide for proper accounting for the receipt and disbursement of resident earnings, in accordance with fiscal requirements established in </w:t>
      </w:r>
      <w:hyperlink r:id="rId7">
        <w:r>
          <w:rPr>
            <w:rStyle w:val="Hyperlink"/>
            <w:rFonts w:ascii="Times New Roman" w:hAnsi="Times New Roman"/>
            <w:b w:val="false"/>
            <w:i w:val="false"/>
            <w:color w:val="000000"/>
            <w:sz w:val="22"/>
          </w:rPr>
          <w:t>201—subrule 40.5(8)</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201—44.5</w:t>
      </w:r>
      <w:r>
        <w:rPr>
          <w:rFonts w:ascii="Times New Roman" w:hAnsi="Times New Roman"/>
          <w:b/>
          <w:i w:val="false"/>
          <w:color w:val="000000"/>
          <w:sz w:val="22"/>
        </w:rPr>
        <w:t xml:space="preserve">(904) </w:t>
      </w:r>
      <w:r>
        <w:rPr>
          <w:rFonts w:ascii="Times New Roman" w:hAnsi="Times New Roman"/>
          <w:b/>
          <w:i w:val="false"/>
          <w:color w:val="000000"/>
          <w:sz w:val="22"/>
        </w:rPr>
        <w:t xml:space="preserve">Furloughs. </w:t>
      </w:r>
      <w:r>
        <w:rPr>
          <w:rFonts w:ascii="Times New Roman" w:hAnsi="Times New Roman"/>
          <w:b w:val="false"/>
          <w:i w:val="false"/>
          <w:color w:val="000000"/>
          <w:sz w:val="22"/>
        </w:rPr>
        <w:t>The district departments shall administer furlough programs for work release clients in accordance with the department of corrections work release manual.</w:t>
      </w:r>
    </w:p>
    <w:p>
      <w:pPr>
        <w:spacing w:before="0" w:after="0"/>
        <w:ind w:left="120"/>
        <w:jc w:val="both"/>
      </w:pPr>
      <w:r>
        <w:rPr>
          <w:rFonts w:ascii="Times New Roman" w:hAnsi="Times New Roman"/>
          <w:b/>
          <w:i w:val="false"/>
          <w:color w:val="000000"/>
          <w:sz w:val="22"/>
        </w:rPr>
        <w:t>201—44.6</w:t>
      </w:r>
      <w:r>
        <w:rPr>
          <w:rFonts w:ascii="Times New Roman" w:hAnsi="Times New Roman"/>
          <w:b/>
          <w:i w:val="false"/>
          <w:color w:val="000000"/>
          <w:sz w:val="22"/>
        </w:rPr>
        <w:t xml:space="preserve">(904) </w:t>
      </w:r>
      <w:r>
        <w:rPr>
          <w:rFonts w:ascii="Times New Roman" w:hAnsi="Times New Roman"/>
          <w:b/>
          <w:i w:val="false"/>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Preplacement violations. </w:t>
      </w:r>
      <w:r>
        <w:rPr>
          <w:rFonts w:ascii="Times New Roman" w:hAnsi="Times New Roman"/>
          <w:b w:val="false"/>
          <w:i w:val="false"/>
          <w:color w:val="000000"/>
          <w:sz w:val="22"/>
        </w:rPr>
        <w:t>When disciplinary problems occur with residents who have been approved for work release but not yet placed, designated staff shall determine whether or not the situation is serious enough to warrant further review by the board of parole. Designated staff herein shall mean authorized persons from the judicial district department of correctional services, the deputy director of community-based corrections, or the sending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Postplacement violation. </w:t>
      </w:r>
      <w:r>
        <w:rPr>
          <w:rFonts w:ascii="Times New Roman" w:hAnsi="Times New Roman"/>
          <w:b w:val="false"/>
          <w:i w:val="false"/>
          <w:color w:val="000000"/>
          <w:sz w:val="22"/>
        </w:rPr>
        <w:t>Work release violations may be classified as technical, minor, or major in accordance with state policy depending on the seriousness and frequency. Such classification shall determine the sanction or range of sanctions to correspond with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Request for temporary custody. </w:t>
      </w:r>
      <w:r>
        <w:rPr>
          <w:rFonts w:ascii="Times New Roman" w:hAnsi="Times New Roman"/>
          <w:b w:val="false"/>
          <w:i w:val="false"/>
          <w:color w:val="000000"/>
          <w:sz w:val="22"/>
        </w:rPr>
        <w:t>Requests for temporary custody in a county jail or municipal holding facility may be issued by an authorized staff person of the district department of correctional services, in those cases where the resident is considered dangerous, likely to flee or in serious violation of the work release program. The requests shall be consistent with department of corrections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44.6(4)</w:t>
      </w:r>
      <w:r>
        <w:rPr>
          <w:rFonts w:ascii="Times New Roman" w:hAnsi="Times New Roman"/>
          <w:b w:val="false"/>
          <w:i w:val="false"/>
          <w:color w:val="000000"/>
          <w:sz w:val="22"/>
        </w:rPr>
        <w:t> </w:t>
      </w:r>
      <w:r>
        <w:rPr>
          <w:rFonts w:ascii="Times New Roman" w:hAnsi="Times New Roman"/>
          <w:b w:val="false"/>
          <w:i/>
          <w:color w:val="000000"/>
          <w:sz w:val="22"/>
        </w:rPr>
        <w:t xml:space="preserve">Out of place/escape. </w:t>
      </w:r>
      <w:r>
        <w:rPr>
          <w:rFonts w:ascii="Times New Roman" w:hAnsi="Times New Roman"/>
          <w:b w:val="false"/>
          <w:i w:val="false"/>
          <w:color w:val="000000"/>
          <w:sz w:val="22"/>
        </w:rPr>
        <w:t xml:space="preserve">Residents who are out of place of assignment are considered in serious violation of work release rules and possibly guilty of a felony under Iowa Code section </w:t>
      </w:r>
      <w:hyperlink r:id="rId8">
        <w:r>
          <w:rPr>
            <w:rStyle w:val="Hyperlink"/>
            <w:rFonts w:ascii="Times New Roman" w:hAnsi="Times New Roman"/>
            <w:b w:val="false"/>
            <w:i w:val="false"/>
            <w:color w:val="000000"/>
            <w:sz w:val="22"/>
          </w:rPr>
          <w:t>719.4</w:t>
        </w:r>
      </w:hyperlink>
      <w:r>
        <w:rPr>
          <w:rFonts w:ascii="Times New Roman" w:hAnsi="Times New Roman"/>
          <w:b w:val="false"/>
          <w:i w:val="false"/>
          <w:color w:val="000000"/>
          <w:sz w:val="22"/>
        </w:rPr>
        <w:t>. Escapes shall be reported to designated authorities in accordance with department of corrections work release policy and critical incident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transportation. </w:t>
      </w:r>
      <w:r>
        <w:rPr>
          <w:rFonts w:ascii="Times New Roman" w:hAnsi="Times New Roman"/>
          <w:b w:val="false"/>
          <w:i w:val="false"/>
          <w:color w:val="000000"/>
          <w:sz w:val="22"/>
        </w:rPr>
        <w:t>Transportation costs incurred due to a work releasee escaping or absconding shall be assessed against the work releasee. The amount of reimbursement shall be the actual cost incurred by the department of corrections or the judicial district department and shall be credited to the support of correctional services account from which the billing occurred. Actual cost shall mean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Actual salary, to include overtime, of all personnel required to return the work releasee.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Actual personal expenses of personnel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Ground mileage at the rate paid to state employees.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Actual cost of any common carrier fare for personnel and the work releasee. Air fare shall be booked at regular coach.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44.6(6)</w:t>
      </w:r>
      <w:r>
        <w:rPr>
          <w:rFonts w:ascii="Times New Roman" w:hAnsi="Times New Roman"/>
          <w:b w:val="false"/>
          <w:i w:val="false"/>
          <w:color w:val="000000"/>
          <w:sz w:val="22"/>
        </w:rPr>
        <w:t> </w:t>
      </w:r>
      <w:r>
        <w:rPr>
          <w:rFonts w:ascii="Times New Roman" w:hAnsi="Times New Roman"/>
          <w:b w:val="false"/>
          <w:i/>
          <w:color w:val="000000"/>
          <w:sz w:val="22"/>
        </w:rPr>
        <w:t xml:space="preserve">Transfer hearings. </w:t>
      </w:r>
      <w:r>
        <w:rPr>
          <w:rFonts w:ascii="Times New Roman" w:hAnsi="Times New Roman"/>
          <w:b w:val="false"/>
          <w:i w:val="false"/>
          <w:color w:val="000000"/>
          <w:sz w:val="22"/>
        </w:rPr>
        <w:t>The district department shall petition the state department of corrections for a transfer review on residents guilty of serious work release violations. Designated state staff shall determine whether or not the resident is to be transferred to a secure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44.6(7)</w:t>
      </w:r>
      <w:r>
        <w:rPr>
          <w:rFonts w:ascii="Times New Roman" w:hAnsi="Times New Roman"/>
          <w:b w:val="false"/>
          <w:i w:val="false"/>
          <w:color w:val="000000"/>
          <w:sz w:val="22"/>
        </w:rPr>
        <w:t> </w:t>
      </w:r>
      <w:r>
        <w:rPr>
          <w:rFonts w:ascii="Times New Roman" w:hAnsi="Times New Roman"/>
          <w:b w:val="false"/>
          <w:i/>
          <w:color w:val="000000"/>
          <w:sz w:val="22"/>
        </w:rPr>
        <w:t xml:space="preserve">Special transfers. </w:t>
      </w:r>
      <w:r>
        <w:rPr>
          <w:rFonts w:ascii="Times New Roman" w:hAnsi="Times New Roman"/>
          <w:b w:val="false"/>
          <w:i w:val="false"/>
          <w:color w:val="000000"/>
          <w:sz w:val="22"/>
        </w:rPr>
        <w:t>Transfers from one facility to another or from a facility to a designated Iowa classification center may be allowed in special circumstances with the approval of the department of corrections.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201—44.7</w:t>
      </w:r>
      <w:r>
        <w:rPr>
          <w:rFonts w:ascii="Times New Roman" w:hAnsi="Times New Roman"/>
          <w:b/>
          <w:i w:val="false"/>
          <w:color w:val="000000"/>
          <w:sz w:val="22"/>
        </w:rPr>
        <w:t xml:space="preserve">(904) </w:t>
      </w:r>
      <w:r>
        <w:rPr>
          <w:rFonts w:ascii="Times New Roman" w:hAnsi="Times New Roman"/>
          <w:b/>
          <w:i w:val="false"/>
          <w:color w:val="000000"/>
          <w:sz w:val="22"/>
        </w:rPr>
        <w:t xml:space="preserve">Discharge. </w:t>
      </w:r>
      <w:r>
        <w:rPr>
          <w:rFonts w:ascii="Times New Roman" w:hAnsi="Times New Roman"/>
          <w:b w:val="false"/>
          <w:i w:val="false"/>
          <w:color w:val="000000"/>
          <w:sz w:val="22"/>
        </w:rPr>
        <w:t>Under no circumstances shall work release supervision extend beyond the expiration of a work releasee’s sentence.</w:t>
      </w:r>
    </w:p>
    <w:p>
      <w:pPr>
        <w:spacing w:before="0" w:after="0"/>
        <w:ind w:left="120"/>
        <w:jc w:val="both"/>
      </w:pPr>
      <w:r>
        <w:rPr>
          <w:rFonts w:ascii="Times New Roman" w:hAnsi="Times New Roman"/>
          <w:b/>
          <w:i w:val="false"/>
          <w:color w:val="000000"/>
          <w:sz w:val="22"/>
        </w:rPr>
        <w:t>201—44.8</w:t>
      </w:r>
      <w:r>
        <w:rPr>
          <w:rFonts w:ascii="Times New Roman" w:hAnsi="Times New Roman"/>
          <w:b/>
          <w:i w:val="false"/>
          <w:color w:val="000000"/>
          <w:sz w:val="22"/>
        </w:rPr>
        <w:t xml:space="preserve">(904) </w:t>
      </w:r>
      <w:r>
        <w:rPr>
          <w:rFonts w:ascii="Times New Roman" w:hAnsi="Times New Roman"/>
          <w:b/>
          <w:i w:val="false"/>
          <w:color w:val="000000"/>
          <w:sz w:val="22"/>
        </w:rPr>
        <w:t xml:space="preserve">Federal contracts for work release. </w:t>
      </w:r>
      <w:r>
        <w:rPr>
          <w:rFonts w:ascii="Times New Roman" w:hAnsi="Times New Roman"/>
          <w:b w:val="false"/>
          <w:i w:val="false"/>
          <w:color w:val="000000"/>
          <w:sz w:val="22"/>
        </w:rPr>
        <w:t>In order to qualify nonfederal work release clients for employment in the performance of federal contracts, under presidential Executive Order 11755, each judicial district department of corrections shall ascertain: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val="false"/>
          <w:color w:val="000000"/>
          <w:sz w:val="22"/>
        </w:rPr>
        <w:t>That the rate of pay and other conditions of employment shall be at a similar rate and mode to others employed in like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val="false"/>
          <w:color w:val="000000"/>
          <w:sz w:val="22"/>
        </w:rPr>
        <w:t>That employment of the work release client will not result in the displacement of other persons already employed; will not be utilized where a surplus of labor exists; will not harm existing contracts;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44.8(3)</w:t>
      </w:r>
      <w:r>
        <w:rPr>
          <w:rFonts w:ascii="Times New Roman" w:hAnsi="Times New Roman"/>
          <w:b w:val="false"/>
          <w:i w:val="false"/>
          <w:color w:val="000000"/>
          <w:sz w:val="22"/>
        </w:rPr>
        <w:t> </w:t>
      </w:r>
      <w:r>
        <w:rPr>
          <w:rFonts w:ascii="Times New Roman" w:hAnsi="Times New Roman"/>
          <w:b w:val="false"/>
          <w:i w:val="false"/>
          <w:color w:val="000000"/>
          <w:sz w:val="22"/>
        </w:rPr>
        <w:t>Representatives of affected unions will have been consulted.</w:t>
      </w:r>
    </w:p>
    <w:p>
      <w:pPr>
        <w:spacing w:before="0" w:after="0"/>
        <w:ind w:left="120"/>
        <w:jc w:val="both"/>
      </w:pPr>
      <w:r>
        <w:rPr>
          <w:rFonts w:ascii="Times New Roman" w:hAnsi="Times New Roman"/>
          <w:b/>
          <w:i w:val="false"/>
          <w:color w:val="000000"/>
          <w:sz w:val="22"/>
        </w:rPr>
        <w:t>201—44.9</w:t>
      </w:r>
      <w:r>
        <w:rPr>
          <w:rFonts w:ascii="Times New Roman" w:hAnsi="Times New Roman"/>
          <w:b/>
          <w:i w:val="false"/>
          <w:color w:val="000000"/>
          <w:sz w:val="22"/>
        </w:rPr>
        <w:t xml:space="preserve">(904,910) </w:t>
      </w:r>
      <w:r>
        <w:rPr>
          <w:rFonts w:ascii="Times New Roman" w:hAnsi="Times New Roman"/>
          <w:b/>
          <w:i w:val="false"/>
          <w:color w:val="000000"/>
          <w:sz w:val="22"/>
        </w:rPr>
        <w:t xml:space="preserve">Home work release.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904.901</w:t>
        </w:r>
      </w:hyperlink>
      <w:r>
        <w:rPr>
          <w:rFonts w:ascii="Times New Roman" w:hAnsi="Times New Roman"/>
          <w:b w:val="false"/>
          <w:i w:val="false"/>
          <w:color w:val="000000"/>
          <w:sz w:val="22"/>
        </w:rPr>
        <w:t>, home work release provides the opportunity in exceptional circumstances for qualified clients of correctional institutions to return to their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Persons committed to the director of the department of corrections and approved for home work release by the board of parole shall be supervised by the judicial district departments of correctional services in accordance with contractual provisions between the district departments and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Housing requirements. </w:t>
      </w:r>
      <w:r>
        <w:rPr>
          <w:rFonts w:ascii="Times New Roman" w:hAnsi="Times New Roman"/>
          <w:b w:val="false"/>
          <w:i w:val="false"/>
          <w:color w:val="000000"/>
          <w:sz w:val="22"/>
        </w:rPr>
        <w:t>The physical structure shall provide for adequate space, meet basic sanitary requirements and be in good repair. A functional telephone will be available to the client in the residence at all times. The residence shall not be occupied by persons outside the nuclear family except in rare instances where financial considerations are a factor and prior approval has been granted by the board of parole or the deputy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assume supervision of home work releasees in accordance with a contract with the department of corrections or federal correctional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of supervision, the staff shall discuss with each home work releasee program goals, services available, rules governing conduct, disciplinary procedures, the home work releasee’s fiscal management, responsibilities, rights and communication privileges and shall obtain written documentation from the home work releasee that these matters were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Supervisory staff may grant permission for travel within the state. Standard policy will apply to out-of-state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Earned time. </w:t>
      </w:r>
      <w:r>
        <w:rPr>
          <w:rFonts w:ascii="Times New Roman" w:hAnsi="Times New Roman"/>
          <w:b w:val="false"/>
          <w:i w:val="false"/>
          <w:color w:val="000000"/>
          <w:sz w:val="22"/>
        </w:rPr>
        <w:t>Earned time shall be awarded in accordance with department of corrections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records for state home work release clients as required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a case record for each home work releasee under supervision which shall include, when applicable,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Institutional information packet,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Case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Restitution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Work release plans,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 Generic notes,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Disciplinary reports,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Hold orders,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Transfer reports,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Parole progress reports,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Signed release of information forms, and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Discharge reports.</w:t>
      </w:r>
    </w:p>
    <w:p>
      <w:pPr>
        <w:spacing w:before="0" w:after="0"/>
        <w:ind w:left="120"/>
        <w:jc w:val="both"/>
      </w:pPr>
      <w:r>
        <w:rPr>
          <w:rFonts w:ascii="Times New Roman" w:hAnsi="Times New Roman"/>
          <w:b w:val="false"/>
          <w:i w:val="false"/>
          <w:color w:val="000000"/>
          <w:sz w:val="22"/>
        </w:rPr>
        <w:t>The district department shall have written procedures concerning the security, maintenance, accessibility, closure and destruction of said case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departments shall have written policies and procedures which ensure that an individual case plan is maintained on each work release resident which includes a uniform, validated assessment of client risk, needs and protective factors, and resources utilized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color w:val="000000"/>
          <w:sz w:val="22"/>
        </w:rPr>
        <w:t xml:space="preserve">Restitution.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Restitution plan of payment. </w:t>
      </w:r>
      <w:r>
        <w:rPr>
          <w:rFonts w:ascii="Times New Roman" w:hAnsi="Times New Roman"/>
          <w:b w:val="false"/>
          <w:i w:val="false"/>
          <w:color w:val="000000"/>
          <w:sz w:val="22"/>
        </w:rPr>
        <w:t>There shall be a restitution plan of payment developed on those home work releasees who have been court ordered to pay restitution unless the court ordered restitution plan of payment has been completed. Factors which must be considered in developing the restitution plan of payment are present income, employment, physical and mental health, education, financial situation and family circumstances.</w:t>
      </w:r>
    </w:p>
    <w:p>
      <w:pPr>
        <w:spacing w:before="0" w:after="0"/>
        <w:ind w:left="120"/>
        <w:jc w:val="both"/>
      </w:pPr>
      <w:r>
        <w:rPr>
          <w:rFonts w:ascii="Times New Roman" w:hAnsi="Times New Roman"/>
          <w:b w:val="false"/>
          <w:i w:val="false"/>
          <w:color w:val="000000"/>
          <w:sz w:val="22"/>
        </w:rPr>
        <w:t>The district department shall have written policies and procedures governing the development and modification of the restitution plan of payment. Final approval of the restitution plan of payment shall be by the district director.</w:t>
      </w:r>
    </w:p>
    <w:p>
      <w:pPr>
        <w:spacing w:before="0" w:after="0"/>
        <w:ind w:left="120"/>
        <w:jc w:val="both"/>
      </w:pPr>
      <w:r>
        <w:rPr>
          <w:rFonts w:ascii="Times New Roman" w:hAnsi="Times New Roman"/>
          <w:b w:val="false"/>
          <w:i w:val="false"/>
          <w:color w:val="000000"/>
          <w:sz w:val="22"/>
        </w:rPr>
        <w:t>The approved restitution plan of payment shall be forwarded to the appropriate clerk of court by the district department or to the person responsible for collection if collections are performed by the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work releasee shall submit payments in a timely manner to the clerk of court or the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payments are made to the clerk of the district court, the home work releasee shall provide the district department proof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will provide statements to the appropriate clerks of court when community service is ordered in lieu of financial restitution.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color w:val="000000"/>
          <w:sz w:val="22"/>
        </w:rPr>
        <w:t xml:space="preserve">Home work releasee finances. </w:t>
      </w:r>
      <w:r>
        <w:rPr>
          <w:rFonts w:ascii="Times New Roman" w:hAnsi="Times New Roman"/>
          <w:b w:val="false"/>
          <w:i w:val="false"/>
          <w:color w:val="000000"/>
          <w:sz w:val="22"/>
        </w:rPr>
        <w:t>The home work releasee shall assume total financial responsibility, including medical expenses, for releasee care and the care of the releasee’s minor dependent children. Neither the department of corrections nor the district department shall incur any expense on the part of the home work releasee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Preplacement violations. </w:t>
      </w:r>
      <w:r>
        <w:rPr>
          <w:rFonts w:ascii="Times New Roman" w:hAnsi="Times New Roman"/>
          <w:b w:val="false"/>
          <w:i w:val="false"/>
          <w:color w:val="000000"/>
          <w:sz w:val="22"/>
        </w:rPr>
        <w:t>When disciplinary problems occur with clients who have been approved for home work release but not yet placed, designated staff shall determine whether or not the situation is serious enough to warrant further review by the board of parole. Designated staff herein shall mean authorized persons from the judicial district department of correctional services, the community services division or the sending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Postplacement violation. </w:t>
      </w:r>
      <w:r>
        <w:rPr>
          <w:rFonts w:ascii="Times New Roman" w:hAnsi="Times New Roman"/>
          <w:b w:val="false"/>
          <w:i w:val="false"/>
          <w:color w:val="000000"/>
          <w:sz w:val="22"/>
        </w:rPr>
        <w:t>Work release violations may be classified as technical, minor, or major in accordance with state policy depending on the seriousness and frequency. Such classification shall determine the sanction or range of sanctions to correspond with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for temporary custody. </w:t>
      </w:r>
      <w:r>
        <w:rPr>
          <w:rFonts w:ascii="Times New Roman" w:hAnsi="Times New Roman"/>
          <w:b w:val="false"/>
          <w:i w:val="false"/>
          <w:color w:val="000000"/>
          <w:sz w:val="22"/>
        </w:rPr>
        <w:t>Requests for temporary custody in a county jail or municipal holding facility may be issued by an authorized staff person of the district department of correctional services, in those cases where the home work releasee is considered dangerous, likely to flee or in serious violation of the work release program and shall be consistent with department of corrections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 of place/escape. </w:t>
      </w:r>
      <w:r>
        <w:rPr>
          <w:rFonts w:ascii="Times New Roman" w:hAnsi="Times New Roman"/>
          <w:b w:val="false"/>
          <w:i w:val="false"/>
          <w:color w:val="000000"/>
          <w:sz w:val="22"/>
        </w:rPr>
        <w:t xml:space="preserve">Home work releasees who are out of place of assignment are considered in serious violation of work release rules and possibly guilty of a felony under Iowa Code section </w:t>
      </w:r>
      <w:hyperlink r:id="rId10">
        <w:r>
          <w:rPr>
            <w:rStyle w:val="Hyperlink"/>
            <w:rFonts w:ascii="Times New Roman" w:hAnsi="Times New Roman"/>
            <w:b w:val="false"/>
            <w:i w:val="false"/>
            <w:color w:val="000000"/>
            <w:sz w:val="22"/>
          </w:rPr>
          <w:t>719.4</w:t>
        </w:r>
      </w:hyperlink>
      <w:r>
        <w:rPr>
          <w:rFonts w:ascii="Times New Roman" w:hAnsi="Times New Roman"/>
          <w:b w:val="false"/>
          <w:i w:val="false"/>
          <w:color w:val="000000"/>
          <w:sz w:val="22"/>
        </w:rPr>
        <w:t>. Escapes shall be reported to designated authorities in accordance with department of corrections work release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transportation. </w:t>
      </w:r>
      <w:r>
        <w:rPr>
          <w:rFonts w:ascii="Times New Roman" w:hAnsi="Times New Roman"/>
          <w:b w:val="false"/>
          <w:i w:val="false"/>
          <w:color w:val="000000"/>
          <w:sz w:val="22"/>
        </w:rPr>
        <w:t>Transportation costs incurred due to a home work releasee escaping or absconding shall be assessed against the home work releasee. The amount of reimbursement shall be the actual cost incurred by the department of corrections or the judicial district department and shall be credited to the support of correctional services account from which the billing occurred. Actual cost shall mean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salary, to include overtime, of all personnel required to return the work releasee.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personal expenses of personnel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 mileage at the rate paid to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Actual cost of any common carrier fare for personnel and the home work releasee. Air fare shall be booked at regular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 hearings. </w:t>
      </w:r>
      <w:r>
        <w:rPr>
          <w:rFonts w:ascii="Times New Roman" w:hAnsi="Times New Roman"/>
          <w:b w:val="false"/>
          <w:i w:val="false"/>
          <w:color w:val="000000"/>
          <w:sz w:val="22"/>
        </w:rPr>
        <w:t>The district department shall petition the department of corrections for a transfer hearing on home work releasees found guilty of serious work release violations. The hearing officer shall determine whether or not the home work releasee is to be transferred to the designated security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Special transfers. </w:t>
      </w:r>
      <w:r>
        <w:rPr>
          <w:rFonts w:ascii="Times New Roman" w:hAnsi="Times New Roman"/>
          <w:b w:val="false"/>
          <w:i w:val="false"/>
          <w:color w:val="000000"/>
          <w:sz w:val="22"/>
        </w:rPr>
        <w:t>Transfers to another residential facility or to an institution may be allowed in special circumstances with the approval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44.9(5)</w:t>
      </w: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Under no circumstances shall home work release supervision extend beyond the expiration of a home work releasee’s sentence.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904.901 to 904.909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5/26/78, Notice 3/22/78—published 6/14/78, effective 7/19/78]</w:t>
      </w:r>
    </w:p>
    <w:p>
      <w:pPr>
        <w:spacing w:before="0" w:after="0"/>
        <w:ind w:left="120"/>
        <w:jc w:val="center"/>
      </w:pPr>
      <w:r>
        <w:rPr>
          <w:rFonts w:ascii="Times New Roman" w:hAnsi="Times New Roman"/>
          <w:b w:val="false"/>
          <w:i w:val="false"/>
          <w:color w:val="000000"/>
          <w:sz w:val="21"/>
        </w:rPr>
        <w:t>[Filed emergency 8/29/83—published 9/14/83, effective 10/1/83]</w:t>
      </w:r>
    </w:p>
    <w:p>
      <w:pPr>
        <w:spacing w:before="0" w:after="0"/>
        <w:ind w:left="120"/>
        <w:jc w:val="center"/>
      </w:pPr>
      <w:r>
        <w:rPr>
          <w:rFonts w:ascii="Times New Roman" w:hAnsi="Times New Roman"/>
          <w:b w:val="false"/>
          <w:i w:val="false"/>
          <w:color w:val="000000"/>
          <w:sz w:val="21"/>
        </w:rPr>
        <w:t>[Filed 2/24/84, Notice 1/4/84—published 3/14/84, effective 7/1/84]</w:t>
      </w:r>
    </w:p>
    <w:p>
      <w:pPr>
        <w:spacing w:before="0" w:after="0"/>
        <w:ind w:left="120"/>
        <w:jc w:val="center"/>
      </w:pPr>
      <w:r>
        <w:rPr>
          <w:rFonts w:ascii="Times New Roman" w:hAnsi="Times New Roman"/>
          <w:b w:val="false"/>
          <w:i w:val="false"/>
          <w:color w:val="000000"/>
          <w:sz w:val="21"/>
        </w:rPr>
        <w:t>[Filed 4/4/85, Notice 10/24/84—published 4/24/85, effective 5/29/85]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7/11/86, Notice 5/7/86—published 7/30/86, effective 10/29/86]</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11/17/04, Notice 9/15/04—published 12/8/04, effective 1/12/05]</w:t>
      </w:r>
    </w:p>
    <w:p>
      <w:pPr>
        <w:spacing w:before="0" w:after="0"/>
        <w:ind w:left="120"/>
        <w:jc w:val="center"/>
      </w:pPr>
      <w:r>
        <w:rPr>
          <w:rFonts w:ascii="Times New Roman" w:hAnsi="Times New Roman"/>
          <w:b w:val="false"/>
          <w:i w:val="false"/>
          <w:color w:val="000000"/>
          <w:sz w:val="21"/>
        </w:rPr>
        <w:t>[Filed ARC 9097B</w:t>
      </w:r>
      <w:r>
        <w:rPr>
          <w:rFonts w:ascii="Times New Roman" w:hAnsi="Times New Roman"/>
          <w:b w:val="false"/>
          <w:i w:val="false"/>
          <w:color w:val="000000"/>
          <w:sz w:val="21"/>
        </w:rPr>
        <w:t xml:space="preserve"> (Notice ARC 8926B, IAB 7/14/10)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4152C, IAB 12/5/18, effective 11/14/18]</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5.15.pdf" Type="http://schemas.openxmlformats.org/officeDocument/2006/relationships/hyperlink" Id="rId5"/>
    <Relationship TargetMode="External" Target="https://www.legis.iowa.gov/docs/ico/chapter/904.905.pdf" Type="http://schemas.openxmlformats.org/officeDocument/2006/relationships/hyperlink" Id="rId6"/>
    <Relationship TargetMode="External" Target="https://www.legis.iowa.gov/docs/iac/rule/201.40.5.pdf" Type="http://schemas.openxmlformats.org/officeDocument/2006/relationships/hyperlink" Id="rId7"/>
    <Relationship TargetMode="External" Target="https://www.legis.iowa.gov/docs/ico/chapter/719.4.pdf" Type="http://schemas.openxmlformats.org/officeDocument/2006/relationships/hyperlink" Id="rId8"/>
    <Relationship TargetMode="External" Target="https://www.legis.iowa.gov/docs/ico/chapter/904.901.pdf" Type="http://schemas.openxmlformats.org/officeDocument/2006/relationships/hyperlink" Id="rId9"/>
    <Relationship TargetMode="External" Target="https://www.legis.iowa.gov/docs/ico/chapter/719.4.pdf" Type="http://schemas.openxmlformats.org/officeDocument/2006/relationships/hyperlink" Id="rId10"/>
    <Relationship TargetMode="External" Target="https://www.legis.iowa.gov/docs/ico/chapter/904.901-90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