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w:t>
      </w:r>
    </w:p>
    <w:p>
      <w:pPr>
        <w:spacing w:before="0" w:after="0"/>
        <w:ind w:left="120"/>
        <w:jc w:val="center"/>
      </w:pPr>
      <w:r>
        <w:rPr>
          <w:rFonts w:ascii="Times New Roman" w:hAnsi="Times New Roman"/>
          <w:b w:val="false"/>
          <w:i w:val="false"/>
          <w:color w:val="000000"/>
          <w:sz w:val="21"/>
        </w:rPr>
        <w:t>PROBATION SERVICES</w:t>
      </w:r>
    </w:p>
    <w:p>
      <w:pPr>
        <w:spacing w:before="0" w:after="0"/>
        <w:ind w:left="120"/>
        <w:jc w:val="center"/>
      </w:pPr>
      <w:r>
        <w:rPr>
          <w:rFonts w:ascii="Times New Roman" w:hAnsi="Times New Roman"/>
          <w:b w:val="false"/>
          <w:i w:val="false"/>
          <w:color w:val="000000"/>
          <w:sz w:val="14"/>
        </w:rPr>
        <w:t>[Prior to 3/20/91, Corrections Department[291]]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201—42.1</w:t>
      </w:r>
      <w:r>
        <w:rPr>
          <w:rFonts w:ascii="Times New Roman" w:hAnsi="Times New Roman"/>
          <w:b/>
          <w:i w:val="false"/>
          <w:color w:val="000000"/>
          <w:sz w:val="22"/>
        </w:rPr>
        <w:t xml:space="preserve">(907,908,910) </w:t>
      </w:r>
      <w:r>
        <w:rPr>
          <w:rFonts w:ascii="Times New Roman" w:hAnsi="Times New Roman"/>
          <w:b/>
          <w:i w:val="false"/>
          <w:color w:val="000000"/>
          <w:sz w:val="22"/>
        </w:rPr>
        <w:t xml:space="preserve">Probation.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which ensure the delivery of probation services throughout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42.1(2)</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which ensure that an electronic case record is maintained on each client under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42.1(3)</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uniform written policies and procedures governing the classification and supervision of probationers.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42.1(4)</w:t>
      </w:r>
      <w:r>
        <w:rPr>
          <w:rFonts w:ascii="Times New Roman" w:hAnsi="Times New Roman"/>
          <w:b w:val="false"/>
          <w:i w:val="false"/>
          <w:color w:val="000000"/>
          <w:sz w:val="22"/>
        </w:rPr>
        <w:t> </w:t>
      </w:r>
      <w:r>
        <w:rPr>
          <w:rFonts w:ascii="Times New Roman" w:hAnsi="Times New Roman"/>
          <w:b w:val="false"/>
          <w:i w:val="false"/>
          <w:color w:val="000000"/>
          <w:sz w:val="22"/>
        </w:rPr>
        <w:t xml:space="preserve"> Districts shall have statewide approved written policies and procedures which ensure the use of the statewide case management system. Districts will use the statewide approved and validated risk/needs instrument that assesses and addresses client risk, criminogenic needs and protective factors in an effort to mitigate the probability for future violence, criminal behavior and victimization. By stratifying risk using the risk-need-responsivity model, districts will focus the majority of their resources on clients who pose a greater risk to reoffend ensuring that all moderate-high risk clients receive evidence-based case planning and case management using the risk-need-responsivity model and core correctional practices to include: ongoing risk needs assessment, case plan follow-up and documentation, transfer of records, staff training, and continuous quality improvement.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42.1(5)</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which establish grievance procedures for all clients under supervision and details a method which ensures that all clients are notified of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42.1(6)</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for reporting violations of probation and recommending revocation of probation to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42.1(7)</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for requesting a discharge from probation and shall require a recommendation for discharge when it is clear that the client has met court obligations, is no longer a threat to the community or cannot benefit substantially from further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42.1(8)</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to assist staff to determine under what circumstances an arrest may be made or a client should be taken into custody.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42.1(9)</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governing the searching of probationers or the searching and seizure of their property which meet the requirements of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district department shall have written policies and procedures governing the preparation, submission, review and modification of the restitution plan of payment in accordance with Iowa Code chapter </w:t>
      </w:r>
      <w:hyperlink r:id="rId5">
        <w:r>
          <w:rPr>
            <w:rStyle w:val="Hyperlink"/>
            <w:rFonts w:ascii="Times New Roman" w:hAnsi="Times New Roman"/>
            <w:b w:val="false"/>
            <w:i w:val="false"/>
            <w:color w:val="000000"/>
            <w:sz w:val="22"/>
          </w:rPr>
          <w:t>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district department shall have written policies and procedures governing the preparation, submission, review and modification of the plan of community service in accordance with Iowa Code chapters </w:t>
      </w:r>
      <w:hyperlink r:id="rId6">
        <w:r>
          <w:rPr>
            <w:rStyle w:val="Hyperlink"/>
            <w:rFonts w:ascii="Times New Roman" w:hAnsi="Times New Roman"/>
            <w:b w:val="false"/>
            <w:i w:val="false"/>
            <w:color w:val="000000"/>
            <w:sz w:val="22"/>
          </w:rPr>
          <w:t>907</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42.1(12)</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establish conditions of probation which meet the approval of the chief judge of the judicial district, which apply to each person under probation supervision, and shall have written procedures for assuring that each client receives those conditions in writing which include written documentation of receipt by the probationer.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district department shall have written policies and procedures governing the preparation, submission, review, modification, collection and retention of supervision enrollment fees, in accordance with Iowa Code section </w:t>
      </w:r>
      <w:hyperlink r:id="rId8">
        <w:r>
          <w:rPr>
            <w:rStyle w:val="Hyperlink"/>
            <w:rFonts w:ascii="Times New Roman" w:hAnsi="Times New Roman"/>
            <w:b w:val="false"/>
            <w:i w:val="false"/>
            <w:color w:val="000000"/>
            <w:sz w:val="22"/>
          </w:rPr>
          <w:t>905.14</w:t>
        </w:r>
      </w:hyperlink>
      <w:r>
        <w:rPr>
          <w:rFonts w:ascii="Times New Roman" w:hAnsi="Times New Roman"/>
          <w:b w:val="false"/>
          <w:i w:val="false"/>
          <w:color w:val="000000"/>
          <w:sz w:val="22"/>
        </w:rPr>
        <w:t>. Payments shall be made directly to the supervising judicial district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district department shall have written policies and procedures governing the waiver of collection of supervision enrollment fees for persons determined to be unable to pay, in accordance with Iowa Code section </w:t>
      </w:r>
      <w:hyperlink r:id="rId9">
        <w:r>
          <w:rPr>
            <w:rStyle w:val="Hyperlink"/>
            <w:rFonts w:ascii="Times New Roman" w:hAnsi="Times New Roman"/>
            <w:b w:val="false"/>
            <w:i w:val="false"/>
            <w:color w:val="000000"/>
            <w:sz w:val="22"/>
          </w:rPr>
          <w:t>905.14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42.1(15)</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governing the collection and retention of supervision enrollment fees for persons transferring to another judicial district. Fees will be collected and retained by the supervising judicial district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42.1(16)</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governing the collection of supervision enrollment fees for persons who receive additional supervisions.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42.1(17)</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district department shall have written policies and procedures to prevent the transmission of contagious infectious disease in compliance with Iowa Code section </w:t>
      </w:r>
      <w:hyperlink r:id="rId10">
        <w:r>
          <w:rPr>
            <w:rStyle w:val="Hyperlink"/>
            <w:rFonts w:ascii="Times New Roman" w:hAnsi="Times New Roman"/>
            <w:b w:val="false"/>
            <w:i w:val="false"/>
            <w:color w:val="000000"/>
            <w:sz w:val="22"/>
          </w:rPr>
          <w:t>905.15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1">
        <w:r>
          <w:rPr>
            <w:rStyle w:val="Hyperlink"/>
            <w:rFonts w:ascii="Times New Roman" w:hAnsi="Times New Roman"/>
            <w:b w:val="false"/>
            <w:i w:val="false"/>
            <w:color w:val="000000"/>
            <w:sz w:val="22"/>
          </w:rPr>
          <w:t>905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907</w:t>
        </w:r>
      </w:hyperlink>
      <w:r>
        <w:rPr>
          <w:rFonts w:ascii="Times New Roman" w:hAnsi="Times New Roman"/>
          <w:b w:val="false"/>
          <w:i w:val="false"/>
          <w:color w:val="000000"/>
          <w:sz w:val="22"/>
        </w:rPr>
        <w:t xml:space="preserve"> and sections </w:t>
      </w:r>
      <w:hyperlink r:id="rId13">
        <w:r>
          <w:rPr>
            <w:rStyle w:val="Hyperlink"/>
            <w:rFonts w:ascii="Times New Roman" w:hAnsi="Times New Roman"/>
            <w:b w:val="false"/>
            <w:i w:val="false"/>
            <w:color w:val="000000"/>
            <w:sz w:val="22"/>
          </w:rPr>
          <w:t>908.11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4152C</w:t>
      </w:r>
      <w:r>
        <w:rPr>
          <w:rFonts w:ascii="Times New Roman" w:hAnsi="Times New Roman"/>
          <w:b w:val="false"/>
          <w:i w:val="false"/>
          <w:color w:val="000000"/>
          <w:sz w:val="16"/>
        </w:rPr>
        <w:t>, IAB 12/5/18, effective 11/14/18</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9/9/83—published 9/28/83, effective 10/1/83]</w:t>
      </w:r>
    </w:p>
    <w:p>
      <w:pPr>
        <w:spacing w:before="0" w:after="0"/>
        <w:ind w:left="120"/>
        <w:jc w:val="center"/>
      </w:pPr>
      <w:r>
        <w:rPr>
          <w:rFonts w:ascii="Times New Roman" w:hAnsi="Times New Roman"/>
          <w:b w:val="false"/>
          <w:i w:val="false"/>
          <w:color w:val="000000"/>
          <w:sz w:val="21"/>
        </w:rPr>
        <w:t>[Filed 11/18/83, Notice 9/28/83—published 12/7/83, effective 1/11/84]</w:t>
      </w:r>
    </w:p>
    <w:p>
      <w:pPr>
        <w:spacing w:before="0" w:after="0"/>
        <w:ind w:left="120"/>
        <w:jc w:val="center"/>
      </w:pPr>
      <w:r>
        <w:rPr>
          <w:rFonts w:ascii="Times New Roman" w:hAnsi="Times New Roman"/>
          <w:b w:val="false"/>
          <w:i w:val="false"/>
          <w:color w:val="000000"/>
          <w:sz w:val="21"/>
        </w:rPr>
        <w:t>[Filed emergency 2/20/91—published 3/20/91, effective 2/20/91]</w:t>
      </w:r>
    </w:p>
    <w:p>
      <w:pPr>
        <w:spacing w:before="0" w:after="0"/>
        <w:ind w:left="120"/>
        <w:jc w:val="center"/>
      </w:pPr>
      <w:r>
        <w:rPr>
          <w:rFonts w:ascii="Times New Roman" w:hAnsi="Times New Roman"/>
          <w:b w:val="false"/>
          <w:i w:val="false"/>
          <w:color w:val="000000"/>
          <w:sz w:val="21"/>
        </w:rPr>
        <w:t>[Filed emergency 6/30/97—published 7/30/97, effective 7/1/97]</w:t>
      </w:r>
    </w:p>
    <w:p>
      <w:pPr>
        <w:spacing w:before="0" w:after="0"/>
        <w:ind w:left="120"/>
        <w:jc w:val="center"/>
      </w:pPr>
      <w:r>
        <w:rPr>
          <w:rFonts w:ascii="Times New Roman" w:hAnsi="Times New Roman"/>
          <w:b w:val="false"/>
          <w:i w:val="false"/>
          <w:color w:val="000000"/>
          <w:sz w:val="21"/>
        </w:rPr>
        <w:t>[Filed 11/17/04, Notice 9/15/04—published 12/8/04, effective 1/12/05]</w:t>
      </w:r>
    </w:p>
    <w:p>
      <w:pPr>
        <w:spacing w:before="0" w:after="0"/>
        <w:ind w:left="120"/>
        <w:jc w:val="center"/>
      </w:pPr>
      <w:r>
        <w:rPr>
          <w:rFonts w:ascii="Times New Roman" w:hAnsi="Times New Roman"/>
          <w:b w:val="false"/>
          <w:i w:val="false"/>
          <w:color w:val="000000"/>
          <w:sz w:val="21"/>
        </w:rPr>
        <w:t>[Filed ARC 3929C</w:t>
      </w:r>
      <w:r>
        <w:rPr>
          <w:rFonts w:ascii="Times New Roman" w:hAnsi="Times New Roman"/>
          <w:b w:val="false"/>
          <w:i w:val="false"/>
          <w:color w:val="000000"/>
          <w:sz w:val="21"/>
        </w:rPr>
        <w:t xml:space="preserve"> (Notice ARC 3806C, IAB 5/23/18)</w:t>
      </w:r>
      <w:r>
        <w:rPr>
          <w:rFonts w:ascii="Times New Roman" w:hAnsi="Times New Roman"/>
          <w:b w:val="false"/>
          <w:i w:val="false"/>
          <w:color w:val="000000"/>
          <w:sz w:val="21"/>
        </w:rPr>
        <w:t>, IAB 8/1/18, effective 9/5/18]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4152C, IAB 12/5/18, effective 11/14/18]</w:t>
      </w:r>
    </w:p>
    <w:p>
      <w:pPr>
        <w:pBdr>
          <w:bottom w:space="2"/>
        </w:pBdr>
        <w:spacing w:before="0" w:after="0"/>
        <w:ind w:left="120"/>
        <w:jc w:val="both"/>
      </w:pPr>
      <w:r>
        <w:rPr>
          <w:rFonts w:ascii="Times New Roman" w:hAnsi="Times New Roman"/>
          <w:b w:val="false"/>
          <w:i w:val="false"/>
          <w:color w:val="000000"/>
          <w:sz w:val="22"/>
        </w:rPr>
        <w:t>September 5, 2018, effective date of ARC 3929C [amendments to chs 1, 5, 10, 11, 20, 38, 40, 41, 42, 43, 44, 45, 47, 50, 51] delayed 70 days by the Administrative Rules Review Committee at its meeting held August 14, 2018.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0.pdf" Type="http://schemas.openxmlformats.org/officeDocument/2006/relationships/hyperlink" Id="rId5"/>
    <Relationship TargetMode="External" Target="https://www.legis.iowa.gov/docs/ico/chapter/907.pdf" Type="http://schemas.openxmlformats.org/officeDocument/2006/relationships/hyperlink" Id="rId6"/>
    <Relationship TargetMode="External" Target="https://www.legis.iowa.gov/docs/ico/chapter/910.pdf" Type="http://schemas.openxmlformats.org/officeDocument/2006/relationships/hyperlink" Id="rId7"/>
    <Relationship TargetMode="External" Target="https://www.legis.iowa.gov/docs/ico/chapter/905.14.pdf" Type="http://schemas.openxmlformats.org/officeDocument/2006/relationships/hyperlink" Id="rId8"/>
    <Relationship TargetMode="External" Target="https://www.legis.iowa.gov/docs/ico/chapter/905.14.pdf" Type="http://schemas.openxmlformats.org/officeDocument/2006/relationships/hyperlink" Id="rId9"/>
    <Relationship TargetMode="External" Target="https://www.legis.iowa.gov/docs/ico/chapter/905.15.pdf" Type="http://schemas.openxmlformats.org/officeDocument/2006/relationships/hyperlink" Id="rId10"/>
    <Relationship TargetMode="External" Target="https://www.legis.iowa.gov/docs/ico/chapter/905.pdf" Type="http://schemas.openxmlformats.org/officeDocument/2006/relationships/hyperlink" Id="rId11"/>
    <Relationship TargetMode="External" Target="https://www.legis.iowa.gov/docs/ico/chapter/907.pdf" Type="http://schemas.openxmlformats.org/officeDocument/2006/relationships/hyperlink" Id="rId12"/>
    <Relationship TargetMode="External" Target="https://www.legis.iowa.gov/docs/ico/chapter/908.11.pdf" Type="http://schemas.openxmlformats.org/officeDocument/2006/relationships/hyperlink" Id="rId13"/>
    <Relationship TargetMode="External" Target="https://www.legis.iowa.gov/docs/ico/chapter/910.5.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