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PRECONVICTION SERVICE</w:t>
      </w:r>
    </w:p>
    <w:p>
      <w:pPr>
        <w:spacing w:before="0" w:after="0"/>
        <w:ind w:left="120"/>
        <w:jc w:val="center"/>
      </w:pPr>
      <w:r>
        <w:rPr>
          <w:rFonts w:ascii="Times New Roman" w:hAnsi="Times New Roman"/>
          <w:b w:val="false"/>
          <w:i w:val="false"/>
          <w:color w:val="000000"/>
          <w:sz w:val="14"/>
        </w:rPr>
        <w:t>[Prior to 3/20/91, see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201—41.1</w:t>
      </w:r>
      <w:r>
        <w:rPr>
          <w:rFonts w:ascii="Times New Roman" w:hAnsi="Times New Roman"/>
          <w:b/>
          <w:i w:val="false"/>
          <w:color w:val="000000"/>
          <w:sz w:val="22"/>
        </w:rPr>
        <w:t xml:space="preserve">(811,905) </w:t>
      </w:r>
      <w:r>
        <w:rPr>
          <w:rFonts w:ascii="Times New Roman" w:hAnsi="Times New Roman"/>
          <w:b/>
          <w:i w:val="false"/>
          <w:color w:val="000000"/>
          <w:sz w:val="22"/>
        </w:rPr>
        <w:t xml:space="preserve">Pretrial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designate the staff responsible for providing pretrial interviews and release with services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establish a system of communications with law enforcement and the judiciary regarding the availability of pretrial services throughout the entire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policies and procedures assuring daily staff contact with all jails in the district for the purpose of determining the presence of persons eligible for a pretrial interview and shall have policy assuring that all eligible persons are provided an interview without unnecessary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district department shall have written policies establishing criteria for screening pretrial release candidates which require consideration of those items contained in Iowa Code section </w:t>
      </w:r>
      <w:hyperlink r:id="rId5">
        <w:r>
          <w:rPr>
            <w:rStyle w:val="Hyperlink"/>
            <w:rFonts w:ascii="Times New Roman" w:hAnsi="Times New Roman"/>
            <w:b w:val="false"/>
            <w:i w:val="false"/>
            <w:color w:val="000000"/>
            <w:sz w:val="22"/>
          </w:rPr>
          <w:t>811.2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that a case record is maintained on each active case under supervised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establish criteria for reporting violations of conditions of release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supervision of persons released to assure that adequate supervision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41.1(8)</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governing the notification of the agent or agencies responsible for correctional clients who receive pretrial interviews.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41.1(9)</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which establish a grievance procedure for all clients under supervision.</w:t>
      </w:r>
    </w:p>
    <w:p>
      <w:pPr>
        <w:spacing w:before="0" w:after="0"/>
        <w:ind w:left="120"/>
        <w:jc w:val="both"/>
      </w:pPr>
      <w:r>
        <w:rPr>
          <w:rFonts w:ascii="Times New Roman" w:hAnsi="Times New Roman"/>
          <w:b/>
          <w:i w:val="false"/>
          <w:color w:val="000000"/>
          <w:sz w:val="22"/>
        </w:rPr>
        <w:t>201—41.2</w:t>
      </w:r>
      <w:r>
        <w:rPr>
          <w:rFonts w:ascii="Times New Roman" w:hAnsi="Times New Roman"/>
          <w:b/>
          <w:i w:val="false"/>
          <w:color w:val="000000"/>
          <w:sz w:val="22"/>
        </w:rPr>
        <w:t xml:space="preserve">(901,905) </w:t>
      </w:r>
      <w:r>
        <w:rPr>
          <w:rFonts w:ascii="Times New Roman" w:hAnsi="Times New Roman"/>
          <w:b/>
          <w:i w:val="false"/>
          <w:color w:val="000000"/>
          <w:sz w:val="22"/>
        </w:rPr>
        <w:t xml:space="preserve">Presentence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be responsible for conducting all presentence investigations ordered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that all information required by the Code of Iowa is included in the presentence investigation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that the presentence investigation report includes an identification of client needs, protective factors and the results of a validated risk assessment as approved by the department of corrections with collaborative input from the judicial districts and other affected stakeholders.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the timely transmittal of the presentence report to the appropriate court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41.2(5)</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the confidentiality of the presentence report in accordance with the Code of Iowa and state regulations, insofar as department handling of the report is concerned.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41.2(6)</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concerning the content of presentence investigations ordered by the judiciary when the offense is an aggravated misdemeanor or higher.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901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11.2.pdf" Type="http://schemas.openxmlformats.org/officeDocument/2006/relationships/hyperlink" Id="rId5"/>
    <Relationship TargetMode="External" Target="https://www.legis.iowa.gov/docs/ico/chapter/901.pdf" Type="http://schemas.openxmlformats.org/officeDocument/2006/relationships/hyperlink" Id="rId6"/>
    <Relationship TargetMode="External" Target="https://www.legis.iowa.gov/docs/ico/chapter/90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