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SEX OFFENDER MANAGEMENT AND TREATMENT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201—38.1</w:t>
      </w:r>
      <w:r>
        <w:rPr>
          <w:rFonts w:ascii="Times New Roman" w:hAnsi="Times New Roman"/>
          <w:b/>
          <w:i w:val="false"/>
          <w:color w:val="000000"/>
          <w:sz w:val="22"/>
        </w:rPr>
        <w:t xml:space="preserve">(692A,903B) </w:t>
      </w:r>
      <w:r>
        <w:rPr>
          <w:rFonts w:ascii="Times New Roman" w:hAnsi="Times New Roman"/>
          <w:b/>
          <w:i w:val="false"/>
          <w:color w:val="000000"/>
          <w:sz w:val="22"/>
        </w:rPr>
        <w:t xml:space="preserve">Application of rules. </w:t>
      </w:r>
      <w:r>
        <w:rPr>
          <w:rFonts w:ascii="Times New Roman" w:hAnsi="Times New Roman"/>
          <w:b w:val="false"/>
          <w:i w:val="false"/>
          <w:color w:val="000000"/>
          <w:sz w:val="22"/>
        </w:rPr>
        <w:t>The following rules apply to sex offender electronic monitoring and hormonal intervention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8496B</w:t>
      </w:r>
      <w:r>
        <w:rPr>
          <w:rFonts w:ascii="Times New Roman" w:hAnsi="Times New Roman"/>
          <w:b w:val="false"/>
          <w:i w:val="false"/>
          <w:color w:val="000000"/>
          <w:sz w:val="16"/>
        </w:rPr>
        <w:t>, IAB 1/27/10, effective 3/3/10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201—38.2</w:t>
      </w:r>
      <w:r>
        <w:rPr>
          <w:rFonts w:ascii="Times New Roman" w:hAnsi="Times New Roman"/>
          <w:b/>
          <w:i w:val="false"/>
          <w:color w:val="000000"/>
          <w:sz w:val="22"/>
        </w:rPr>
        <w:t xml:space="preserve">(692A,903B) </w:t>
      </w:r>
      <w:r>
        <w:rPr>
          <w:rFonts w:ascii="Times New Roman" w:hAnsi="Times New Roman"/>
          <w:b/>
          <w:i w:val="false"/>
          <w:color w:val="000000"/>
          <w:sz w:val="22"/>
        </w:rPr>
        <w:t xml:space="preserve">Electronic monitoring. </w:t>
      </w:r>
      <w:r>
        <w:rPr>
          <w:rFonts w:ascii="Times New Roman" w:hAnsi="Times New Roman"/>
          <w:b w:val="false"/>
          <w:i w:val="false"/>
          <w:color w:val="000000"/>
          <w:sz w:val="22"/>
        </w:rPr>
        <w:t>It is the intent of the Iowa department of corrections that the electronic monitoring system (EMS) shall be used to enhance public safety. Appropriate levels of EMS should be used to verify the location and restrict the movement of sex offenders based upon a validated risk assessment, the sex offender’s criminal history, progress in treatment and supervision, and other relevant factors. EMS is additionally governed by the provisions of department of corrections policy OP-SOP-06.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Client” </w:t>
      </w:r>
      <w:r>
        <w:rPr>
          <w:rFonts w:ascii="Times New Roman" w:hAnsi="Times New Roman"/>
          <w:b w:val="false"/>
          <w:i w:val="false"/>
          <w:color w:val="000000"/>
          <w:sz w:val="22"/>
        </w:rPr>
        <w:t>means a person who is required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is a term used collectively for technology that determines the location of clients who have restricted movement while being supervised in their respective community.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color w:val="000000"/>
          <w:sz w:val="22"/>
        </w:rPr>
        <w:t xml:space="preserve">Selection of clients for EMS. </w:t>
      </w:r>
      <w:r>
        <w:rPr>
          <w:rFonts w:ascii="Times New Roman" w:hAnsi="Times New Roman"/>
          <w:b w:val="false"/>
          <w:i w:val="false"/>
          <w:color w:val="000000"/>
          <w:sz w:val="22"/>
        </w:rPr>
        <w:t xml:space="preserve">All clients on supervision for a current sex offense who are required to be registered as a sex offender under Iowa Code chapter </w:t>
      </w:r>
      <w:hyperlink r:id="rId5">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shall be placed on EMS immediately after assignment to supervision. This level may be changed based on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instrument. </w:t>
      </w:r>
      <w:r>
        <w:rPr>
          <w:rFonts w:ascii="Times New Roman" w:hAnsi="Times New Roman"/>
          <w:b w:val="false"/>
          <w:i w:val="false"/>
          <w:color w:val="000000"/>
          <w:sz w:val="22"/>
        </w:rPr>
        <w:t xml:space="preserve">Districts shall use the statewide approved  and validated risk/needs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victims. </w:t>
      </w:r>
      <w:r>
        <w:rPr>
          <w:rFonts w:ascii="Times New Roman" w:hAnsi="Times New Roman"/>
          <w:b w:val="false"/>
          <w:i w:val="false"/>
          <w:color w:val="000000"/>
          <w:sz w:val="22"/>
        </w:rPr>
        <w:t>The supervising judicial district department of correctional services shall notify a registered victim regarding a sex offender who is convicted of a sex offense against a minor and who is under the supervision of a judicial district department of correctional services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beginning date for use of an electronic tracking and monitoring system to supervise the sex offender and the type of electronic tracking and monitoring system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any modification to the use of an electronic tracking and monitoring system and the nature of the change.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Notification includes the initial notification to victims of the date that a client has been placed on an electronic monitoring device, notification as to the date an electronic monitoring device was changed with greater or less monitoring capabilities (GPS to radio frequency or radio frequency to GPS), and notification as to the date the client was removed from an 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38.2(5)</w:t>
      </w:r>
      <w:r>
        <w:rPr>
          <w:rFonts w:ascii="Times New Roman" w:hAnsi="Times New Roman"/>
          <w:b w:val="false"/>
          <w:i w:val="false"/>
          <w:color w:val="000000"/>
          <w:sz w:val="22"/>
        </w:rPr>
        <w:t> </w:t>
      </w:r>
      <w:r>
        <w:rPr>
          <w:rFonts w:ascii="Times New Roman" w:hAnsi="Times New Roman"/>
          <w:b w:val="false"/>
          <w:i/>
          <w:color w:val="000000"/>
          <w:sz w:val="22"/>
        </w:rPr>
        <w:t xml:space="preserve">Additional rules. </w:t>
      </w:r>
      <w:r>
        <w:rPr>
          <w:rFonts w:ascii="Times New Roman" w:hAnsi="Times New Roman"/>
          <w:b w:val="false"/>
          <w:i w:val="false"/>
          <w:color w:val="000000"/>
          <w:sz w:val="22"/>
        </w:rPr>
        <w:t xml:space="preserve">The department of public safety’s rules regarding the Iowa sex offender registry are published in </w:t>
      </w:r>
      <w:hyperlink r:id="rId6">
        <w:r>
          <w:rPr>
            <w:rStyle w:val="Hyperlink"/>
            <w:rFonts w:ascii="Times New Roman" w:hAnsi="Times New Roman"/>
            <w:b w:val="false"/>
            <w:i w:val="false"/>
            <w:color w:val="000000"/>
            <w:sz w:val="22"/>
          </w:rPr>
          <w:t>661—Chapter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8496B</w:t>
      </w:r>
      <w:r>
        <w:rPr>
          <w:rFonts w:ascii="Times New Roman" w:hAnsi="Times New Roman"/>
          <w:b w:val="false"/>
          <w:i w:val="false"/>
          <w:color w:val="000000"/>
          <w:sz w:val="16"/>
        </w:rPr>
        <w:t>, IAB 1/27/10, effective 3/3/10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201—38.3</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risk assessment.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1/27/10</w:t>
      </w:r>
      <w:r>
        <w:rPr>
          <w:rFonts w:ascii="Times New Roman" w:hAnsi="Times New Roman"/>
          <w:b w:val="false"/>
          <w:i w:val="false"/>
          <w:color w:val="000000"/>
          <w:sz w:val="22"/>
        </w:rPr>
        <w:t>, effective 3/3/10.</w:t>
      </w:r>
    </w:p>
    <w:p>
      <w:pPr>
        <w:spacing w:before="0" w:after="0"/>
        <w:ind w:left="120"/>
        <w:jc w:val="both"/>
      </w:pPr>
      <w:r>
        <w:rPr>
          <w:rFonts w:ascii="Times New Roman" w:hAnsi="Times New Roman"/>
          <w:b/>
          <w:i w:val="false"/>
          <w:color w:val="000000"/>
          <w:sz w:val="22"/>
        </w:rPr>
        <w:t>201—38.4</w:t>
      </w:r>
      <w:r>
        <w:rPr>
          <w:rFonts w:ascii="Times New Roman" w:hAnsi="Times New Roman"/>
          <w:b/>
          <w:i w:val="false"/>
          <w:color w:val="000000"/>
          <w:sz w:val="22"/>
        </w:rPr>
        <w:t xml:space="preserve">(903B) </w:t>
      </w:r>
      <w:r>
        <w:rPr>
          <w:rFonts w:ascii="Times New Roman" w:hAnsi="Times New Roman"/>
          <w:b/>
          <w:i w:val="false"/>
          <w:color w:val="000000"/>
          <w:sz w:val="22"/>
        </w:rPr>
        <w:t xml:space="preserve">Hormonal intervention therapy.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Affected clients. </w:t>
      </w:r>
      <w:r>
        <w:rPr>
          <w:rFonts w:ascii="Times New Roman" w:hAnsi="Times New Roman"/>
          <w:b w:val="false"/>
          <w:i w:val="false"/>
          <w:color w:val="000000"/>
          <w:sz w:val="22"/>
        </w:rPr>
        <w:t xml:space="preserve">All clients convicted of a “serious sex offense” in which the victim was a child who, at the time the offense was committed, was 12 years of age or younger; or clients convicted of a second or subsequent offense may be required to undergo hormonal intervention therapy as ordered by the court or board of parole in accordance with the provisions of Iowa Code section </w:t>
      </w:r>
      <w:hyperlink r:id="rId7">
        <w:r>
          <w:rPr>
            <w:rStyle w:val="Hyperlink"/>
            <w:rFonts w:ascii="Times New Roman" w:hAnsi="Times New Roman"/>
            <w:b w:val="false"/>
            <w:i w:val="false"/>
            <w:color w:val="000000"/>
            <w:sz w:val="22"/>
          </w:rPr>
          <w:t>903B.10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Agency responsibility. </w:t>
      </w:r>
      <w:r>
        <w:rPr>
          <w:rFonts w:ascii="Times New Roman" w:hAnsi="Times New Roman"/>
          <w:b w:val="false"/>
          <w:i w:val="false"/>
          <w:color w:val="000000"/>
          <w:sz w:val="22"/>
        </w:rPr>
        <w:t xml:space="preserve">The department of corrections, judicial districts’ departments of correctional services, and the board of parole responsibilities are defined in accordance with the provisions of Iowa Code section </w:t>
      </w:r>
      <w:hyperlink r:id="rId8">
        <w:r>
          <w:rPr>
            <w:rStyle w:val="Hyperlink"/>
            <w:rFonts w:ascii="Times New Roman" w:hAnsi="Times New Roman"/>
            <w:b w:val="false"/>
            <w:i w:val="false"/>
            <w:color w:val="000000"/>
            <w:sz w:val="22"/>
          </w:rPr>
          <w:t>903B.10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Assessment of affected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Psychosexual assessment. </w:t>
      </w:r>
      <w:r>
        <w:rPr>
          <w:rFonts w:ascii="Times New Roman" w:hAnsi="Times New Roman"/>
          <w:b w:val="false"/>
          <w:i w:val="false"/>
          <w:color w:val="000000"/>
          <w:sz w:val="22"/>
        </w:rPr>
        <w:t>A psychosexual assessment shall be conducted on all “affected” clients, as a part of the presentence investigation (PSI) prior to sentencing or upon entry into judicial district department of correctional services supervision or institutional placement if a referral for hormonal intervention therapy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psychosexual assessment shall be conducted by or under the direction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licensed psychologist;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person specifically trained and experienced in the professional administration, scoring and interpretation of psychological tests (graduate level coursework in testing and assessment);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staff member who meets the experience and educational requirements of the Iowa department of administrative services or Iowa community-based corrections psychologist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psychosexual assessment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Tests of emotional and mental stability.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I.Q. to measure capability.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Measure of denial of deviant sexual characteristics.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Plethysmography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assessment shall follow the statewide standardized format and shall include a determination as to the need and effectiveness of hormonal intervention therapy as well as treatment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If hormonal intervention therapy is recommended as an appropriate treatment component, the client shall receive a medical assessment to determine biological factors as related to hormonal intervention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Pharmaceuticals and distribution. </w:t>
      </w:r>
      <w:r>
        <w:rPr>
          <w:rFonts w:ascii="Times New Roman" w:hAnsi="Times New Roman"/>
          <w:b w:val="false"/>
          <w:i w:val="false"/>
          <w:color w:val="000000"/>
          <w:sz w:val="22"/>
        </w:rPr>
        <w:t>The director of corrections may contract the purchase and distribution process to reduce pharmaceutical costs and ensure effective distribution and management of all pharmaceuticals related to the hormonal therapy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Educational/treatment programming.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Hormonal intervention therapy is to be utilized in conjunction with a sex offender treatment program (SOTP). The client should be involved in concurrent cognitive-behavioral treatment. In all cases where the treatment plan includes hormonal therapy, the plan shall also include monitoring and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institutional or community-based corrections SOTPs shall meet the current Iowa board for the treatment of sexual abusers (IBTSA)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38.4(6)</w:t>
      </w:r>
      <w:r>
        <w:rPr>
          <w:rFonts w:ascii="Times New Roman" w:hAnsi="Times New Roman"/>
          <w:b w:val="false"/>
          <w:i w:val="false"/>
          <w:color w:val="000000"/>
          <w:sz w:val="22"/>
        </w:rPr>
        <w:t> </w:t>
      </w:r>
      <w:r>
        <w:rPr>
          <w:rFonts w:ascii="Times New Roman" w:hAnsi="Times New Roman"/>
          <w:b w:val="false"/>
          <w:i/>
          <w:color w:val="000000"/>
          <w:sz w:val="22"/>
        </w:rPr>
        <w:t xml:space="preserve">Application of hormonal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Utilization of hormonal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Therapy shall utilize medroxyprogesterone acetate (MPA) or other approved pharmaceutical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Therapy shall be initiated as soon as reasonably possible after the client is sentenced.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client is incarcerated within a local jurisdiction (jail, residential facility), the judicial district department of correctional services shall coordinate initiation of treatment prior to the release of the client from custody.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client is incarcerated within the department of corrections, initiation of treatment shall be determined by department of corrections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hormonal therapy by the client when the aforementioned criteria are not met shall be reviewed for consideration by the agency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course of supervision, the agency of jurisdiction may conduct a reassessment to determine if hormonal therapy should be considered or reconsidered as part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Monitoring/termination of hormonal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agency of jurisdiction shall continue to monitor the client’s therapy throughout the client’s confinement or supervision. The agency of jurisdiction may adjust medication, initiate other medication, or continue prescribed therapy with medical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Hormonal therapy may be discontinued only by the medical authority, with consent of the supervising officer. Termination requires a reassessment conclusion that the therapy has been determined ineffective or is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38.4(7)</w:t>
      </w:r>
      <w:r>
        <w:rPr>
          <w:rFonts w:ascii="Times New Roman" w:hAnsi="Times New Roman"/>
          <w:b w:val="false"/>
          <w:i w:val="false"/>
          <w:color w:val="000000"/>
          <w:sz w:val="22"/>
        </w:rPr>
        <w:t> </w:t>
      </w:r>
      <w:r>
        <w:rPr>
          <w:rFonts w:ascii="Times New Roman" w:hAnsi="Times New Roman"/>
          <w:b w:val="false"/>
          <w:i/>
          <w:color w:val="000000"/>
          <w:sz w:val="22"/>
        </w:rPr>
        <w:t xml:space="preserve">Client fees. </w:t>
      </w:r>
      <w:r>
        <w:rPr>
          <w:rFonts w:ascii="Times New Roman" w:hAnsi="Times New Roman"/>
          <w:b w:val="false"/>
          <w:i w:val="false"/>
          <w:color w:val="000000"/>
          <w:sz w:val="22"/>
        </w:rPr>
        <w:t>Clients are required to pay a reasonable fee for the costs related to hormonal therapy. Client fees shall be based on the client’s ability to pay as determined by the statewide client fee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38.4(8)</w:t>
      </w:r>
      <w:r>
        <w:rPr>
          <w:rFonts w:ascii="Times New Roman" w:hAnsi="Times New Roman"/>
          <w:b w:val="false"/>
          <w:i w:val="false"/>
          <w:color w:val="000000"/>
          <w:sz w:val="22"/>
        </w:rPr>
        <w:t> </w:t>
      </w:r>
      <w:r>
        <w:rPr>
          <w:rFonts w:ascii="Times New Roman" w:hAnsi="Times New Roman"/>
          <w:b w:val="false"/>
          <w:i/>
          <w:color w:val="000000"/>
          <w:sz w:val="22"/>
        </w:rPr>
        <w:t xml:space="preserve">Maintenance/transfer of records. </w:t>
      </w:r>
      <w:r>
        <w:rPr>
          <w:rFonts w:ascii="Times New Roman" w:hAnsi="Times New Roman"/>
          <w:b w:val="false"/>
          <w:i w:val="false"/>
          <w:color w:val="000000"/>
          <w:sz w:val="22"/>
        </w:rPr>
        <w:t>Client file information shall be available and shared upon request between responsible agencies including court of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These rules are intended to implement Iowa Code chapters </w:t>
      </w:r>
      <w:hyperlink r:id="rId9">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and  </w:t>
      </w:r>
      <w:hyperlink r:id="rId10">
        <w:r>
          <w:rPr>
            <w:rStyle w:val="Hyperlink"/>
            <w:rFonts w:ascii="Times New Roman" w:hAnsi="Times New Roman"/>
            <w:b w:val="false"/>
            <w:i w:val="false"/>
            <w:color w:val="000000"/>
            <w:sz w:val="22"/>
          </w:rPr>
          <w:t>903B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7/10/98—published 7/29/98, effective 7/10/98]</w:t>
      </w:r>
    </w:p>
    <w:p>
      <w:pPr>
        <w:spacing w:before="0" w:after="0"/>
        <w:ind w:left="120"/>
        <w:jc w:val="center"/>
      </w:pPr>
      <w:r>
        <w:rPr>
          <w:rFonts w:ascii="Times New Roman" w:hAnsi="Times New Roman"/>
          <w:b w:val="false"/>
          <w:i w:val="false"/>
          <w:color w:val="000000"/>
          <w:sz w:val="21"/>
        </w:rPr>
        <w:t>[Filed 10/16/98, Notice 7/29/98—published 11/4/98, effective 12/9/98]</w:t>
      </w:r>
    </w:p>
    <w:p>
      <w:pPr>
        <w:spacing w:before="0" w:after="0"/>
        <w:ind w:left="120"/>
        <w:jc w:val="center"/>
      </w:pPr>
      <w:r>
        <w:rPr>
          <w:rFonts w:ascii="Times New Roman" w:hAnsi="Times New Roman"/>
          <w:b w:val="false"/>
          <w:i w:val="false"/>
          <w:color w:val="000000"/>
          <w:sz w:val="21"/>
        </w:rPr>
        <w:t>[Filed 2/12/01, Notice 12/13/00—published 3/7/01, effective 4/11/01]</w:t>
      </w:r>
    </w:p>
    <w:p>
      <w:pPr>
        <w:spacing w:before="0" w:after="0"/>
        <w:ind w:left="120"/>
        <w:jc w:val="center"/>
      </w:pPr>
      <w:r>
        <w:rPr>
          <w:rFonts w:ascii="Times New Roman" w:hAnsi="Times New Roman"/>
          <w:b w:val="false"/>
          <w:i w:val="false"/>
          <w:color w:val="000000"/>
          <w:sz w:val="21"/>
        </w:rPr>
        <w:t>[Filed emergency 6/4/01—published 6/27/01, effective 6/4/01]</w:t>
      </w:r>
    </w:p>
    <w:p>
      <w:pPr>
        <w:spacing w:before="0" w:after="0"/>
        <w:ind w:left="120"/>
        <w:jc w:val="center"/>
      </w:pPr>
      <w:r>
        <w:rPr>
          <w:rFonts w:ascii="Times New Roman" w:hAnsi="Times New Roman"/>
          <w:b w:val="false"/>
          <w:i w:val="false"/>
          <w:color w:val="000000"/>
          <w:sz w:val="21"/>
        </w:rPr>
        <w:t>[Filed emergency 6/26/03—published 7/23/03, effective 6/26/03]</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emergency 7/15/05—published 8/3/05, effective 7/15/05]</w:t>
      </w:r>
    </w:p>
    <w:p>
      <w:pPr>
        <w:spacing w:before="0" w:after="0"/>
        <w:ind w:left="120"/>
        <w:jc w:val="center"/>
      </w:pPr>
      <w:r>
        <w:rPr>
          <w:rFonts w:ascii="Times New Roman" w:hAnsi="Times New Roman"/>
          <w:b w:val="false"/>
          <w:i w:val="false"/>
          <w:color w:val="000000"/>
          <w:sz w:val="21"/>
        </w:rPr>
        <w:t>[Filed 9/9/05, Notice 8/3/05—published 9/28/05, effective 11/2/05]</w:t>
      </w:r>
    </w:p>
    <w:p>
      <w:pPr>
        <w:spacing w:before="0" w:after="0"/>
        <w:ind w:left="120"/>
        <w:jc w:val="center"/>
      </w:pPr>
      <w:r>
        <w:rPr>
          <w:rFonts w:ascii="Times New Roman" w:hAnsi="Times New Roman"/>
          <w:b w:val="false"/>
          <w:i w:val="false"/>
          <w:color w:val="000000"/>
          <w:sz w:val="21"/>
        </w:rPr>
        <w:t>[Filed 6/14/06, Notice 4/12/06—published 7/5/06, effective 8/9/06]</w:t>
      </w:r>
    </w:p>
    <w:p>
      <w:pPr>
        <w:spacing w:before="0" w:after="0"/>
        <w:ind w:left="120"/>
        <w:jc w:val="center"/>
      </w:pPr>
      <w:r>
        <w:rPr>
          <w:rFonts w:ascii="Times New Roman" w:hAnsi="Times New Roman"/>
          <w:b w:val="false"/>
          <w:i w:val="false"/>
          <w:color w:val="000000"/>
          <w:sz w:val="21"/>
        </w:rPr>
        <w:t>[Filed ARC 8496B</w:t>
      </w:r>
      <w:r>
        <w:rPr>
          <w:rFonts w:ascii="Times New Roman" w:hAnsi="Times New Roman"/>
          <w:b w:val="false"/>
          <w:i w:val="false"/>
          <w:color w:val="000000"/>
          <w:sz w:val="21"/>
        </w:rPr>
        <w:t xml:space="preserve"> (Notice ARC 8321B, IAB 12/2/09)</w:t>
      </w:r>
      <w:r>
        <w:rPr>
          <w:rFonts w:ascii="Times New Roman" w:hAnsi="Times New Roman"/>
          <w:b w:val="false"/>
          <w:i w:val="false"/>
          <w:color w:val="000000"/>
          <w:sz w:val="21"/>
        </w:rPr>
        <w:t>, IAB 1/27/10, effective 3/3/10]</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A.pdf" Type="http://schemas.openxmlformats.org/officeDocument/2006/relationships/hyperlink" Id="rId5"/>
    <Relationship TargetMode="External" Target="https://www.legis.iowa.gov/docs/iac/chapter/661.83.pdf" Type="http://schemas.openxmlformats.org/officeDocument/2006/relationships/hyperlink" Id="rId6"/>
    <Relationship TargetMode="External" Target="https://www.legis.iowa.gov/docs/ico/chapter/903B.10.pdf" Type="http://schemas.openxmlformats.org/officeDocument/2006/relationships/hyperlink" Id="rId7"/>
    <Relationship TargetMode="External" Target="https://www.legis.iowa.gov/docs/ico/chapter/903B.10.pdf" Type="http://schemas.openxmlformats.org/officeDocument/2006/relationships/hyperlink" Id="rId8"/>
    <Relationship TargetMode="External" Target="https://www.legis.iowa.gov/docs/ico/chapter/692A.pdf" Type="http://schemas.openxmlformats.org/officeDocument/2006/relationships/hyperlink" Id="rId9"/>
    <Relationship TargetMode="External" Target="https://www.legis.iowa.gov/docs/ico/chapter/903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