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2506</w:t>
      </w:r>
    </w:p>
    <w:p>
      <w:pPr>
        <w:spacing w:before="0" w:after="0"/>
        <w:ind w:left="120"/>
        <w:jc w:val="center"/>
      </w:pPr>
      <w:r>
        <w:rPr>
          <w:rFonts w:ascii="Times New Roman" w:hAnsi="Times New Roman"/>
          <w:b w:val="false"/>
          <w:i w:val="false"/>
          <w:color w:val="000000"/>
          <w:sz w:val="21"/>
        </w:rPr>
        <w:t>CONTESTED CASES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 through 2506</w:t>
        </w:r>
      </w:hyperlink>
      <w:r>
        <w:rPr>
          <w:rFonts w:ascii="Times New Roman" w:hAnsi="Times New Roman"/>
          <w:b w:val="false"/>
          <w:i w:val="false"/>
          <w:color w:val="000000"/>
          <w:sz w:val="22"/>
        </w:rPr>
        <w:t xml:space="preserve">, are rules generally applicable to agencies pursuant to Iowa Code section </w:t>
      </w:r>
      <w:hyperlink r:id="rId6">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ind w:left="120"/>
        <w:jc w:val="both"/>
      </w:pPr>
      <w:r>
        <w:rPr>
          <w:rFonts w:ascii="Times New Roman" w:hAnsi="Times New Roman"/>
          <w:b w:val="false"/>
          <w:i w:val="false"/>
          <w:color w:val="000000"/>
          <w:sz w:val="22"/>
        </w:rPr>
        <w:t xml:space="preserve">The following rules are intended to align the department’s statutory inspection duties under Iowa Code sections </w:t>
      </w:r>
      <w:hyperlink r:id="rId7">
        <w:r>
          <w:rPr>
            <w:rStyle w:val="Hyperlink"/>
            <w:rFonts w:ascii="Times New Roman" w:hAnsi="Times New Roman"/>
            <w:b w:val="false"/>
            <w:i w:val="false"/>
            <w:color w:val="000000"/>
            <w:sz w:val="22"/>
          </w:rPr>
          <w:t>356.36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356.43</w:t>
        </w:r>
      </w:hyperlink>
      <w:r>
        <w:rPr>
          <w:rFonts w:ascii="Times New Roman" w:hAnsi="Times New Roman"/>
          <w:b w:val="false"/>
          <w:i w:val="false"/>
          <w:color w:val="000000"/>
          <w:sz w:val="22"/>
        </w:rPr>
        <w:t xml:space="preserve"> with the statewide uniform contested case procedures by establishing the prehearing process for notices of noncompliance and informal settlements.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201—2506.32</w:t>
      </w:r>
      <w:r>
        <w:rPr>
          <w:rFonts w:ascii="Times New Roman" w:hAnsi="Times New Roman"/>
          <w:b/>
          <w:i w:val="false"/>
          <w:color w:val="000000"/>
          <w:sz w:val="22"/>
        </w:rPr>
        <w:t xml:space="preserve">(17A,356) </w:t>
      </w:r>
      <w:r>
        <w:rPr>
          <w:rFonts w:ascii="Times New Roman" w:hAnsi="Times New Roman"/>
          <w:b/>
          <w:i w:val="false"/>
          <w:color w:val="000000"/>
          <w:sz w:val="22"/>
        </w:rPr>
        <w:t xml:space="preserve">Notice of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w:t>
      </w:r>
      <w:r>
        <w:rPr>
          <w:rFonts w:ascii="Times New Roman" w:hAnsi="Times New Roman"/>
          <w:b w:val="false"/>
          <w:i w:val="false"/>
          <w:color w:val="000000"/>
          <w:sz w:val="22"/>
        </w:rPr>
        <w:t> </w:t>
      </w:r>
      <w:r>
        <w:rPr>
          <w:rFonts w:ascii="Times New Roman" w:hAnsi="Times New Roman"/>
          <w:b w:val="false"/>
          <w:i w:val="false"/>
          <w:color w:val="000000"/>
          <w:sz w:val="22"/>
        </w:rPr>
        <w:t>When the director or director’s designee of the department of corrections determines that an agency or facility accredited by the department is not in compliance with state standards, or when an order of closure is issued, the appropriate administrator shall be notified of the noncompliance status.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statute(s) and any rules(s) alleged to have been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deficiencies cited.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period allowed for submission of an acceptable plan of compliance if submission of a plan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of the facility or agency may submit the plan of compliance within the appropriate time limitation or may request a hearing pursuant to rule </w:t>
      </w:r>
      <w:hyperlink r:id="rId9">
        <w:r>
          <w:rPr>
            <w:rStyle w:val="Hyperlink"/>
            <w:rFonts w:ascii="Times New Roman" w:hAnsi="Times New Roman"/>
            <w:b w:val="false"/>
            <w:i w:val="false"/>
            <w:color w:val="000000"/>
            <w:sz w:val="22"/>
          </w:rPr>
          <w:t>201—2506.34</w:t>
        </w:r>
      </w:hyperlink>
      <w:r>
        <w:rPr>
          <w:rFonts w:ascii="Times New Roman" w:hAnsi="Times New Roman"/>
          <w:b w:val="false"/>
          <w:i w:val="false"/>
          <w:color w:val="000000"/>
          <w:sz w:val="22"/>
        </w:rPr>
        <w:t>(17A,356).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201—2506.33</w:t>
      </w:r>
      <w:r>
        <w:rPr>
          <w:rFonts w:ascii="Times New Roman" w:hAnsi="Times New Roman"/>
          <w:b/>
          <w:i w:val="false"/>
          <w:color w:val="000000"/>
          <w:sz w:val="22"/>
        </w:rPr>
        <w:t xml:space="preserve">(17A,356)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The director or the respondent may request that an informal conference be held to determine whether the noncompliance matter can be resolved in a just manner in furtherance of the public interest. Neither the director nor respondent is required to use this informal procedure. If the director and respondent agree to negotiate a settlement, the various points of the settlement, including a stipulated statement of facts, shall be set forth in writing and shall be binding on both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201—2506.34</w:t>
      </w:r>
      <w:r>
        <w:rPr>
          <w:rFonts w:ascii="Times New Roman" w:hAnsi="Times New Roman"/>
          <w:b/>
          <w:i w:val="false"/>
          <w:color w:val="000000"/>
          <w:sz w:val="22"/>
        </w:rPr>
        <w:t xml:space="preserve">(17A,356) </w:t>
      </w:r>
      <w:r>
        <w:rPr>
          <w:rFonts w:ascii="Times New Roman" w:hAnsi="Times New Roman"/>
          <w:b/>
          <w:i w:val="false"/>
          <w:color w:val="000000"/>
          <w:sz w:val="22"/>
        </w:rPr>
        <w:t xml:space="preserve">The right to request hearing. </w:t>
      </w:r>
      <w:r>
        <w:rPr>
          <w:rFonts w:ascii="Times New Roman" w:hAnsi="Times New Roman"/>
          <w:b w:val="false"/>
          <w:i w:val="false"/>
          <w:color w:val="000000"/>
          <w:sz w:val="22"/>
        </w:rPr>
        <w:t>A hearing will be granted to any agency or facility aggrieved by action of the department when the right to a hearing is granted by the state or federal law or constitution, except as limited herein. A hearing will not be granted when a state or federal law or regulation provides for a different forum for appeals. A prematurely filed appeal may be dismissed.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201—2506.35</w:t>
      </w:r>
      <w:r>
        <w:rPr>
          <w:rFonts w:ascii="Times New Roman" w:hAnsi="Times New Roman"/>
          <w:b/>
          <w:i w:val="false"/>
          <w:color w:val="000000"/>
          <w:sz w:val="22"/>
        </w:rPr>
        <w:t xml:space="preserve">(17A,356) </w:t>
      </w:r>
      <w:r>
        <w:rPr>
          <w:rFonts w:ascii="Times New Roman" w:hAnsi="Times New Roman"/>
          <w:b/>
          <w:i w:val="false"/>
          <w:color w:val="000000"/>
          <w:sz w:val="22"/>
        </w:rPr>
        <w:t xml:space="preserve">Order for hearing. </w:t>
      </w:r>
      <w:r>
        <w:rPr>
          <w:rFonts w:ascii="Times New Roman" w:hAnsi="Times New Roman"/>
          <w:b w:val="false"/>
          <w:i w:val="false"/>
          <w:color w:val="000000"/>
          <w:sz w:val="22"/>
        </w:rPr>
        <w:t xml:space="preserve">Upon determination that a plan of compliance is not sufficient to effectuate compliance, or upon request by the agency or facility pursuant to rule </w:t>
      </w:r>
      <w:hyperlink r:id="rId10">
        <w:r>
          <w:rPr>
            <w:rStyle w:val="Hyperlink"/>
            <w:rFonts w:ascii="Times New Roman" w:hAnsi="Times New Roman"/>
            <w:b w:val="false"/>
            <w:i w:val="false"/>
            <w:color w:val="000000"/>
            <w:sz w:val="22"/>
          </w:rPr>
          <w:t>201—2506.34</w:t>
        </w:r>
      </w:hyperlink>
      <w:r>
        <w:rPr>
          <w:rFonts w:ascii="Times New Roman" w:hAnsi="Times New Roman"/>
          <w:b w:val="false"/>
          <w:i w:val="false"/>
          <w:color w:val="000000"/>
          <w:sz w:val="22"/>
        </w:rPr>
        <w:t xml:space="preserve">(17A,356), the department shall issue an order fixing the time and place for hearing pursuant to rule </w:t>
      </w:r>
      <w:hyperlink r:id="rId11">
        <w:r>
          <w:rPr>
            <w:rStyle w:val="Hyperlink"/>
            <w:rFonts w:ascii="Times New Roman" w:hAnsi="Times New Roman"/>
            <w:b w:val="false"/>
            <w:i w:val="false"/>
            <w:color w:val="000000"/>
            <w:sz w:val="22"/>
          </w:rPr>
          <w:t>201—2506.5</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3">
        <w:r>
          <w:rPr>
            <w:rStyle w:val="Hyperlink"/>
            <w:rFonts w:ascii="Times New Roman" w:hAnsi="Times New Roman"/>
            <w:b w:val="false"/>
            <w:i w:val="false"/>
            <w:color w:val="000000"/>
            <w:sz w:val="22"/>
          </w:rPr>
          <w:t>356.36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356.43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0328D, IAB 6/10/26, effective 6/30/26]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2506.pdf" Type="http://schemas.openxmlformats.org/officeDocument/2006/relationships/hyperlink" Id="rId5"/>
    <Relationship TargetMode="External" Target="https://www.legis.iowa.gov/docs/ico/chapter/17A.24.pdf" Type="http://schemas.openxmlformats.org/officeDocument/2006/relationships/hyperlink" Id="rId6"/>
    <Relationship TargetMode="External" Target="https://www.legis.iowa.gov/docs/ico/chapter/356.36.pdf" Type="http://schemas.openxmlformats.org/officeDocument/2006/relationships/hyperlink" Id="rId7"/>
    <Relationship TargetMode="External" Target="https://www.legis.iowa.gov/docs/ico/chapter/356.43.pdf" Type="http://schemas.openxmlformats.org/officeDocument/2006/relationships/hyperlink" Id="rId8"/>
    <Relationship TargetMode="External" Target="https://www.legis.iowa.gov/docs/iac/rule/201.2506.34.pdf" Type="http://schemas.openxmlformats.org/officeDocument/2006/relationships/hyperlink" Id="rId9"/>
    <Relationship TargetMode="External" Target="https://www.legis.iowa.gov/docs/iac/rule/201.2506.34.pdf" Type="http://schemas.openxmlformats.org/officeDocument/2006/relationships/hyperlink" Id="rId10"/>
    <Relationship TargetMode="External" Target="https://www.legis.iowa.gov/docs/iac/rule/201.2506.5.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356.36.pdf" Type="http://schemas.openxmlformats.org/officeDocument/2006/relationships/hyperlink" Id="rId13"/>
    <Relationship TargetMode="External" Target="https://www.legis.iowa.gov/docs/ico/chapter/356.43.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