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2504</w:t>
      </w:r>
    </w:p>
    <w:p>
      <w:pPr>
        <w:spacing w:before="0" w:after="0"/>
        <w:ind w:left="120"/>
        <w:jc w:val="center"/>
      </w:pPr>
      <w:r>
        <w:rPr>
          <w:rFonts w:ascii="Times New Roman" w:hAnsi="Times New Roman"/>
          <w:b w:val="false"/>
          <w:i w:val="false"/>
          <w:color w:val="000000"/>
          <w:sz w:val="21"/>
        </w:rPr>
        <w:t>RULE WAIVERS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 through 2506</w:t>
        </w:r>
      </w:hyperlink>
      <w:r>
        <w:rPr>
          <w:rFonts w:ascii="Times New Roman" w:hAnsi="Times New Roman"/>
          <w:b w:val="false"/>
          <w:i w:val="false"/>
          <w:color w:val="000000"/>
          <w:sz w:val="22"/>
        </w:rPr>
        <w:t xml:space="preserve">, are rules generally applicable to agencies pursuant to Iowa Code section </w:t>
      </w:r>
      <w:hyperlink r:id="rId6">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201—2504.6</w:t>
      </w:r>
      <w:r>
        <w:rPr>
          <w:rFonts w:ascii="Times New Roman" w:hAnsi="Times New Roman"/>
          <w:b/>
          <w:i w:val="false"/>
          <w:color w:val="000000"/>
          <w:sz w:val="22"/>
        </w:rPr>
        <w:t xml:space="preserve">(904)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department is authorized or required to keep confidential. The department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904.108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0328D, IAB 6/10/26, effective 6/30/26]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2506.pdf" Type="http://schemas.openxmlformats.org/officeDocument/2006/relationships/hyperlink" Id="rId5"/>
    <Relationship TargetMode="External" Target="https://www.legis.iowa.gov/docs/ico/chapter/17A.24.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17A.9A.pdf" Type="http://schemas.openxmlformats.org/officeDocument/2006/relationships/hyperlink" Id="rId9"/>
    <Relationship TargetMode="External" Target="https://www.legis.iowa.gov/docs/ico/chapter/904.108.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