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w:t>
      </w:r>
    </w:p>
    <w:p>
      <w:pPr>
        <w:pBdr>
          <w:bottom w:space="3"/>
        </w:pBdr>
        <w:spacing w:before="0" w:after="0"/>
        <w:ind w:left="120"/>
        <w:jc w:val="center"/>
      </w:pPr>
      <w:r>
        <w:rPr>
          <w:rFonts w:ascii="Times New Roman" w:hAnsi="Times New Roman"/>
          <w:b w:val="false"/>
          <w:i/>
          <w:color w:val="000000"/>
          <w:sz w:val="16"/>
        </w:rPr>
        <w:t>INSTITUTIONS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INSTITUTIONS ADMINISTRATION</w:t>
      </w:r>
    </w:p>
    <w:p>
      <w:pPr>
        <w:spacing w:before="0" w:after="0"/>
        <w:ind w:left="120"/>
        <w:jc w:val="center"/>
      </w:pPr>
      <w:r>
        <w:rPr>
          <w:rFonts w:ascii="Times New Roman" w:hAnsi="Times New Roman"/>
          <w:b w:val="false"/>
          <w:i w:val="false"/>
          <w:color w:val="000000"/>
          <w:sz w:val="14"/>
        </w:rPr>
        <w:t>[Prior to 10/1/83, Social Services[770] Ch 16]</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201—20.1</w:t>
      </w:r>
      <w:r>
        <w:rPr>
          <w:rFonts w:ascii="Times New Roman" w:hAnsi="Times New Roman"/>
          <w:b/>
          <w:i w:val="false"/>
          <w:color w:val="000000"/>
          <w:sz w:val="22"/>
        </w:rPr>
        <w:t xml:space="preserve">(904) </w:t>
      </w:r>
      <w:r>
        <w:rPr>
          <w:rFonts w:ascii="Times New Roman" w:hAnsi="Times New Roman"/>
          <w:b/>
          <w:i w:val="false"/>
          <w:color w:val="000000"/>
          <w:sz w:val="22"/>
        </w:rPr>
        <w:t xml:space="preserve">Application of rules. </w:t>
      </w:r>
      <w:r>
        <w:rPr>
          <w:rFonts w:ascii="Times New Roman" w:hAnsi="Times New Roman"/>
          <w:b w:val="false"/>
          <w:i w:val="false"/>
          <w:color w:val="000000"/>
          <w:sz w:val="22"/>
        </w:rPr>
        <w:t>The rules in this chapter apply to all adult correctional institutions unless otherwise stated. The institutions covered by these rules are the Iowa state penitentiary, Fort Madison, the Anamosa state penitentiary, Anamosa, the Iowa correctional institution for women, Mitchellville, the Iowa medical and classification center, Coralville, the Newton correctional facility, Newton, the Mt. Pleasant correctional facility, Mt. Pleasant, the Clarinda correctional facility, Clarinda, the north central correctional facility, Rockwell City, and the Fort Dodge correctional facility, Fort Dodge.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201—20.2</w:t>
      </w:r>
      <w:r>
        <w:rPr>
          <w:rFonts w:ascii="Times New Roman" w:hAnsi="Times New Roman"/>
          <w:b/>
          <w:i w:val="false"/>
          <w:color w:val="000000"/>
          <w:sz w:val="22"/>
        </w:rPr>
        <w:t xml:space="preserve">(904) </w:t>
      </w:r>
      <w:r>
        <w:rPr>
          <w:rFonts w:ascii="Times New Roman" w:hAnsi="Times New Roman"/>
          <w:b/>
          <w:i w:val="false"/>
          <w:color w:val="000000"/>
          <w:sz w:val="22"/>
        </w:rPr>
        <w:t xml:space="preserve">Title II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 Disciplinary Report” </w:t>
      </w:r>
      <w:r>
        <w:rPr>
          <w:rFonts w:ascii="Times New Roman" w:hAnsi="Times New Roman"/>
          <w:b w:val="false"/>
          <w:i w:val="false"/>
          <w:color w:val="000000"/>
          <w:sz w:val="22"/>
        </w:rPr>
        <w:t>means the same as a major report and is defined in department policy IO-RD-03.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II Disciplinary Report” </w:t>
      </w:r>
      <w:r>
        <w:rPr>
          <w:rFonts w:ascii="Times New Roman" w:hAnsi="Times New Roman"/>
          <w:b w:val="false"/>
          <w:i w:val="false"/>
          <w:color w:val="000000"/>
          <w:sz w:val="22"/>
        </w:rPr>
        <w:t>means the same as a minor report and is defined in department policy IO-RD-02.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“Commercially published information or material” </w:t>
      </w:r>
      <w:r>
        <w:rPr>
          <w:rFonts w:ascii="Times New Roman" w:hAnsi="Times New Roman"/>
          <w:b w:val="false"/>
          <w:i w:val="false"/>
          <w:color w:val="000000"/>
          <w:sz w:val="22"/>
        </w:rPr>
        <w:t>means any book, booklet, pamphlet, magazine, periodical, newsletter, photograph or other pictorial depiction, or similar document, including stationery and greeting cards, published by any individual, organization, company, or corporation, which is distributed or made available through any means or media for commercial purposes. This definition includes any portion extracted, photocopied, or clipped from such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means weapons; alcohol; drugs; money; obscene materials; or materials advocating disruption of or injury to incarcerated individuals, employees, programs, or physical facilities. Contraband shall also include anything which is illegal to possess under federal or state law; anything which is against institutional regulations; drugs or alcohol or materials which are used in the production or use of drugs or alcohol or weapons, explosives, or potential weapons and explosives; and altered authorized property. The term also includes possession or use of any prohibited communication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“Features” </w:t>
      </w:r>
      <w:r>
        <w:rPr>
          <w:rFonts w:ascii="Times New Roman" w:hAnsi="Times New Roman"/>
          <w:b w:val="false"/>
          <w:i w:val="false"/>
          <w:color w:val="000000"/>
          <w:sz w:val="22"/>
        </w:rPr>
        <w:t>means that the publication contains depictions of nudity or sexually explicit conduct on a routine or regular basis or promotes itself based upon such depictions in the case of individual one-time issues. Publications containing nudity illustrative of medical, educational, or anthropological content may be excluded from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“Furlough” </w:t>
      </w:r>
      <w:r>
        <w:rPr>
          <w:rFonts w:ascii="Times New Roman" w:hAnsi="Times New Roman"/>
          <w:b w:val="false"/>
          <w:i w:val="false"/>
          <w:color w:val="000000"/>
          <w:sz w:val="22"/>
        </w:rPr>
        <w:t xml:space="preserve">means any temporary release from custody as granted in accordance with Iowa Code section </w:t>
      </w:r>
      <w:hyperlink r:id="rId6">
        <w:r>
          <w:rPr>
            <w:rStyle w:val="Hyperlink"/>
            <w:rFonts w:ascii="Times New Roman" w:hAnsi="Times New Roman"/>
            <w:b w:val="false"/>
            <w:i w:val="false"/>
            <w:color w:val="000000"/>
            <w:sz w:val="22"/>
          </w:rPr>
          <w:t>904.108(2)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“Furlough residence” </w:t>
      </w:r>
      <w:r>
        <w:rPr>
          <w:rFonts w:ascii="Times New Roman" w:hAnsi="Times New Roman"/>
          <w:b w:val="false"/>
          <w:i w:val="false"/>
          <w:color w:val="000000"/>
          <w:sz w:val="22"/>
        </w:rPr>
        <w:t>means any private dwelling, apartment, house, trailer court, hotel, motel or community dwelling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an incarcerated individual’s spouse, mother, father, sister, brother, child, grandparent, established legal guardian or other who acted in place of parents, and step- or half-relation if the step- or half-relation and the incarcerated individual were raised as cohabiting siblings.</w:t>
      </w:r>
    </w:p>
    <w:p>
      <w:pPr>
        <w:spacing w:before="0" w:after="0"/>
        <w:ind w:left="120"/>
        <w:jc w:val="both"/>
      </w:pPr>
      <w:r>
        <w:rPr>
          <w:rFonts w:ascii="Times New Roman" w:hAnsi="Times New Roman"/>
          <w:b w:val="false"/>
          <w:i w:val="false"/>
          <w:color w:val="000000"/>
          <w:sz w:val="22"/>
        </w:rPr>
        <w:t>For the purpose of visitation, all the above will be included as immediate family provided a positive relationship exists. Immediate family members may be subject to criminal background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checks” </w:t>
      </w:r>
      <w:r>
        <w:rPr>
          <w:rFonts w:ascii="Times New Roman" w:hAnsi="Times New Roman"/>
          <w:b w:val="false"/>
          <w:i w:val="false"/>
          <w:color w:val="000000"/>
          <w:sz w:val="22"/>
        </w:rPr>
        <w:t>means prescheduled, in person, check-ins at designated law enforcement agencies such as police departments, sheriff’s offices and highway patrol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practitioner” </w:t>
      </w:r>
      <w:r>
        <w:rPr>
          <w:rFonts w:ascii="Times New Roman" w:hAnsi="Times New Roman"/>
          <w:b w:val="false"/>
          <w:i w:val="false"/>
          <w:color w:val="000000"/>
          <w:sz w:val="22"/>
        </w:rPr>
        <w:t>means medical doctor, osteopathic physician or physician assistant employed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“Nudity” </w:t>
      </w:r>
      <w:r>
        <w:rPr>
          <w:rFonts w:ascii="Times New Roman" w:hAnsi="Times New Roman"/>
          <w:b w:val="false"/>
          <w:i w:val="false"/>
          <w:color w:val="000000"/>
          <w:sz w:val="22"/>
        </w:rPr>
        <w:t>means a pictorial depiction where genitalia or female breasts are exposed. When the pictorial depiction of the female breast displays the areola or nipple, this material will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“Obscene material” </w:t>
      </w:r>
      <w:r>
        <w:rPr>
          <w:rFonts w:ascii="Times New Roman" w:hAnsi="Times New Roman"/>
          <w:b w:val="false"/>
          <w:i w:val="false"/>
          <w:color w:val="000000"/>
          <w:sz w:val="22"/>
        </w:rPr>
        <w:t>means the same as that described in 20.6(5).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 </w:t>
      </w:r>
      <w:r>
        <w:rPr>
          <w:rFonts w:ascii="Times New Roman" w:hAnsi="Times New Roman"/>
          <w:b w:val="false"/>
          <w:i w:val="false"/>
          <w:color w:val="000000"/>
          <w:sz w:val="22"/>
        </w:rPr>
        <w:t>means evaluation of work and program participation as well as other areas of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payment” </w:t>
      </w:r>
      <w:r>
        <w:rPr>
          <w:rFonts w:ascii="Times New Roman" w:hAnsi="Times New Roman"/>
          <w:b w:val="false"/>
          <w:i w:val="false"/>
          <w:color w:val="000000"/>
          <w:sz w:val="22"/>
        </w:rPr>
        <w:t>means the method by which the incarcerated individual is to make restitution. The plan may include legal financial obligations. The plan is to reflect the incarcerated individual’s present circumstances, such as income, physical and mental health, education, employment and family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restitution” </w:t>
      </w:r>
      <w:r>
        <w:rPr>
          <w:rFonts w:ascii="Times New Roman" w:hAnsi="Times New Roman"/>
          <w:b w:val="false"/>
          <w:i w:val="false"/>
          <w:color w:val="000000"/>
          <w:sz w:val="22"/>
        </w:rPr>
        <w:t>means a plan stating the amount of restitution as set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“Publication” </w:t>
      </w:r>
      <w:r>
        <w:rPr>
          <w:rFonts w:ascii="Times New Roman" w:hAnsi="Times New Roman"/>
          <w:b w:val="false"/>
          <w:i w:val="false"/>
          <w:color w:val="000000"/>
          <w:sz w:val="22"/>
        </w:rPr>
        <w:t xml:space="preserve">means a book, booklet, pamphlet, or similar document, or a single issue of a magazine, periodical, newsletter, newspaper, plus such other materials addressed to a specific incarcerated individual, such as catalogs.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means an individual on the incarcerated individual’s visiting list of legal age and, in the judgment of the staff, is a person of accountability, is able to think and act rationally, and is willing to facilitate the incarcerated individual’s successful completion of furloughs within the furlough rules and facilitate the return of the incarcerated individual to the institution. A responsible person shall further mean an individual not now under indictment, sentence or conviction of an indictable public offense. Ex-felons will not be permitted to act as responsible persons for furlough until the demonstration of two years’ successful adjustment in the community after release from any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“Sexually explicit” </w:t>
      </w:r>
      <w:r>
        <w:rPr>
          <w:rFonts w:ascii="Times New Roman" w:hAnsi="Times New Roman"/>
          <w:b w:val="false"/>
          <w:i w:val="false"/>
          <w:color w:val="000000"/>
          <w:sz w:val="22"/>
        </w:rPr>
        <w:t>means a pictorial depiction of actual or simulated sexual acts including sexual intercourse, oral sex, or masturbation. Sexually explicit material does not include material of a news or information type. Publications concerning research or opinions on sexual, health, or reproductive issues should be admitted unless the publications are otherwise a threat to legitimate institutional interests.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904.108(1)</w:t>
        </w:r>
      </w:hyperlink>
      <w:r>
        <w:rPr>
          <w:rFonts w:ascii="Times New Roman" w:hAnsi="Times New Roman"/>
          <w:b w:val="false"/>
          <w:i/>
          <w:color w:val="000000"/>
          <w:sz w:val="22"/>
        </w:rPr>
        <w:t>“k.”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4062C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201—20.3</w:t>
      </w:r>
      <w:r>
        <w:rPr>
          <w:rFonts w:ascii="Times New Roman" w:hAnsi="Times New Roman"/>
          <w:b/>
          <w:i w:val="false"/>
          <w:color w:val="000000"/>
          <w:sz w:val="22"/>
        </w:rPr>
        <w:t xml:space="preserve">(904) </w:t>
      </w:r>
      <w:r>
        <w:rPr>
          <w:rFonts w:ascii="Times New Roman" w:hAnsi="Times New Roman"/>
          <w:b/>
          <w:i w:val="false"/>
          <w:color w:val="000000"/>
          <w:sz w:val="22"/>
        </w:rPr>
        <w:t xml:space="preserve">Visits to incarcerated individuals. </w:t>
      </w:r>
      <w:r>
        <w:rPr>
          <w:rFonts w:ascii="Times New Roman" w:hAnsi="Times New Roman"/>
          <w:b w:val="false"/>
          <w:i w:val="false"/>
          <w:color w:val="000000"/>
          <w:sz w:val="22"/>
        </w:rPr>
        <w:t>Visiting is a privilege which allows incarcerated individuals to maintain and strengthen relationships with family members and friends. Though visits are encouraged, institutions’ space, schedules, personnel constraints, treatment considerations, or other safety and security issues of the institutions and their operations may result in limiting the number and length of visits. Visitation is additionally governed by the provisions of department of corrections policy OP-MTV-04.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written application identifying the visitor and the visitor’s relationship to the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the process by which central visiting authority staff verify the accuracy of a visitor’s application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visiting 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“CVA” </w:t>
      </w:r>
      <w:r>
        <w:rPr>
          <w:rFonts w:ascii="Times New Roman" w:hAnsi="Times New Roman"/>
          <w:b w:val="false"/>
          <w:i w:val="false"/>
          <w:color w:val="000000"/>
          <w:sz w:val="22"/>
        </w:rPr>
        <w:t>means the department office that conducts the visitor application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family” </w:t>
      </w:r>
      <w:r>
        <w:rPr>
          <w:rFonts w:ascii="Times New Roman" w:hAnsi="Times New Roman"/>
          <w:b w:val="false"/>
          <w:i w:val="false"/>
          <w:color w:val="000000"/>
          <w:sz w:val="22"/>
        </w:rPr>
        <w:t>means the incarcerated individual’s aunts, uncles, nieces, nephews, cousins, great-grandparents, great-grandchildren, and in-laws.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w:t>
      </w:r>
      <w:r>
        <w:rPr>
          <w:rFonts w:ascii="Times New Roman" w:hAnsi="Times New Roman"/>
          <w:b w:val="false"/>
          <w:i w:val="false"/>
          <w:color w:val="000000"/>
          <w:sz w:val="22"/>
        </w:rPr>
        <w:t>means a family unit (e.g., aunt, uncle and minor nieces and nephews) residing at the same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an incarcerated individual’s spouse, mother, father, sister, brother, child, grandparent, grandchild (when minors become adults, they will be required to complete the formal visiting application process), established legal guardian or other who acted in place of parents, and step- or half-relation if the step- or half-relation and the incarcerated individual were raised as cohabiting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Incarcerated individual” </w:t>
      </w:r>
      <w:r>
        <w:rPr>
          <w:rFonts w:ascii="Times New Roman" w:hAnsi="Times New Roman"/>
          <w:b w:val="false"/>
          <w:i w:val="false"/>
          <w:color w:val="000000"/>
          <w:sz w:val="22"/>
        </w:rPr>
        <w:t xml:space="preserve">means a person who has been committed to the custody of the department of corrections or to a judicial district department of correctional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search” </w:t>
      </w:r>
      <w:r>
        <w:rPr>
          <w:rFonts w:ascii="Times New Roman" w:hAnsi="Times New Roman"/>
          <w:b w:val="false"/>
          <w:i w:val="false"/>
          <w:color w:val="000000"/>
          <w:sz w:val="22"/>
        </w:rPr>
        <w:t>means a pat-down search on top of the visitor’s clothes or the nonintrusive use of an electronic search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“Visiting list” </w:t>
      </w:r>
      <w:r>
        <w:rPr>
          <w:rFonts w:ascii="Times New Roman" w:hAnsi="Times New Roman"/>
          <w:b w:val="false"/>
          <w:i w:val="false"/>
          <w:color w:val="000000"/>
          <w:sz w:val="22"/>
        </w:rPr>
        <w:t>means the screened list of approved visitors with authorized visiting privileges at all department of corrections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Each department of corrections institution will structure a visiting schedule allowing visitation for a minimum of four days per week. Each institution’s visiting room will be open a minimum of four hours on each authorized day of visiting. The warden will designate the time for visiting on certain days/holidays and advise the incarcerated individuals. The incarcerated individual is responsible for informing the visitor of the days and hours for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Authorized visitors.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central visiting authority will establish an approved visiting list for each incarcerated individual. This visiting list remains valid when the incarcerated individual is transferred to another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facility design limitations and security considerations, the visiting list shall be limited to the following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total of six other individuals or groups who are the incarcerated individual’s friends or extended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Minor children under the immediate supervision of their parent or legal guardian. The minor children of an incarcerated individual shall also be allowed to visit under the immediate supervision of any adult on the incarcerated individual’s approved visiting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 An individual on the approved visiting list of one incarcerated individual shall not be on the approved visiting list of another incarcerated individual, regardless of the location(s) of the incarcerated individuals. An exception may only be granted pursuant to </w:t>
      </w:r>
      <w:hyperlink r:id="rId8">
        <w:r>
          <w:rPr>
            <w:rStyle w:val="Hyperlink"/>
            <w:rFonts w:ascii="Times New Roman" w:hAnsi="Times New Roman"/>
            <w:b w:val="false"/>
            <w:i w:val="false"/>
            <w:color w:val="000000"/>
            <w:sz w:val="22"/>
          </w:rPr>
          <w:t>20.3(5)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color w:val="000000"/>
          <w:sz w:val="22"/>
        </w:rPr>
        <w:t xml:space="preserve">Nonauthorized visitors.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not be authorized to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whose behavior represents a control problem or is counterproductive to stable behavior of an incarcerated individual. This determination may be reflected in the background investigation report which shows that the individual has a record of carrying concealed weapons, use of a controlled substance, previous violation of institutional rules, or similar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under criminal indictment.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on probation, work release, 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found to be involved with or convicted of incidents of aiding an escape or introducing contraband in any detention or supervised correctional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Individuals who intentionally give false information on the visitor’s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Individuals who may compromise the order and security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working in any institution as a volunteer shall not be on an incarcerated individual’s visiting list except with the permission of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a victim of a sex offense, whether registered or not, nor the victim’s family members will be approved for the visiting list of the perpetrator in the victim’s case until department staff consult with the victim and restorative justice administrator of the department. Visitation requests from victims shall be considered only when the incarcerated individual has successfully completed all recommended treatment programs of the department or board of parole. If the victim’s or victim’s family member’s visitation request is denied, the victim or victim’s family member may file an appeal pursuant to </w:t>
      </w:r>
      <w:hyperlink r:id="rId9">
        <w:r>
          <w:rPr>
            <w:rStyle w:val="Hyperlink"/>
            <w:rFonts w:ascii="Times New Roman" w:hAnsi="Times New Roman"/>
            <w:b w:val="false"/>
            <w:i w:val="false"/>
            <w:color w:val="000000"/>
            <w:sz w:val="22"/>
          </w:rPr>
          <w:t>20.3(6)</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sex offender whose victim was a minor shall not be permitted to have any children on the incarcerated individual’s visiting list until the incarcerated individual has completed the sex offender treatment program. After the incarcerated individual’s completion of the treatment program, a minor victim of the incarcerated individual may be added to the incarcerated individual’s visiting list only with the approval of the institutional treatment team and the victim and restorative justice administrator of the department. Other children may be added to the incarcerated individual’s visiting list after the incarcerated individual’s completion of the treatment program and approval of the institutional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from a victim of a crime other than a sex offense who seeks to be added to the visiting list of the perpetrator in the victim’s case shall be reviewed with the victim and restorative justice administrator of the department prior to any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exceptions may be implemented by the central visiting authority upon the approval of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individual’s spouse, child, mother or father who is currently under department supervision or on probation, work release, or parole may be approved to visit the incarcerated individual by the warden or designee after consultation with the supervising parole/probation officer. The warden or designee may authorize either contact or noncontact visiting.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warden or designee may grant an exception to the limitation in </w:t>
      </w:r>
      <w:hyperlink r:id="rId10">
        <w:r>
          <w:rPr>
            <w:rStyle w:val="Hyperlink"/>
            <w:rFonts w:ascii="Times New Roman" w:hAnsi="Times New Roman"/>
            <w:b w:val="false"/>
            <w:i w:val="false"/>
            <w:color w:val="000000"/>
            <w:sz w:val="22"/>
          </w:rPr>
          <w:t>20.3(3)</w:t>
        </w:r>
        <w:r>
          <w:rPr>
            <w:rFonts w:ascii="Times New Roman" w:hAnsi="Times New Roman"/>
            <w:b w:val="false"/>
            <w:i/>
            <w:color w:val="000000"/>
            <w:sz w:val="22"/>
          </w:rPr>
          <w:t>“c”</w:t>
        </w:r>
      </w:hyperlink>
      <w:r>
        <w:rPr>
          <w:rFonts w:ascii="Times New Roman" w:hAnsi="Times New Roman"/>
          <w:b w:val="false"/>
          <w:i w:val="false"/>
          <w:color w:val="000000"/>
          <w:sz w:val="22"/>
        </w:rPr>
        <w:t xml:space="preserve"> when the person is an immediate family member of more than one incarcerated individual and seeks to be added to the visiting lists of only those incarcerated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former or current department employee or volunteer who is a member of an incarcerated individual’s immediate family may be approved to visit the incarcerated individual by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former department employee or volunteer who is not an immediate family member of an incarcerated individual may be allowed to visit six months after leaving employment or ceasing volunteer service if the former employee or volunteer passes the normal background investigation, there are no security issues arising from the person’s prior employment or volunteer service, and the CVA receives approval from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incarcerated individual who is an immediate family member discharged from prison without correctional supervision must wait six months before contact visits may be arranged. Noncontact visiting may be authorized only for the spouse, child, mother or father of an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Visitor application forms shall be provided to incarcerated individuals at each institution. Incarcerated individuals are responsible for mailing visitor application forms to prospective visitors, who may then apply to be added to the incarcerated individual’s visiting list. The completed visitor application form must be sent for processing to the central visiting authority at the following address: Mt. Pleasant Correctional Facility, Attn: Central Records, 1200 E. Washington, Mt. Pleasant, Iowa 52641.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adults, including the incarcerated individual’s own children if they are 18 years of age or older, must complete the visitor application process in order to be considered for inclusion on an incarcerated individual’s visiting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notification. Written notification of denial of a visitor application will be given to both the incarcerated individual and the applicant within 30 days from the CVA’s receipt of the application. Notification of approval of a visitor application will be given only to the incarcerated individual. The incarcerated individual is responsible for notifying the approved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Appeals. When an application is denied, the applicant and the incarcerated individual shall be apprised of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may appeal to the warden or designee in writing. An appeal by an applicant who is the victim of a sex offense, or who is the victim’s family member, and is seeking to visit the perpetrator of the crime shall be reviewed in consultation with the department sex offender treatment director or the institution’s treatment director for participation in evidence-based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decision of the warden or designee may be appealed to the director of the department of corrections or the director’s designee. The decision of the director or the director’s designee constitutes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w:t>
      </w:r>
      <w:r>
        <w:rPr>
          <w:rFonts w:ascii="Times New Roman" w:hAnsi="Times New Roman"/>
          <w:b w:val="false"/>
          <w:i w:val="false"/>
          <w:color w:val="000000"/>
          <w:sz w:val="22"/>
        </w:rPr>
        <w:t> </w:t>
      </w:r>
      <w:r>
        <w:rPr>
          <w:rFonts w:ascii="Times New Roman" w:hAnsi="Times New Roman"/>
          <w:b w:val="false"/>
          <w:i/>
          <w:color w:val="000000"/>
          <w:sz w:val="22"/>
        </w:rPr>
        <w:t xml:space="preserve">Removal from visiting list. </w:t>
      </w:r>
      <w:r>
        <w:rPr>
          <w:rFonts w:ascii="Times New Roman" w:hAnsi="Times New Roman"/>
          <w:b w:val="false"/>
          <w:i w:val="false"/>
          <w:color w:val="000000"/>
          <w:sz w:val="22"/>
        </w:rPr>
        <w:t>If an incarcerated individual wishes to have a visitor removed from the incarcerated individual’s visiting list, the incarcerated individual shall complete the Removal of Visitor form contained in department policy OP-MTV-04 and send it to the central visiting authority. Upon receipt of the removal request, the central visiting authority shall respond to the request within seven business days and notify the incarcerated individual of the completed removal. Once a visitor has been removed from a visiting list, six months must elapse before reapplication by the removed visitor.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w:t>
      </w:r>
      <w:r>
        <w:rPr>
          <w:rFonts w:ascii="Times New Roman" w:hAnsi="Times New Roman"/>
          <w:b w:val="false"/>
          <w:i w:val="false"/>
          <w:color w:val="000000"/>
          <w:sz w:val="22"/>
        </w:rPr>
        <w:t> </w:t>
      </w:r>
      <w:r>
        <w:rPr>
          <w:rFonts w:ascii="Times New Roman" w:hAnsi="Times New Roman"/>
          <w:b w:val="false"/>
          <w:i/>
          <w:color w:val="000000"/>
          <w:sz w:val="22"/>
        </w:rPr>
        <w:t xml:space="preserve">Searches. </w:t>
      </w:r>
      <w:r>
        <w:rPr>
          <w:rFonts w:ascii="Times New Roman" w:hAnsi="Times New Roman"/>
          <w:b w:val="false"/>
          <w:i w:val="false"/>
          <w:color w:val="000000"/>
          <w:sz w:val="22"/>
        </w:rPr>
        <w:t xml:space="preserve">Approved visitors shall be subject to search. In accordance with </w:t>
      </w:r>
      <w:hyperlink r:id="rId11">
        <w:r>
          <w:rPr>
            <w:rStyle w:val="Hyperlink"/>
            <w:rFonts w:ascii="Times New Roman" w:hAnsi="Times New Roman"/>
            <w:b w:val="false"/>
            <w:i w:val="false"/>
            <w:color w:val="000000"/>
            <w:sz w:val="22"/>
          </w:rPr>
          <w:t>20.3(14)</w:t>
        </w:r>
      </w:hyperlink>
      <w:r>
        <w:rPr>
          <w:rFonts w:ascii="Times New Roman" w:hAnsi="Times New Roman"/>
          <w:b w:val="false"/>
          <w:i w:val="false"/>
          <w:color w:val="000000"/>
          <w:sz w:val="22"/>
        </w:rPr>
        <w:t>, the search may include a pat down, search by an electronic detection device, or visual 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All visitors shall present proper identification before the start of the visit. Photo identification is preferred, but any identification presented shall identify personal characteristics, such as color of hair and eyes, height, weight, and birth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Signature cards may be required from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visitors may be required to be photographed for future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20.3(10)</w:t>
      </w:r>
      <w:r>
        <w:rPr>
          <w:rFonts w:ascii="Times New Roman" w:hAnsi="Times New Roman"/>
          <w:b w:val="false"/>
          <w:i w:val="false"/>
          <w:color w:val="000000"/>
          <w:sz w:val="22"/>
        </w:rPr>
        <w:t> </w:t>
      </w:r>
      <w:r>
        <w:rPr>
          <w:rFonts w:ascii="Times New Roman" w:hAnsi="Times New Roman"/>
          <w:b w:val="false"/>
          <w:i/>
          <w:color w:val="000000"/>
          <w:sz w:val="22"/>
        </w:rPr>
        <w:t xml:space="preserve">Special visitors.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Division of criminal investigation agents, Federal Bureau of Investigation agents, and law enforcement officials shall present proof of identity upon entrance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Attorneys. </w:t>
      </w:r>
      <w:r>
        <w:rPr>
          <w:rFonts w:ascii="Times New Roman" w:hAnsi="Times New Roman"/>
          <w:b w:val="false"/>
          <w:i w:val="false"/>
          <w:color w:val="000000"/>
          <w:sz w:val="22"/>
        </w:rPr>
        <w:t xml:space="preserve">Attorneys must complete an initial visitor application form to visit an incarcerated individual; however, this initial application shall apply to multiple visiting lists. After initial approval is established, attorneys must contact the central visiting authority at (319)385-9511 to be added to the visiting lists of additional incarcerated individuals. Background checks are not required, and attorneys shall not be counted as a friend on an incarcerated individual’s visiting list as set forth in </w:t>
      </w:r>
      <w:hyperlink r:id="rId12">
        <w:r>
          <w:rPr>
            <w:rStyle w:val="Hyperlink"/>
            <w:rFonts w:ascii="Times New Roman" w:hAnsi="Times New Roman"/>
            <w:b w:val="false"/>
            <w:i w:val="false"/>
            <w:color w:val="000000"/>
            <w:sz w:val="22"/>
          </w:rPr>
          <w:t>20.3(3)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Attorneys shall present proof of identity before the start of the visit. The incarcerated individual must express a desire to visit with an attorney before the attorney will be admitted. Attorney visits shall be during normal visiting hours unless a special visit has been requested by the incarcerated individual and approved by the warden or designee prior to the visit.</w:t>
      </w:r>
    </w:p>
    <w:p>
      <w:pPr>
        <w:spacing w:before="0" w:after="0"/>
        <w:ind w:left="120"/>
        <w:jc w:val="both"/>
      </w:pPr>
      <w:r>
        <w:rPr>
          <w:rFonts w:ascii="Times New Roman" w:hAnsi="Times New Roman"/>
          <w:b w:val="false"/>
          <w:i w:val="false"/>
          <w:color w:val="000000"/>
          <w:sz w:val="22"/>
        </w:rPr>
        <w:t>An attorney testing positive by an electronic detection device may be required to visit without direct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Ministers. </w:t>
      </w:r>
      <w:r>
        <w:rPr>
          <w:rFonts w:ascii="Times New Roman" w:hAnsi="Times New Roman"/>
          <w:b w:val="false"/>
          <w:i w:val="false"/>
          <w:color w:val="000000"/>
          <w:sz w:val="22"/>
        </w:rPr>
        <w:t xml:space="preserve">Ministers must complete an initial visitor application form to visit an incarcerated individual; however, this initial application shall apply to multiple visiting lists. After initial approval is established, ministers must contact the central visiting authority at (319)385-9511 to be added to the visiting lists of additional incarcerated individuals. Background checks are required. Ministers shall not be counted as a friend on an incarcerated individual’s visiting list as set forth in </w:t>
      </w:r>
      <w:hyperlink r:id="rId13">
        <w:r>
          <w:rPr>
            <w:rStyle w:val="Hyperlink"/>
            <w:rFonts w:ascii="Times New Roman" w:hAnsi="Times New Roman"/>
            <w:b w:val="false"/>
            <w:i w:val="false"/>
            <w:color w:val="000000"/>
            <w:sz w:val="22"/>
          </w:rPr>
          <w:t>20.3(3)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Ministers shall present proof of identity before the start of the visit. The incarcerated individual must express a desire to visit with a minister before the minister will be admitted. Minister visits shall be during normal visiting hours unless a special visit has been requested by the incarcerated individual and approved by the warden or designee prior to the visit.</w:t>
      </w:r>
    </w:p>
    <w:p>
      <w:pPr>
        <w:spacing w:before="0" w:after="0"/>
        <w:ind w:left="120"/>
        <w:jc w:val="both"/>
      </w:pPr>
      <w:r>
        <w:rPr>
          <w:rFonts w:ascii="Times New Roman" w:hAnsi="Times New Roman"/>
          <w:b w:val="false"/>
          <w:i w:val="false"/>
          <w:color w:val="000000"/>
          <w:sz w:val="22"/>
        </w:rPr>
        <w:t>A minister testing positive by an electronic detection device may be required to visit without direct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visiting privileges. </w:t>
      </w:r>
      <w:r>
        <w:rPr>
          <w:rFonts w:ascii="Times New Roman" w:hAnsi="Times New Roman"/>
          <w:b w:val="false"/>
          <w:i w:val="false"/>
          <w:color w:val="000000"/>
          <w:sz w:val="22"/>
        </w:rPr>
        <w:t>Individuals may have visiting privileges modified or terminated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or visitor engages in behavior that may in any way be disruptive to the order and control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visitor or incarcerated individual fails to follow the established rules and procedures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 and incarcerated individual directly exchange or attempt to exchange any object or article. This restriction does not apply to purchases from the canteen or visiting room vending machines that are consumed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visitor tests positive for drugs or explosives as determined by an authorized electronic detection device calibrated and operated for testing for the presence of drugs or other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visit or future visiting is detrimental to the health or welfare of the incarcerated individual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visitor does not supervise the visitor’s children to prevent them from interfering with or disrupting other visits.</w:t>
      </w:r>
    </w:p>
    <w:p>
      <w:pPr>
        <w:spacing w:before="0" w:after="0"/>
        <w:ind w:left="120"/>
        <w:jc w:val="both"/>
      </w:pPr>
      <w:r>
        <w:rPr>
          <w:rFonts w:ascii="Times New Roman" w:hAnsi="Times New Roman"/>
          <w:b w:val="false"/>
          <w:i w:val="false"/>
          <w:color w:val="000000"/>
          <w:sz w:val="22"/>
        </w:rPr>
        <w:t xml:space="preserve"> Incarcerated individuals may request reconsideration of denied visitors six months after resolution of the reason for denial or when approved by the warden or designee or institutional deputy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color w:val="000000"/>
          <w:sz w:val="22"/>
        </w:rPr>
        <w:t xml:space="preserve">Noncontact visiting. </w:t>
      </w:r>
      <w:r>
        <w:rPr>
          <w:rFonts w:ascii="Times New Roman" w:hAnsi="Times New Roman"/>
          <w:b w:val="false"/>
          <w:i w:val="false"/>
          <w:color w:val="000000"/>
          <w:sz w:val="22"/>
        </w:rPr>
        <w:t>The warden or designee may allow noncontact visits when the order or security of the institution may be threatened or when disciplinary rules or procedures have been violated. Noncontact visiting hours will be provided on a scheduled basis. The hours and days will be posted by the warden or designee, and notice will be posted at least one week prior to any change. Visitors on the noncontact list at the time of a schedule change will be notified of the schedule change by regular mail sent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Visitors shall be properly attired prior to entering a correctional setting. All visitors shall wear shoes. Visitors wearing miniskirts, shorts (that are above the knee), muscle shirts, see-through clothing or halter tops will not be allowed to visit. Visitors wearing clothing with slogans, pictures, or words intended to deprecate race, sex, or cultural values will not be allowed entry. Visitors may be required to remove for the duration of the visit outerwear such as, but not limited to, coats, hats, gloves, or sunglasses. A medical need for sunglasses must be verified by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color w:val="000000"/>
          <w:sz w:val="22"/>
        </w:rPr>
        <w:t xml:space="preserve">Security procedures. </w:t>
      </w:r>
      <w:r>
        <w:rPr>
          <w:rFonts w:ascii="Times New Roman" w:hAnsi="Times New Roman"/>
          <w:b w:val="false"/>
          <w:i w:val="false"/>
          <w:color w:val="000000"/>
          <w:sz w:val="22"/>
        </w:rPr>
        <w:t>Visitors may be requested to submit to a personal search (pat down) or an electronic search for weapons or contraband. “Personal search” means a pat-down search on top of the visitor’s clothes or the nonintrusive use of an electronic search process. If the initial electronic test confirms the presence of a controlled substance, the visitor will be given a second confirmation test. When the electronic detection device alarm is activated, the visitor shall produce the item that set off the alarm or a personal search may be made to find the item. If the visitor refuses to submit to a search, access to visiting shall be denied and entrance shall be denied. All searches shall be conducted in a courteous manner to respect the visitor’s privacy. Minors are subject to personal and electronic searches. When a visitor accompanied by a minor refuses to leave the minor with a staff person and does not want the minor present during the search, the visit will be denied. When a minor is searched, the supervising adult shall be present in the room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warden or designee will maintain records of all searches which produce positive results, including the name of each person subjected to a search, the names of the persons conducting and in attendance at the search, and the time, date, and place of the search. The written record shall reflect the reason for the search and the results of the search. The written authorization for the search shall be included in the record. Testing records will be maintained by the institution for one year and then expunged. Records of positive tests will be maintained for five years and then expunged. All testing records are confidential and will be released only upon the order of a court of proper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visitor tests positive by an electronic search device, the visitor may appeal to the warden or designee in writing. The decision of the warden or designee may be appealed to the director of the department of corrections or the director’s designee. The decision of the director or the director’s designee constitutes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may request that local law enforcement search visitors if search procedures or an electronic testing device shows that there is a clear, reliable reason to believe a particular visitor is attempting to smuggle contraband into the facility. If the search reveals drugs or illegal contraband, the item shall be confiscated and preserved by local law enforcement. Visitors found in possession of contraband shall be referred by local law enforcement to the county attorney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w:t>
      </w:r>
      <w:r>
        <w:rPr>
          <w:rFonts w:ascii="Times New Roman" w:hAnsi="Times New Roman"/>
          <w:b w:val="false"/>
          <w:i w:val="false"/>
          <w:color w:val="000000"/>
          <w:sz w:val="22"/>
        </w:rPr>
        <w:t> </w:t>
      </w:r>
      <w:r>
        <w:rPr>
          <w:rFonts w:ascii="Times New Roman" w:hAnsi="Times New Roman"/>
          <w:b w:val="false"/>
          <w:i/>
          <w:color w:val="000000"/>
          <w:sz w:val="22"/>
        </w:rPr>
        <w:t xml:space="preserve">Money orders, cashier’s checks, and electronic funds transfers. </w:t>
      </w:r>
      <w:r>
        <w:rPr>
          <w:rFonts w:ascii="Times New Roman" w:hAnsi="Times New Roman"/>
          <w:b w:val="false"/>
          <w:i w:val="false"/>
          <w:color w:val="000000"/>
          <w:sz w:val="22"/>
        </w:rPr>
        <w:t>Money orders and cashier’s checks for deposit in the incarcerated individual’s account must be made payable to the Iowa Department of Corrections Incarcerated Individual Fiduciary Account (IDOC IIFA) and sent to: Fort Dodge Correctional Facility, 1550 L Street, Suite B, Fort Dodge, Iowa 50501, and must include the incarcerated individual’s name and ID number and the sender’s name and complete address. Funds will also be accepted via electronic funds transfers from authorized vendors. Personal checks and cash will not be accepted. An incarcerated individual’s suspected abuse of requests for money from the public may be cause for limits or restrictions on the amounts of money which can be received and from whom money can be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20.3(16)</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Each institution, according to its facilities and conditions, shall limit the number of visitors an incarcerated individual may have at any one time and the length of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w:t>
      </w:r>
      <w:r>
        <w:rPr>
          <w:rFonts w:ascii="Times New Roman" w:hAnsi="Times New Roman"/>
          <w:b w:val="false"/>
          <w:i w:val="false"/>
          <w:color w:val="000000"/>
          <w:sz w:val="22"/>
        </w:rPr>
        <w:t> </w:t>
      </w:r>
      <w:r>
        <w:rPr>
          <w:rFonts w:ascii="Times New Roman" w:hAnsi="Times New Roman"/>
          <w:b w:val="false"/>
          <w:i/>
          <w:color w:val="000000"/>
          <w:sz w:val="22"/>
        </w:rPr>
        <w:t xml:space="preserve">Segregation status. </w:t>
      </w:r>
      <w:r>
        <w:rPr>
          <w:rFonts w:ascii="Times New Roman" w:hAnsi="Times New Roman"/>
          <w:b w:val="false"/>
          <w:i w:val="false"/>
          <w:color w:val="000000"/>
          <w:sz w:val="22"/>
        </w:rPr>
        <w:t>Incarcerated individuals who are assigned to special units such as disciplinary detention or administrative segregation status may have visits modified in regard to place, time, and visitor, depending on the staff and space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20.3(18)</w:t>
      </w:r>
      <w:r>
        <w:rPr>
          <w:rFonts w:ascii="Times New Roman" w:hAnsi="Times New Roman"/>
          <w:b w:val="false"/>
          <w:i w:val="false"/>
          <w:color w:val="000000"/>
          <w:sz w:val="22"/>
        </w:rPr>
        <w:t> </w:t>
      </w:r>
      <w:r>
        <w:rPr>
          <w:rFonts w:ascii="Times New Roman" w:hAnsi="Times New Roman"/>
          <w:b w:val="false"/>
          <w:i/>
          <w:color w:val="000000"/>
          <w:sz w:val="22"/>
        </w:rPr>
        <w:t xml:space="preserve">Abuse of visiting privileges. </w:t>
      </w:r>
      <w:r>
        <w:rPr>
          <w:rFonts w:ascii="Times New Roman" w:hAnsi="Times New Roman"/>
          <w:b w:val="false"/>
          <w:i w:val="false"/>
          <w:color w:val="000000"/>
          <w:sz w:val="22"/>
        </w:rPr>
        <w:t>Visiting privileges may be modified, suspended, or terminated when abuses are evidenced or planned.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w:t>
      </w:r>
      <w:r>
        <w:rPr>
          <w:rFonts w:ascii="Times New Roman" w:hAnsi="Times New Roman"/>
          <w:b w:val="false"/>
          <w:i w:val="false"/>
          <w:color w:val="000000"/>
          <w:sz w:val="22"/>
        </w:rPr>
        <w:t> </w:t>
      </w:r>
      <w:r>
        <w:rPr>
          <w:rFonts w:ascii="Times New Roman" w:hAnsi="Times New Roman"/>
          <w:b w:val="false"/>
          <w:i/>
          <w:color w:val="000000"/>
          <w:sz w:val="22"/>
        </w:rPr>
        <w:t xml:space="preserve">Special visits. </w:t>
      </w:r>
      <w:r>
        <w:rPr>
          <w:rFonts w:ascii="Times New Roman" w:hAnsi="Times New Roman"/>
          <w:b w:val="false"/>
          <w:i w:val="false"/>
          <w:color w:val="000000"/>
          <w:sz w:val="22"/>
        </w:rPr>
        <w:t>The warden or designee may permit special visits not otherwise provided for in this rule. These may include, but are not limited to, extended visits for close family members traveling extended distances, immediate visits for close relatives or friends about to leave the area, visits necessary to straighten out critical personal affairs, and other visits for similar reasons. All these visits shall be at the sole discretion of the warden or designee. When ruling on such visits, the warden or designee shall consider appropriate factors including the uniqueness of the circumstances involved for both the incarcerated individual and the visitor; security, order, and administrative needs of the institution; and available alternatives to a special visit. The decision of the warden or designee in these cases constitutes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w:t>
      </w:r>
      <w:r>
        <w:rPr>
          <w:rFonts w:ascii="Times New Roman" w:hAnsi="Times New Roman"/>
          <w:b w:val="false"/>
          <w:i w:val="false"/>
          <w:color w:val="000000"/>
          <w:sz w:val="22"/>
        </w:rPr>
        <w:t> </w:t>
      </w:r>
      <w:r>
        <w:rPr>
          <w:rFonts w:ascii="Times New Roman" w:hAnsi="Times New Roman"/>
          <w:b w:val="false"/>
          <w:i/>
          <w:color w:val="000000"/>
          <w:sz w:val="22"/>
        </w:rPr>
        <w:t xml:space="preserve">Temporary modifications. </w:t>
      </w:r>
      <w:r>
        <w:rPr>
          <w:rFonts w:ascii="Times New Roman" w:hAnsi="Times New Roman"/>
          <w:b w:val="false"/>
          <w:i w:val="false"/>
          <w:color w:val="000000"/>
          <w:sz w:val="22"/>
        </w:rPr>
        <w:t>Visiting procedures may be temporarily modified or suspended in the following circumstances: riot, disturbance, fire, labor dispute, space and personnel restrictions, natural disaster, or other emergency.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904.512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201—20.4</w:t>
      </w:r>
      <w:r>
        <w:rPr>
          <w:rFonts w:ascii="Times New Roman" w:hAnsi="Times New Roman"/>
          <w:b/>
          <w:i w:val="false"/>
          <w:color w:val="000000"/>
          <w:sz w:val="22"/>
        </w:rPr>
        <w:t xml:space="preserve">(2C,904) </w:t>
      </w:r>
      <w:r>
        <w:rPr>
          <w:rFonts w:ascii="Times New Roman" w:hAnsi="Times New Roman"/>
          <w:b/>
          <w:i w:val="false"/>
          <w:color w:val="000000"/>
          <w:sz w:val="22"/>
        </w:rPr>
        <w:t xml:space="preserve">Mail. </w:t>
      </w:r>
      <w:r>
        <w:rPr>
          <w:rFonts w:ascii="Times New Roman" w:hAnsi="Times New Roman"/>
          <w:b w:val="false"/>
          <w:i w:val="false"/>
          <w:color w:val="000000"/>
          <w:sz w:val="22"/>
        </w:rPr>
        <w:t>Constructive, unlimited correspondence with family, friends, and community sources will be encouraged and facilitated. Incarcerated individuals have the responsibility in the use of correspondence to be truthful and honest. Institutions have the responsibility to maintain a safe, secure, and orderly procedure for use of the mail by an incarcerated individual. Mail is additionally governed by the provisions of department of corrections policy OP-MTV-01.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Nonconfidential.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an effort to maintain proper security measures, mail may be monitored and read on a random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nonconfidential mail shall be inspected for contraband.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Confidential mail, as defined in this rule, will not be read or censored.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Confidential mail will be delivered unopened and then, in the presence of the incarcerated individual, will be opened and inspected for contraband and to ensure that the contents are from the return addressee.</w:t>
      </w:r>
    </w:p>
    <w:p>
      <w:pPr>
        <w:spacing w:before="0" w:after="0"/>
        <w:ind w:left="120"/>
        <w:jc w:val="both"/>
      </w:pPr>
      <w:r>
        <w:rPr>
          <w:rFonts w:ascii="Times New Roman" w:hAnsi="Times New Roman"/>
          <w:b w:val="false"/>
          <w:i w:val="false"/>
          <w:color w:val="000000"/>
          <w:sz w:val="22"/>
        </w:rPr>
        <w:t>Confidential mail may be read only after a finding of probable cause by a court of competent jurisdiction that a threat to the order and security of the institution or abuse of correspondence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Confidential letters may be written to: (the sender’s name and address must be appropriately identified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Officers of federal, state, or municipal courts (judges, judges’ law clerks, prosecuting attorneys, court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Federal agencies chief administrative officer, elected or appointed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agencies chief administrative officer, elected or appointed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sentencing state department of corrections chief executive officer, deputy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Sentencing state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office of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additional exception by law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Envelopes containing confidential correspondence shall be marked as “confidential” by the sender.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15">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mail addressed to and received from the ombudsman office shall be delivered unopened.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sending confidential mail, incarcerated individuals may be requested to seal the envelope in the presence of staff after the envelope and letters have been inspected for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letters mailed by incarcerated individuals will be left unsealed for inspection of the contents only. Envelopes shall contain letters to the addressee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other nonconfidential correspondence and packages, both incoming and outgoing, shall be opened for inspection to remove items of contraband.</w:t>
      </w:r>
    </w:p>
    <w:p>
      <w:pPr>
        <w:spacing w:before="0" w:after="0"/>
        <w:ind w:left="120"/>
        <w:jc w:val="both"/>
      </w:pPr>
      <w:r>
        <w:rPr>
          <w:rFonts w:ascii="Times New Roman" w:hAnsi="Times New Roman"/>
          <w:b w:val="false"/>
          <w:i w:val="false"/>
          <w:color w:val="000000"/>
          <w:sz w:val="22"/>
        </w:rPr>
        <w:t>To facilitate institutional inspection of first-class mail, writers should avoid enclosures other than the written correspondence. Traditional items such as snapshots of appropriately clothed individuals and clippings from published material may be permitted. Each institution shall have guidelines for the amount and type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the exception of weekends and holidays, incoming and outgoing mail will not be retained for more than 24 hours prior to delivery unless unusual circumstances exist such as staff shortage, suspected correspondence violations, disturbance, or similar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under the age of 18 must provide written permission to the warden from parents or guardian before correspondence with incarcerated individuals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Incarcerated individuals under correctional supervision or detention will not be allowed to correspond with other incarcerated individuals unless the individuals are immediate family and approved by the authority of the institution or both authorities in the case of correspondence between facilities.</w:t>
      </w:r>
    </w:p>
    <w:p>
      <w:pPr>
        <w:spacing w:before="0" w:after="0"/>
        <w:ind w:left="120"/>
        <w:jc w:val="both"/>
      </w:pPr>
      <w:r>
        <w:rPr>
          <w:rFonts w:ascii="Times New Roman" w:hAnsi="Times New Roman"/>
          <w:b w:val="false"/>
          <w:i w:val="false"/>
          <w:color w:val="000000"/>
          <w:sz w:val="22"/>
        </w:rPr>
        <w:t>“Immediate family” means mother, father, sister, brother, half sister, half brother, spouse, son, daughter, natural grandparents, and natural grandchildren. Legal guardian, foster parents, stepparents, stepchildren, stepsister, and stepbrother will be included provided a positive relationship exists or contact will confer a benefit to the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Incarcerated individuals will be denied mail privileges with persons that might present a risk to the order and security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outgoing mail must be sent directly to the individual that the correspondence is written to, and all incoming mail must be sent directly from the individual that wrote the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limit will be placed on the number of letters mailed for incarcerated individuals able to pay the mailing costs. Incarcerated individuals who are unable to pay mailing costs for legal mail will receive limited assistance which may be recoverable.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Stamped, return-addressed envelopes will be sold through canteen services for all outgoing letters and will be purchased by the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Special equipment may be used to review envelopes for items in the envelopes other than the letter. When the contents of the correspondence is inappropriate or contraband items which are not illegal to possess under the law are found in the mail, the mail will be rejected and the incarcerated individual shall be notified with the option to return to sender or destroy.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When mail is rejected due to inappropriate contents of the correspondence or contraband is found, provided the correspondence is not retained for investigation or prosecution, the incarcerated individual to whom the mail was addressed will have the option of paying the postage to return the mail to the sender or having the mail destroyed by institutional staff. The incarcerated individual must choose one of the two options within three days of the rejection notice. This rule is in reference to the return of opened mail per United States Postal Service, Office of Classification and Rates Administration, Ruling #206.</w:t>
      </w:r>
    </w:p>
    <w:p>
      <w:pPr>
        <w:spacing w:before="0" w:after="0"/>
        <w:ind w:left="120"/>
        <w:jc w:val="both"/>
      </w:pPr>
      <w:r>
        <w:rPr>
          <w:rFonts w:ascii="Times New Roman" w:hAnsi="Times New Roman"/>
          <w:b w:val="false"/>
          <w:i w:val="false"/>
          <w:color w:val="000000"/>
          <w:sz w:val="22"/>
        </w:rPr>
        <w:t>The sender of rejected correspondence may protest the decision in writing to the warden.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All outgoing parcel post items will be packed and sealed by the mail room and postage charged to the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Letters will not be delivered which are written in a foreign language or code unless the foreign language is the only language of the incarcerated individual (exceptions may be made by the warden).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sender’s name shall be signed in full at the end of the letter. The sender’s name and address shall appear in the upper left-hand corner of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individual’s name, ID number, box number or street address, city, state, and zip code shall also appear on the envelope of incoming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All outgoing mail shall contain a return address including the incarcerated individual’s name and ID number as well as the name of the institution, address,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Reasonable size restrictions of envelopes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Each institution shall have written procedures for disposition (safekeeping and preservation) of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Only first-class letters and packages will be forwarded after an incarcerated individual’s transfer or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An individual may deposit funds in an incarcerated individual’s account by money order, cashier’s check, or electronic funds transfer. Personal checks and cash will not be accepted. Only money orders and cashier’s checks will be accepted for deposit into an incarcerated individual’s account by mail. Money orders and cashier’s checks must be made payable to the Iowa Department of Corrections Incarcerated Individual Fiduciary Account (IDOC IIFA) and sent to: Fort Dodge Correctional Facility, 1550 L Street, Suite B, Fort Dodge, Iowa 50501, and must include the incarcerated individual’s name and ID number and the sender’s name and complete address. Funds will also be accepted via electronic funds transfers from authorized vendors. An incarcerated individual’s suspected abuse of requests for money from the public may be cause for limits or restrictions on the amounts of money which can be received and from whom money can be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Misuse of mails will result in institution discipline and be reported to the United States Postal Inspector or other state or federal agencies for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O-mail. “O-mail” is electronic mail that can be sent to and from incarcerated individuals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incarcerated individual’s family and friends shall be responsible for registering on the corrlinks Internet site to enroll in the O-mail system: </w:t>
      </w:r>
      <w:hyperlink r:id="rId16">
        <w:r>
          <w:rPr>
            <w:rStyle w:val="Hyperlink"/>
            <w:rFonts w:ascii="Times New Roman" w:hAnsi="Times New Roman"/>
            <w:b w:val="false"/>
            <w:i w:val="false"/>
            <w:color w:val="000000"/>
            <w:sz w:val="22"/>
            <w:u w:val="single"/>
          </w:rPr>
          <w:t>www.corrlinks.com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O-mail message is limited to two pages, and attachments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 cost for sending an O-mail message, which shall be the responsibility of the sender.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Incoming and outgoing O-mail shall meet the same standards as referenced in this rule for incarcerated individuals’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may review the contents of O-mail messages.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201—20.5</w:t>
      </w:r>
      <w:r>
        <w:rPr>
          <w:rFonts w:ascii="Times New Roman" w:hAnsi="Times New Roman"/>
          <w:b/>
          <w:i w:val="false"/>
          <w:color w:val="000000"/>
          <w:sz w:val="22"/>
        </w:rPr>
        <w:t xml:space="preserve">(904) </w:t>
      </w:r>
      <w:r>
        <w:rPr>
          <w:rFonts w:ascii="Times New Roman" w:hAnsi="Times New Roman"/>
          <w:b/>
          <w:i w:val="false"/>
          <w:color w:val="000000"/>
          <w:sz w:val="22"/>
        </w:rPr>
        <w:t xml:space="preserve">Money orders, cashier’s checks, and electronic funds transfers for incarcerated individuals. </w:t>
      </w:r>
      <w:r>
        <w:rPr>
          <w:rFonts w:ascii="Times New Roman" w:hAnsi="Times New Roman"/>
          <w:b w:val="false"/>
          <w:i w:val="false"/>
          <w:color w:val="000000"/>
          <w:sz w:val="22"/>
        </w:rPr>
        <w:t>An individual may deposit funds in an incarcerated individual’s account by money order, cashier’s check, or electronic funds transfer. Personal checks and cash will not be accepted. Only money orders and cashier’s checks will be accepted for deposit into an incarcerated individual’s account by mail. Money orders and cashier’s checks must be made payable to the Iowa Department of Corrections Offender Fiduciary Account (IDOC OFA) and sent to: Fort Dodge Correctional Facility, 1550 L Street, Suite B, Fort Dodge, Iowa 50501, and must include the incarcerated individual’s name and ID number and the sender’s name and complete address. Funds will also be accepted via electronic funds transfers from authorized vendors. An incarcerated individual’s suspected abuse of requests for money from the public may be cause for limits or restrictions on the amounts of money which can be received and from whom money can be received.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904.506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201—20.6</w:t>
      </w:r>
      <w:r>
        <w:rPr>
          <w:rFonts w:ascii="Times New Roman" w:hAnsi="Times New Roman"/>
          <w:b/>
          <w:i w:val="false"/>
          <w:color w:val="000000"/>
          <w:sz w:val="22"/>
        </w:rPr>
        <w:t xml:space="preserve">(904) </w:t>
      </w:r>
      <w:r>
        <w:rPr>
          <w:rFonts w:ascii="Times New Roman" w:hAnsi="Times New Roman"/>
          <w:b/>
          <w:i w:val="false"/>
          <w:color w:val="000000"/>
          <w:sz w:val="22"/>
        </w:rPr>
        <w:t xml:space="preserve">Publications.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The institution shall allow incarcerated individuals access to publications when doing so is consistent with institutional goals of maintaining internal order, safety, security, and rehabilitation. Publications are additionally governed by the provisions of department of corrections policy OP-MTV-02.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Publications include any periodical, newspaper, book, pamphlet, magazine, newsletter, or similar material published by any individual, organization, company, or corporation, and made available for a commercial purpose. Publications may be purchased by a third party or an incarcerated individual and shall be unused and sent directly from an approved publisher or bookstore which does mail order business. Any exceptions must be authorized by the warden. No publication will be denied solely on the basis of its appeal to a particular ethnic, racial, religious, or political group. The quantity of printed materials, as with other personal property, shall be controlled for safety and security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All publications not on the approved list shall be reviewed by a publication review committee for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be appointed by the director or designee, department of corrections,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with broad exposure to various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representatives of correctional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fairly review all types of publications to be received by incarcerated individuals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shall be used when a publication not on the approved list is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approve or deny publications within 30 working days of receipt of the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publication is denied, the committee shall send the incarcerated individual a written notice stating the publication involved, the reason for denial, and the incarcerated individual’s available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shall have ten days from receipt of the notice of denial to notify the designated institution staff to destroy the publication, to specify where to send the publication at the incarcerated individual’s expense, or to notify the institution that the decision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approved publications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val="false"/>
          <w:color w:val="000000"/>
          <w:sz w:val="22"/>
        </w:rPr>
        <w:t>A publication may be denied when the publication presents a danger to the security or order of an institution or is inconsistent with rehabilitation goals. Authorized reasons for denying a publication are that the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likely to be disruptive or produce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material which portrays or simulates a minor (any person 17 years of age or younger) engaged in or simulating any act that is sexual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Contains lewd exhibition of the genitals or material which is sexually explicit or features nudity.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Contains information relating to escapes or formulating escape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Contains information relating to provoking a riot or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Contains information relating to obtaining an emotional or behavioral state comparable to those produced by a controlled substance, by using aerosols, glue, or other chemical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Contains materials which illustrate, explain, describe, or teach martial arts, or other manufacture of weapons or explosives, or advocate behavior contrary to duly established institution rules or Iowa statutes. Contains materials which illustrate, explain, describe, or teach ability to frustrate crowd or riot control methods. Contains materials which illustrate, explain, describe, or teach ability to sabotage or disrupt communications networks, including a prison’s internal and external communications and automated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Contains information concerning criminal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Contains encoded material. This shall not automatically include foreign language publications not otherwise prohibited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May violate postal regulations, such as threats, blackmail, contraband, or similar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Is a catalog or other publication whose purpose is primarily or significantly to sell items or materials that are expressly prohibited inside any of the department institutions. The warden can make exceptions for materials that serve reentry efforts.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904.108(1)</w:t>
        </w:r>
      </w:hyperlink>
      <w:r>
        <w:rPr>
          <w:rFonts w:ascii="Times New Roman" w:hAnsi="Times New Roman"/>
          <w:b w:val="false"/>
          <w:i/>
          <w:color w:val="000000"/>
          <w:sz w:val="22"/>
        </w:rPr>
        <w:t>“k.”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4062C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201—20.7</w:t>
      </w:r>
      <w:r>
        <w:rPr>
          <w:rFonts w:ascii="Times New Roman" w:hAnsi="Times New Roman"/>
          <w:b/>
          <w:i w:val="false"/>
          <w:color w:val="000000"/>
          <w:sz w:val="22"/>
        </w:rPr>
        <w:t xml:space="preserve">(904)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When incarcerated individuals are selected to be interviewed and photographed within the institution, either individually or as part of a group, identifiable interviews or pictures shall have the written consent of the incarcerated individual involved as well as prior consent of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The warden is responsible for all communications with mass media.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904.108(1)</w:t>
        </w:r>
      </w:hyperlink>
      <w:r>
        <w:rPr>
          <w:rFonts w:ascii="Times New Roman" w:hAnsi="Times New Roman"/>
          <w:b w:val="false"/>
          <w:i/>
          <w:color w:val="000000"/>
          <w:sz w:val="22"/>
        </w:rPr>
        <w:t>“k.”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201—20.8</w:t>
      </w:r>
      <w:r>
        <w:rPr>
          <w:rFonts w:ascii="Times New Roman" w:hAnsi="Times New Roman"/>
          <w:b/>
          <w:i w:val="false"/>
          <w:color w:val="000000"/>
          <w:sz w:val="22"/>
        </w:rPr>
        <w:t xml:space="preserve">(904) </w:t>
      </w:r>
      <w:r>
        <w:rPr>
          <w:rFonts w:ascii="Times New Roman" w:hAnsi="Times New Roman"/>
          <w:b/>
          <w:i w:val="false"/>
          <w:color w:val="000000"/>
          <w:sz w:val="22"/>
        </w:rPr>
        <w:t xml:space="preserve">Guests of institution. </w:t>
      </w:r>
      <w:r>
        <w:rPr>
          <w:rFonts w:ascii="Times New Roman" w:hAnsi="Times New Roman"/>
          <w:b w:val="false"/>
          <w:i w:val="false"/>
          <w:color w:val="000000"/>
          <w:sz w:val="22"/>
        </w:rPr>
        <w:t>Persons wishing to visit the institution shall give prior notice of their intended visit and receive approval for the visit. The prior notice and approval may be waived by the warden or designee for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val="false"/>
          <w:color w:val="000000"/>
          <w:sz w:val="22"/>
        </w:rPr>
        <w:t>Any guest must agree to comply with the policy and procedures of the institution when signing in at the control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val="false"/>
          <w:color w:val="000000"/>
          <w:sz w:val="22"/>
        </w:rPr>
        <w:t>Persons under 18 years of age may only visit with prior approval of the warden or designee and shall be accompanied by a responsible adult. An adult shall be in charge of no more than four children. Persons under 18 years of age shall not be allowed to make institutional tours of maximum security prisons.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val="false"/>
          <w:color w:val="000000"/>
          <w:sz w:val="22"/>
        </w:rPr>
        <w:t>Guests shall be escorted by a staff member. Any exception shall have prior approval of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val="false"/>
          <w:color w:val="000000"/>
          <w:sz w:val="22"/>
        </w:rPr>
        <w:t>Guests shall be allowed personal contact with an incarcerated individual only when it serves the best interests of the incarcerated individual as determined by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w:t>
      </w:r>
      <w:r>
        <w:rPr>
          <w:rFonts w:ascii="Times New Roman" w:hAnsi="Times New Roman"/>
          <w:b w:val="false"/>
          <w:i w:val="false"/>
          <w:color w:val="000000"/>
          <w:sz w:val="22"/>
        </w:rPr>
        <w:t> </w:t>
      </w:r>
      <w:r>
        <w:rPr>
          <w:rFonts w:ascii="Times New Roman" w:hAnsi="Times New Roman"/>
          <w:b w:val="false"/>
          <w:i w:val="false"/>
          <w:color w:val="000000"/>
          <w:sz w:val="22"/>
        </w:rPr>
        <w:t>All contacts with incarcerated individuals shall be absent of any encouragement, support, or suggestion of activity which would bring disorder to the institution.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904.108(1)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904.512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201—20.9</w:t>
      </w:r>
      <w:r>
        <w:rPr>
          <w:rFonts w:ascii="Times New Roman" w:hAnsi="Times New Roman"/>
          <w:b/>
          <w:i w:val="false"/>
          <w:color w:val="000000"/>
          <w:sz w:val="22"/>
        </w:rPr>
        <w:t xml:space="preserve">(904)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books, games, recreation equipment or other such gifts shall be made directly to the warden or the warden’s designee. The warden or the warden’s designee shall evaluate the donation in terms of the nature of the contribution to the institution program. The warden or the warden’s designee is responsible for accepting the donation and reporting the gift to the institutional deputy director on a monthly basis.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904.113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201—20.10</w:t>
      </w:r>
      <w:r>
        <w:rPr>
          <w:rFonts w:ascii="Times New Roman" w:hAnsi="Times New Roman"/>
          <w:b/>
          <w:i w:val="false"/>
          <w:color w:val="000000"/>
          <w:sz w:val="22"/>
        </w:rPr>
        <w:t xml:space="preserve">(904) </w:t>
      </w:r>
      <w:r>
        <w:rPr>
          <w:rFonts w:ascii="Times New Roman" w:hAnsi="Times New Roman"/>
          <w:b/>
          <w:i w:val="false"/>
          <w:color w:val="000000"/>
          <w:sz w:val="22"/>
        </w:rPr>
        <w:t xml:space="preserve">Incarceration fees. </w:t>
      </w:r>
      <w:r>
        <w:rPr>
          <w:rFonts w:ascii="Times New Roman" w:hAnsi="Times New Roman"/>
          <w:b w:val="false"/>
          <w:i w:val="false"/>
          <w:color w:val="000000"/>
          <w:sz w:val="22"/>
        </w:rPr>
        <w:t xml:space="preserve">The director may charge incarcerated individuals an incarceration fee, pursuant to Iowa Code section </w:t>
      </w:r>
      <w:hyperlink r:id="rId24">
        <w:r>
          <w:rPr>
            <w:rStyle w:val="Hyperlink"/>
            <w:rFonts w:ascii="Times New Roman" w:hAnsi="Times New Roman"/>
            <w:b w:val="false"/>
            <w:i w:val="false"/>
            <w:color w:val="000000"/>
            <w:sz w:val="22"/>
          </w:rPr>
          <w:t>904.108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904.108(6)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201—20.11</w:t>
      </w:r>
      <w:r>
        <w:rPr>
          <w:rFonts w:ascii="Times New Roman" w:hAnsi="Times New Roman"/>
          <w:b/>
          <w:i w:val="false"/>
          <w:color w:val="000000"/>
          <w:sz w:val="22"/>
        </w:rPr>
        <w:t xml:space="preserve">(904,910) </w:t>
      </w:r>
      <w:r>
        <w:rPr>
          <w:rFonts w:ascii="Times New Roman" w:hAnsi="Times New Roman"/>
          <w:b/>
          <w:i w:val="false"/>
          <w:color w:val="000000"/>
          <w:sz w:val="22"/>
        </w:rPr>
        <w:t xml:space="preserve">Restitution.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Every incarcerated individual required by a court order to pay restitution shall have a restitution plan and a restitution plan of payment developed, unless a court-ordered restitution plan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The restitution plan of payment shall consider the present circumstances of an incarcerated individual’s physical/mental health and other legal financial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institutions shall ensure that there are written procedures governing the development and modification of each restitution plan and plan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val="false"/>
          <w:color w:val="000000"/>
          <w:sz w:val="22"/>
        </w:rPr>
        <w:t>Each incarcerated individual shall be given a Predeprivation Notice: Notice of Intent to Deduct Restitution From All Account Credits and Notice of Opportunity to Respond during initial reception following admission to the Iowa medical and classification center (IMCC) or the Iowa correctional institution for women (ICIW).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20.11(5)</w:t>
      </w:r>
      <w:r>
        <w:rPr>
          <w:rFonts w:ascii="Times New Roman" w:hAnsi="Times New Roman"/>
          <w:b w:val="false"/>
          <w:i w:val="false"/>
          <w:color w:val="000000"/>
          <w:sz w:val="22"/>
        </w:rPr>
        <w:t> </w:t>
      </w:r>
      <w:r>
        <w:rPr>
          <w:rFonts w:ascii="Times New Roman" w:hAnsi="Times New Roman"/>
          <w:b w:val="false"/>
          <w:i w:val="false"/>
          <w:color w:val="000000"/>
          <w:sz w:val="22"/>
        </w:rPr>
        <w:t>Initial complaints by incarcerated individuals regarding restitution plans of payment or modifications may be addressed via the grievance procedure for incarcerated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w:t>
      </w:r>
      <w:r>
        <w:rPr>
          <w:rFonts w:ascii="Times New Roman" w:hAnsi="Times New Roman"/>
          <w:b w:val="false"/>
          <w:i w:val="false"/>
          <w:color w:val="000000"/>
          <w:sz w:val="22"/>
        </w:rPr>
        <w:t> </w:t>
      </w:r>
      <w:r>
        <w:rPr>
          <w:rFonts w:ascii="Times New Roman" w:hAnsi="Times New Roman"/>
          <w:b w:val="false"/>
          <w:i w:val="false"/>
          <w:color w:val="000000"/>
          <w:sz w:val="22"/>
        </w:rPr>
        <w:t>The staff shall explain the restitution plan of payment to the incarcerated individual. Each incarcerated individual shall receive a copy of the restitution plan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20.11(7)</w:t>
      </w:r>
      <w:r>
        <w:rPr>
          <w:rFonts w:ascii="Times New Roman" w:hAnsi="Times New Roman"/>
          <w:b w:val="false"/>
          <w:i w:val="false"/>
          <w:color w:val="000000"/>
          <w:sz w:val="22"/>
        </w:rPr>
        <w:t> </w:t>
      </w:r>
      <w:r>
        <w:rPr>
          <w:rFonts w:ascii="Times New Roman" w:hAnsi="Times New Roman"/>
          <w:b w:val="false"/>
          <w:i w:val="false"/>
          <w:color w:val="000000"/>
          <w:sz w:val="22"/>
        </w:rPr>
        <w:t>Restitution payments shall be deducted from all credits to an incarcerated individual’s account. Up to 50 percent may be deducted. The following are exempt for deductions from credits to an incarcerated individual’s account from an outside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amount, assessed by the warden or designee, specifically for medical costs. The same percent as established in the restitution plan will be deducted from any amount over the total amount assessed. If the medical procedures are not performed or carried out, the money shall be returned to the sender at the incarcerated individual’s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amount, assessed by the warden or designee, specifically for the cost of a funeral trip. The same percent as established in the restitution plan will be deducted from any amount over the total amount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amount as assessed by the appropriate authority specifically for transportation fees as a result of work release/OWI violations or compact transfers. The same percent as established in the restitution plan will be deducted from any amount over the total amount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account transfer from one institution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Refunds from outside vendors or institution commissaries.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Property tort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exception approved by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20.11(8)</w:t>
      </w:r>
      <w:r>
        <w:rPr>
          <w:rFonts w:ascii="Times New Roman" w:hAnsi="Times New Roman"/>
          <w:b w:val="false"/>
          <w:i w:val="false"/>
          <w:color w:val="000000"/>
          <w:sz w:val="22"/>
        </w:rPr>
        <w:t> </w:t>
      </w:r>
      <w:r>
        <w:rPr>
          <w:rFonts w:ascii="Times New Roman" w:hAnsi="Times New Roman"/>
          <w:b w:val="false"/>
          <w:i w:val="false"/>
          <w:color w:val="000000"/>
          <w:sz w:val="22"/>
        </w:rPr>
        <w:t>Restitution deductions shall be forwarded to the clerk of court in the county of commitment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20.11(9)</w:t>
      </w:r>
      <w:r>
        <w:rPr>
          <w:rFonts w:ascii="Times New Roman" w:hAnsi="Times New Roman"/>
          <w:b w:val="false"/>
          <w:i w:val="false"/>
          <w:color w:val="000000"/>
          <w:sz w:val="22"/>
        </w:rPr>
        <w:t> </w:t>
      </w:r>
      <w:r>
        <w:rPr>
          <w:rFonts w:ascii="Times New Roman" w:hAnsi="Times New Roman"/>
          <w:b w:val="false"/>
          <w:i w:val="false"/>
          <w:color w:val="000000"/>
          <w:sz w:val="22"/>
        </w:rPr>
        <w:t>When the department of corrections has knowledge of other income or assets the district court clerk of the sentencing county shall be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20.11(10)</w:t>
      </w:r>
      <w:r>
        <w:rPr>
          <w:rFonts w:ascii="Times New Roman" w:hAnsi="Times New Roman"/>
          <w:b w:val="false"/>
          <w:i w:val="false"/>
          <w:color w:val="000000"/>
          <w:sz w:val="22"/>
        </w:rPr>
        <w:t> </w:t>
      </w:r>
      <w:r>
        <w:rPr>
          <w:rFonts w:ascii="Times New Roman" w:hAnsi="Times New Roman"/>
          <w:b w:val="false"/>
          <w:i w:val="false"/>
          <w:color w:val="000000"/>
          <w:sz w:val="22"/>
        </w:rPr>
        <w:t>A percent greater than that established in the restitution plan of payment may be deducted from a credit to an incarcerated individual’s account by authorization of either the incarcerated individual or the warden or designee or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The restitution plan of payment may be modified through each level of commitment. (This includes preinstitutional services and postinstitutional services.)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6">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and sections </w:t>
      </w:r>
      <w:hyperlink r:id="rId27">
        <w:r>
          <w:rPr>
            <w:rStyle w:val="Hyperlink"/>
            <w:rFonts w:ascii="Times New Roman" w:hAnsi="Times New Roman"/>
            <w:b w:val="false"/>
            <w:i w:val="false"/>
            <w:color w:val="000000"/>
            <w:sz w:val="22"/>
          </w:rPr>
          <w:t>910.2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910.3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201—20.12</w:t>
      </w:r>
      <w:r>
        <w:rPr>
          <w:rFonts w:ascii="Times New Roman" w:hAnsi="Times New Roman"/>
          <w:b/>
          <w:i w:val="false"/>
          <w:color w:val="000000"/>
          <w:sz w:val="22"/>
        </w:rPr>
        <w:t xml:space="preserve">(904) </w:t>
      </w:r>
      <w:r>
        <w:rPr>
          <w:rFonts w:ascii="Times New Roman" w:hAnsi="Times New Roman"/>
          <w:b/>
          <w:i w:val="false"/>
          <w:color w:val="000000"/>
          <w:sz w:val="22"/>
        </w:rPr>
        <w:t xml:space="preserve">Furloughs.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Furloughs are a privilege, not a right, and may be denied or canceled at any time for reasons deemed sufficient by the warden. Reasons for denial or cancellation shall be given to the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Emergency family furlough shall be considered in the event of a death or imminent death in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val="false"/>
          <w:color w:val="000000"/>
          <w:sz w:val="22"/>
        </w:rPr>
        <w:t>Emergency medical furlough is for those incarcerated individuals whose medical condition has deteriorated to the point of incapacitation or to a comatose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val="false"/>
          <w:color w:val="000000"/>
          <w:sz w:val="22"/>
        </w:rPr>
        <w:t>Both emergency family furloughs and emergency medical furloughs shall have approval of the warden and the institutional deputy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val="false"/>
          <w:color w:val="000000"/>
          <w:sz w:val="22"/>
        </w:rPr>
        <w:t>Furloughs are additionally governed by the provisions of the department’s furlough policy IS-RL-04.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904.108(2)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201—20.13</w:t>
      </w:r>
      <w:r>
        <w:rPr>
          <w:rFonts w:ascii="Times New Roman" w:hAnsi="Times New Roman"/>
          <w:b/>
          <w:i w:val="false"/>
          <w:color w:val="000000"/>
          <w:sz w:val="22"/>
        </w:rPr>
        <w:t xml:space="preserve">(904) </w:t>
      </w:r>
      <w:r>
        <w:rPr>
          <w:rFonts w:ascii="Times New Roman" w:hAnsi="Times New Roman"/>
          <w:b/>
          <w:i w:val="false"/>
          <w:color w:val="000000"/>
          <w:sz w:val="22"/>
        </w:rPr>
        <w:t xml:space="preserve">Board of parole interviews. </w:t>
      </w:r>
      <w:r>
        <w:rPr>
          <w:rFonts w:ascii="Times New Roman" w:hAnsi="Times New Roman"/>
          <w:b w:val="false"/>
          <w:i w:val="false"/>
          <w:color w:val="000000"/>
          <w:sz w:val="22"/>
        </w:rPr>
        <w:t>Each institution provides space for the conduct of interviews between the Iowa board of parole and institutional incarcerated individuals. When these meetings are held in correctional institutions, attendance is subject to security and safety regulations as stated herein. Any exception to these rules must have prior approval of the director of the department of corrections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Persons desiring to attend a board of parole interview who are not on an incarcerated individual’s visiting list shall notify the warden of the respective institution of their intent to attend. A visitor’s application will be sent to the person, and the completed application must be received back by the institution at least 15 days prior to the scheduled date of the parole interview in order that a background investigation with law enforcement officials may be completed prior to attendance at the parole interview. Following a successful background investigation, authorization to attend parole interviews will be continuous subject to these rules and any subsequent background investigations conducted at the discretion of the warden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Due to security considerations, those persons excluded from applying for visitation privileges pursuant to subparagraphs 20.3(4)</w:t>
      </w:r>
      <w:r>
        <w:rPr>
          <w:rFonts w:ascii="Times New Roman" w:hAnsi="Times New Roman"/>
          <w:b w:val="false"/>
          <w:i/>
          <w:color w:val="000000"/>
          <w:sz w:val="22"/>
        </w:rPr>
        <w:t>“a”</w:t>
      </w:r>
      <w:r>
        <w:rPr>
          <w:rFonts w:ascii="Times New Roman" w:hAnsi="Times New Roman"/>
          <w:b w:val="false"/>
          <w:i w:val="false"/>
          <w:color w:val="000000"/>
          <w:sz w:val="22"/>
        </w:rPr>
        <w:t>(1) to (7), inclusive, are also excluded from attending parole board interviews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discharged from a correctional institution within the last 18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whose behavior represents a control problem or is counterproductive to the rehabilitation of the incarcerated individual. This may be reflected in the background investigation report which shows the individual’s having a record of carrying concealed weapons, irresponsible or illegal use of a controlled substance, previous violation of institutional rules, or similar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on probation, work release 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convicted of incidents of aiding an escape or introducing contraband in any detention or supervised correctional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who intentionally give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Ex-felons.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interview is held inside the institution proper, no children under the age of 18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Due to security considerations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of approval or denial will be given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approved, the requester shall be informed on the notification: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attendee may be subject to a search (</w:t>
      </w:r>
      <w:hyperlink r:id="rId31">
        <w:r>
          <w:rPr>
            <w:rStyle w:val="Hyperlink"/>
            <w:rFonts w:ascii="Times New Roman" w:hAnsi="Times New Roman"/>
            <w:b w:val="false"/>
            <w:i w:val="false"/>
            <w:color w:val="000000"/>
            <w:sz w:val="22"/>
          </w:rPr>
          <w:t>paragraph 20.13(3)</w:t>
        </w:r>
        <w:r>
          <w:rPr>
            <w:rFonts w:ascii="Times New Roman" w:hAnsi="Times New Roman"/>
            <w:b w:val="false"/>
            <w:i/>
            <w:color w:val="000000"/>
            <w:sz w:val="22"/>
          </w:rPr>
          <w:t>“f”</w:t>
        </w:r>
      </w:hyperlink>
      <w:r>
        <w:rPr>
          <w:rFonts w:ascii="Times New Roman" w:hAnsi="Times New Roman"/>
          <w:b w:val="false"/>
          <w:i w:val="false"/>
          <w:color w:val="000000"/>
          <w:sz w:val="22"/>
        </w:rPr>
        <w:t>) when a staff member has an articulable reason to believe that the attendee is concealing contraband;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search may include a pat down, a strip search, or a visual body cavity probe search;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requester need not submit to a strip search although refusal may result in the forfeiture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denied, the applicant shall be apprised of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requesters shall present proper identification upon entrance to the institution. Photo identification is preferred, but all identification shall identify personal characteristics, such as color of hair and eyes, height, weight and birth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Signature cards may be required from requesters.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requesters may be required to be photographed for future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may be required to leave the institution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or attendee engages in behavior that may in any way be disruptive to order and control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attendee fails to follow the established rules and procedures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attendee and incarcerated individual directly exchange any object or article.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attendee talks or communicates with an incarcerated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 of alcohol or narcotic drugs is detected on the attendee before or during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detriment to the health of the incarcerated individual or attendee.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attendee does not manage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Minors outside the immediate family shall have written permission from their parent or guardian and be accompanied by an adult. All children shall have adult supervision. Exceptions shall have prior approval of the warden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Attendees shall be properly attired as would be expected in a public meeting place. Adults and teenagers shall wear shoes and may not wear miniskirts, shorts, muscle shirts, see-through clothing, halter tops, clothing with obscene or lewd slogans, pictures or words, and similar apparel. Attendees may be required to remove, for the duration of the interview, outerwear such as, but not limited to, coats, hats, gloves, and sunglasses. A medical need for sunglasses must be verified by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Attendees may be requested to submit to a personal search (pat down) or review by an electronic device for weapons or contraband. When the electronic device alarm is activated, the attendee shall produce the item or a personal search may be made to find the item that set off the alarm. Attendees may be requested to submit to a strip search when there is an articulable reason to believe the person is concealing a weapon or contraband. Each institution shall designate the level of authority required to request a search through institutional policy. This person shall authorize the search in writing. The designation required pursuant to subrule 20.3(8) for visitation will suffice for this subrule as well. Entrance may be denied when the attendee is not willing to submit to a search. The request for a search shall be conducted in an inconspicuous manner. The attendee may verbally request a review by the warden or designee at the time of request for a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Strip search means having a person remove or arrange some or all of their clothing so as to permit an inspection of the genitalia, buttocks, anus, female breasts, or undergarments of that person or a physical probe of any body cavity. Personal search means a pat down search on top of the attendee’s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search will be to the degree deemed appropriate or necessary. A strip search will be conducted only when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search is conducted in a place where it cannot be observed by persons not conducting the search.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search is conducted by a person of the same sex as the visitor, unless conducted by a medical practitioner or licensed registered nurse. A second correctional employee of the same sex as the attendee shall also be present during the search. In addition, the attendee may request a third person of the same sex as the attendee to be present during the search.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visual search or probing of any body cavity shall be performed under sanitary conditions. A physical probe of a body cavity other than the mouth, ear, or nose shall be performed only by a medical practitioner. In the absence of a medical practitioner, a licensed registered nurse will conduct the search and report the findings to the on-call medical practitioner.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will be permissible and not considered a body cavity search to request that a female attendee remove a sanitary napkin or tampon.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attendee accompanied by a minor child has the option of not having the child present during a strip search or pat down. The child will be attended by a staff person. When attendee refuses to leave the child with a staff person and does not want the child present during the search, attendance will be denied. At all times when a minor child is searched, the supervising adult may be present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an attendee is arrested, the attendee may be searched for weapons which may inflict harm on the arresting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shall be kept of all strip searches and shall include the name of the person subjected to the search, the names of the persons conducting and in attendance at the search, the time, date, and place of the search. The written record shall reflect the reason for the search and the results of the search. The written authorization for the search shall be included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Attendees found in possession of contraband shall be referred to the county attorney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The space provided for the parole interviews shall have a posted maximum capacity set by the fire marshal. The number of individuals in the room shall not exceed the maximum capacity. Individuals will be admitted on a first-come, first-serve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are permitted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Media equipment is subject to search prior to admittance and at any time said equipment is inside the institution. Search shall be conducted in the presence of the photographer.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Should the attendees be required to pass through areas of the institution where for reasons of security or right to privacy media equipment is disallowed, the use of such equipment is prohibited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20.13(6)</w:t>
      </w:r>
      <w:r>
        <w:rPr>
          <w:rFonts w:ascii="Times New Roman" w:hAnsi="Times New Roman"/>
          <w:b w:val="false"/>
          <w:i w:val="false"/>
          <w:color w:val="000000"/>
          <w:sz w:val="22"/>
        </w:rPr>
        <w:t> </w:t>
      </w:r>
      <w:r>
        <w:rPr>
          <w:rFonts w:ascii="Times New Roman" w:hAnsi="Times New Roman"/>
          <w:b w:val="false"/>
          <w:i w:val="false"/>
          <w:color w:val="000000"/>
          <w:sz w:val="22"/>
        </w:rPr>
        <w:t>Interviews may be temporarily modified or suspended in the following circumstances: riot, disturbance, fire, labor dispute, space restriction, natural disaster, or other extreme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20.13(7)</w:t>
      </w:r>
      <w:r>
        <w:rPr>
          <w:rFonts w:ascii="Times New Roman" w:hAnsi="Times New Roman"/>
          <w:b w:val="false"/>
          <w:i w:val="false"/>
          <w:color w:val="000000"/>
          <w:sz w:val="22"/>
        </w:rPr>
        <w:t> </w:t>
      </w:r>
      <w:r>
        <w:rPr>
          <w:rFonts w:ascii="Times New Roman" w:hAnsi="Times New Roman"/>
          <w:b w:val="false"/>
          <w:i w:val="false"/>
          <w:color w:val="000000"/>
          <w:sz w:val="22"/>
        </w:rPr>
        <w:t>Refer to Iowa Administrative Code, Parole Board[205] for rules governing conduct at the hearings as required by the Iowa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20.13(8)</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that apply to registered victims are found in subrule </w:t>
      </w:r>
      <w:hyperlink r:id="rId32">
        <w:r>
          <w:rPr>
            <w:rStyle w:val="Hyperlink"/>
            <w:rFonts w:ascii="Times New Roman" w:hAnsi="Times New Roman"/>
            <w:b w:val="false"/>
            <w:i w:val="false"/>
            <w:color w:val="000000"/>
            <w:sz w:val="22"/>
          </w:rPr>
          <w:t>20.15(7)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904.103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201—20.14</w:t>
      </w:r>
      <w:r>
        <w:rPr>
          <w:rFonts w:ascii="Times New Roman" w:hAnsi="Times New Roman"/>
          <w:b/>
          <w:i w:val="false"/>
          <w:color w:val="000000"/>
          <w:sz w:val="22"/>
        </w:rPr>
        <w:t xml:space="preserve">(80A) </w:t>
      </w:r>
      <w:r>
        <w:rPr>
          <w:rFonts w:ascii="Times New Roman" w:hAnsi="Times New Roman"/>
          <w:b/>
          <w:i w:val="false"/>
          <w:color w:val="000000"/>
          <w:sz w:val="22"/>
        </w:rPr>
        <w:t xml:space="preserve">Transportation for incarcerated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 xml:space="preserve">Companies under contract to county or state agencies to transport Iowa incarcerated individuals must meet the requirements of this rule to qualify for exemption under Iowa Code section </w:t>
      </w:r>
      <w:hyperlink r:id="rId35">
        <w:r>
          <w:rPr>
            <w:rStyle w:val="Hyperlink"/>
            <w:rFonts w:ascii="Times New Roman" w:hAnsi="Times New Roman"/>
            <w:b w:val="false"/>
            <w:i w:val="false"/>
            <w:color w:val="000000"/>
            <w:sz w:val="22"/>
          </w:rPr>
          <w:t>80A.2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 xml:space="preserve">To comply with the exemption in Iowa Code section </w:t>
      </w:r>
      <w:hyperlink r:id="rId36">
        <w:r>
          <w:rPr>
            <w:rStyle w:val="Hyperlink"/>
            <w:rFonts w:ascii="Times New Roman" w:hAnsi="Times New Roman"/>
            <w:b w:val="false"/>
            <w:i w:val="false"/>
            <w:color w:val="000000"/>
            <w:sz w:val="22"/>
          </w:rPr>
          <w:t>80A.2</w:t>
        </w:r>
      </w:hyperlink>
      <w:r>
        <w:rPr>
          <w:rFonts w:ascii="Times New Roman" w:hAnsi="Times New Roman"/>
          <w:b w:val="false"/>
          <w:i w:val="false"/>
          <w:color w:val="000000"/>
          <w:sz w:val="22"/>
        </w:rPr>
        <w:t>, the following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Companies contracting with any jurisdiction/agency within the state of Iowa shall provide, upon request, training and compliance with policy standards governing weapons, security, transportation, and management procedures for incarcerated individuals essential to accomplishing safe and secure movement of incarcerated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Companies contracting to provide transportation for incarcerated individuals with a jurisdiction/agency within the state of Iowa shall provide proof of insurance coverage including, but not limited to, comprehensive general liability, automobile liability, workers’ compensation insurance, all inclusive policies, general liability, and errors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Companies contracting with any jurisdiction/agency within the state of Iowa shall provide the names, dates of birth, and social security numbers of all transportation personnel for criminal history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transporting personnel shall possess appropriate and valid driver’s licenses as required by the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transporting vehicles shall be licensed under the appropriate Interstate Commerce Commission (ICC) regulations and the state where the vehicle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transmitting/receiving radios and communication equipment shall comply with Federal Communications Commission (FCC)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This exemption applies only to transportation companies for incarcerated individuals. This exemption does not provide exemption for any other part of this statute.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80A.2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201—20.15</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means mailing by regular mail or providing for hand delivery of appropriate information or papers. However, this notification procedure does not prohibit an agency from also providing appropriate information to a registered victim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w:t>
      </w:r>
      <w:r>
        <w:rPr>
          <w:rFonts w:ascii="Times New Roman" w:hAnsi="Times New Roman"/>
          <w:b w:val="false"/>
          <w:i w:val="false"/>
          <w:color w:val="000000"/>
          <w:sz w:val="22"/>
        </w:rPr>
        <w:t>means having provided the appropriate office, agency, or department with the victim’s written request for notification and current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“Victim” </w:t>
      </w:r>
      <w:r>
        <w:rPr>
          <w:rFonts w:ascii="Times New Roman" w:hAnsi="Times New Roman"/>
          <w:b w:val="false"/>
          <w:i w:val="false"/>
          <w:color w:val="000000"/>
          <w:sz w:val="22"/>
        </w:rPr>
        <w:t>means a person who has suffered physical, emotional, or financial harm as the result of a public offense, other than a simple misdemeanor, committed in this state. The term also includes the immediate family members of a victim who died or was rendered incompetent as a result of the offense or who was under 18 years of age at the time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“Violent crime” </w:t>
      </w:r>
      <w:r>
        <w:rPr>
          <w:rFonts w:ascii="Times New Roman" w:hAnsi="Times New Roman"/>
          <w:b w:val="false"/>
          <w:i w:val="false"/>
          <w:color w:val="000000"/>
          <w:sz w:val="22"/>
        </w:rPr>
        <w:t xml:space="preserve">means a forcible felony, as defined in Iowa Code section </w:t>
      </w:r>
      <w:hyperlink r:id="rId38">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 and includes any other felony or aggravated misdemeanor which involved the actual or threatened infliction of physical or emotional injury on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A victim of a violent crime may become registered with the department of corrections which entitles the victim to be notified when the incarcerated individual is to be released in any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release. </w:t>
      </w:r>
      <w:r>
        <w:rPr>
          <w:rFonts w:ascii="Times New Roman" w:hAnsi="Times New Roman"/>
          <w:b w:val="false"/>
          <w:i w:val="false"/>
          <w:color w:val="000000"/>
          <w:sz w:val="22"/>
        </w:rPr>
        <w:t>Approximate date of release and whether the incarcerated individual is expected to return to the community where the victim resides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Furlough. </w:t>
      </w:r>
      <w:r>
        <w:rPr>
          <w:rFonts w:ascii="Times New Roman" w:hAnsi="Times New Roman"/>
          <w:b w:val="false"/>
          <w:i w:val="false"/>
          <w:color w:val="000000"/>
          <w:sz w:val="22"/>
        </w:rPr>
        <w:t>Date of leave, date of return and whether the incarcerated individual is expected to return to the community where the victim resides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Escape. </w:t>
      </w:r>
      <w:r>
        <w:rPr>
          <w:rFonts w:ascii="Times New Roman" w:hAnsi="Times New Roman"/>
          <w:b w:val="false"/>
          <w:i w:val="false"/>
          <w:color w:val="000000"/>
          <w:sz w:val="22"/>
        </w:rPr>
        <w:t>Date of escape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Expiration of sentence. </w:t>
      </w:r>
      <w:r>
        <w:rPr>
          <w:rFonts w:ascii="Times New Roman" w:hAnsi="Times New Roman"/>
          <w:b w:val="false"/>
          <w:i w:val="false"/>
          <w:color w:val="000000"/>
          <w:sz w:val="22"/>
        </w:rPr>
        <w:t>Date of discharge from an institution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for parole. </w:t>
      </w:r>
      <w:r>
        <w:rPr>
          <w:rFonts w:ascii="Times New Roman" w:hAnsi="Times New Roman"/>
          <w:b w:val="false"/>
          <w:i w:val="false"/>
          <w:color w:val="000000"/>
          <w:sz w:val="22"/>
        </w:rPr>
        <w:t>The institution has submitted a recommendation for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Parole. </w:t>
      </w:r>
      <w:r>
        <w:rPr>
          <w:rFonts w:ascii="Times New Roman" w:hAnsi="Times New Roman"/>
          <w:b w:val="false"/>
          <w:i w:val="false"/>
          <w:color w:val="000000"/>
          <w:sz w:val="22"/>
        </w:rPr>
        <w:t>Approximate date of release and whether the incarcerated individual is expected to return to the community where the victim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val="false"/>
          <w:color w:val="000000"/>
          <w:sz w:val="22"/>
        </w:rPr>
        <w:t>A victim will become registered upon official request by the county attorney to the Director, or designee, Iowa Department of Corrections, 510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val="false"/>
          <w:color w:val="000000"/>
          <w:sz w:val="22"/>
        </w:rPr>
        <w:t>Assistance for registering may be obtained through the county attorney or by contacting the department of corrections, director of victim programs, at (515)725-5701.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val="false"/>
          <w:color w:val="000000"/>
          <w:sz w:val="22"/>
        </w:rPr>
        <w:t>All information with regard to a registered victim will be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20.15(6)</w:t>
      </w:r>
      <w:r>
        <w:rPr>
          <w:rFonts w:ascii="Times New Roman" w:hAnsi="Times New Roman"/>
          <w:b w:val="false"/>
          <w:i w:val="false"/>
          <w:color w:val="000000"/>
          <w:sz w:val="22"/>
        </w:rPr>
        <w:t> </w:t>
      </w:r>
      <w:r>
        <w:rPr>
          <w:rFonts w:ascii="Times New Roman" w:hAnsi="Times New Roman"/>
          <w:b w:val="false"/>
          <w:i w:val="false"/>
          <w:color w:val="000000"/>
          <w:sz w:val="22"/>
        </w:rPr>
        <w:t>A registered victim is responsible for notifying the department of corrections of address or telephone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20.15(7)</w:t>
      </w:r>
      <w:r>
        <w:rPr>
          <w:rFonts w:ascii="Times New Roman" w:hAnsi="Times New Roman"/>
          <w:b w:val="false"/>
          <w:i w:val="false"/>
          <w:color w:val="000000"/>
          <w:sz w:val="22"/>
        </w:rPr>
        <w:t> </w:t>
      </w:r>
      <w:r>
        <w:rPr>
          <w:rFonts w:ascii="Times New Roman" w:hAnsi="Times New Roman"/>
          <w:b w:val="false"/>
          <w:i w:val="false"/>
          <w:color w:val="000000"/>
          <w:sz w:val="22"/>
        </w:rPr>
        <w:t>Registered victims of the Iowa board of parole may attend hearings in accordance with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victims by the parole board have the right to appear at the parole/work release hearing of the incarcerated individual(s) either personally or by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parole board notifies victims of any scheduled parole/work release hearings where the board will interview the incarcerated individual not less than 20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parole board notification will request any victim(s) planning to attend a hearing to notify the warden of the intention to attend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victim may only be denied attendance when, in the opinion of the warden or designee, the victim(s) presents a threat to the security and order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victim is denied attendance at a hearing, the parole board shall be notified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security director or designee should consider separation of the victim(s) and family/friends in attendance at the same hearing. If there are any signs of conflict between the victim(s) and family/friends of incarcerated individuals, the victim(s) shall be escorted out of the institution to avoid an unsupervised contact situation on institution grounds.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9">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201—20.16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201—20.17</w:t>
      </w:r>
      <w:r>
        <w:rPr>
          <w:rFonts w:ascii="Times New Roman" w:hAnsi="Times New Roman"/>
          <w:b/>
          <w:i w:val="false"/>
          <w:color w:val="000000"/>
          <w:sz w:val="22"/>
        </w:rPr>
        <w:t xml:space="preserve">(904) </w:t>
      </w:r>
      <w:r>
        <w:rPr>
          <w:rFonts w:ascii="Times New Roman" w:hAnsi="Times New Roman"/>
          <w:b/>
          <w:i w:val="false"/>
          <w:color w:val="000000"/>
          <w:sz w:val="22"/>
        </w:rPr>
        <w:t xml:space="preserve">Institutional community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Home care program. </w:t>
      </w:r>
      <w:r>
        <w:rPr>
          <w:rFonts w:ascii="Times New Roman" w:hAnsi="Times New Roman"/>
          <w:b w:val="false"/>
          <w:i w:val="false"/>
          <w:color w:val="000000"/>
          <w:sz w:val="22"/>
        </w:rPr>
        <w:t>This program allows for selected incarcerated individuals to be released from institutional confinement for a set period of time for the purpose of caring for the incarcerated individual’s immediate family. Release may be to a community correction residential facility/halfway house or to the incarcerated individual’s home, home of an immediate family member, or other approved arrangements, provided the living environment is suitable to institutional requirements. Release may be for a set number of hours or days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be the natural parent or legal guardian of the child/children.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show cause that this program can provide more suitable care than the present living situation of the child/children.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child/children must be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have been the primary caretaker of the child/children prior to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Investigating staff must be able to confirm that the incarcerated individual had satisfactorily served this care prior to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proposed living arrangements shall provide a suitable environment for the incarcerated individual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physical structure of the residence shall provide for adequate space, meet sanitary, health and safety requirements, and be in good repair. A functional telephone must be maintained in the residence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It will be verified that the incarcerated individual, including spouse or immediate family member living at the same residence, can and will provide adequate support towards the child, children, or other dependent. Eligibility requirements for assistance through the department of human services programs (FIP, food stamps, etc.) will be verified prior to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will be verified that the incarcerated individual or immediate family living at the residence can provide adequate transportation or that public transportation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Adequate support services (medical, psychological, educational, as well as other treatment programs) must be arranged and available to both the incarcerated individual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Dependent care for an adult member of the incarcerated individual’s immediate family must include a medically documented need with periodic supervision or other approved arrangements by a health-trained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Education/employment/child care/adult dependent care. Where all dependents are involved in full-time school, participation in an educational or employment program may be required of the incarcerated individual. Where such dependents are not yet in school, child care may be considered as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care/adult dependent care. Child care shall be provided in the home. Therefore, the residence will be considered as the designated place of assignment. Deviations from same shall be reported to staff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Work program—eligibility criteria. </w:t>
      </w:r>
      <w:r>
        <w:rPr>
          <w:rFonts w:ascii="Times New Roman" w:hAnsi="Times New Roman"/>
          <w:b w:val="false"/>
          <w:i w:val="false"/>
          <w:color w:val="000000"/>
          <w:sz w:val="22"/>
        </w:rPr>
        <w:t>This program allows for selected incarcerated individuals to be released from institutional confinement for a period of time for gainful employment in the community. The program may also include placement in a community corrections residential facility/halfway house, or to the incarcerated individual’s home, home of an immediate family member, or other approved arrangements, provided the living environment is suitable to institutional requirements. Release may be for a set number of hours or days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show a substantial need and interest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seek and apply for employment through established procedures of the furlough program or through institutional correspondence, telephone, or visiting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Suitable employment and verification must be obtained by staff prior 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color w:val="000000"/>
          <w:sz w:val="22"/>
        </w:rPr>
        <w:t xml:space="preserve">Educational program—eligibility criteria. </w:t>
      </w:r>
      <w:r>
        <w:rPr>
          <w:rFonts w:ascii="Times New Roman" w:hAnsi="Times New Roman"/>
          <w:b w:val="false"/>
          <w:i w:val="false"/>
          <w:color w:val="000000"/>
          <w:sz w:val="22"/>
        </w:rPr>
        <w:t>This program allows for selected incarcerated individuals to be released from institutional confinement for a period of time for educational opportunities in the community. This program may also include placement in a community corrections residential facility/halfway house or to the incarcerated individual’s home, home of an immediate family member, or other approved arrangements, provided the environment is suitable to institutional requirements. Release may be for a set number of hours or days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show a substantial need and interest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must seek educational opportunities and financial support through established procedures of the furlough program or through institutional correspondence, telephone, or visiting procedures (financial arrangements can only include family support or grants). Educational loans or loans of any type will not be allowed while on institutional count. Additional community corrections restriction may apply while under community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three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 in any of these programs at any level is a privilege, not a right, of which participating incarcerated individuals are subject to and held accountable for all provisions of this policy as well as the specific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Institutional progress and recommended program participation must reflect an average or above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Incarcerated individuals must be furlough-eligible in accordance with furlough eligibility standards in DOC policy IS-RL-04 and rule 201—20.12(904).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applicable, community corrections residential/halfway house rules and regulations will apply as well as institutional rules including all program plan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Local authorities will be contacted to determine possible concerns (correctional services, county attorney,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incarcerated individual may be required to submit to periodic or regular U.A. Testing (this procedure may be completed at any correctional institution, community corrections facility/office, or at the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activity will be monitored by community corrections staff and institutional staff as agreed.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All employment and educational earnings, less payroll deductions including education grants and expenses, shall be surrendered to the residential facility/halfway house staff according to established procedures or to the institution business manager, whichever applies, according to the program plan. Employment earning deductions will be prioritized in accordance with Iowa Code section </w:t>
      </w:r>
      <w:hyperlink r:id="rId40">
        <w:r>
          <w:rPr>
            <w:rStyle w:val="Hyperlink"/>
            <w:rFonts w:ascii="Times New Roman" w:hAnsi="Times New Roman"/>
            <w:b w:val="false"/>
            <w:i w:val="false"/>
            <w:color w:val="000000"/>
            <w:sz w:val="22"/>
          </w:rPr>
          <w:t>904.905</w:t>
        </w:r>
      </w:hyperlink>
      <w:r>
        <w:rPr>
          <w:rFonts w:ascii="Times New Roman" w:hAnsi="Times New Roman"/>
          <w:b w:val="false"/>
          <w:i w:val="false"/>
          <w:color w:val="000000"/>
          <w:sz w:val="22"/>
        </w:rPr>
        <w:t xml:space="preserve"> for all levels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frequency. A minimum of one home visit and one other face-to-face contact per month is required of staff. Furthermore, a sufficient number of collateral contacts will be made each month to ensure that the incarcerated individual is meeting requirements of the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 In situations where incarcerated individuals or the family have special needs, a case planning system shall be incorporated to address needs, capabilities, and specific goals. Special attention shall be given to past or immediate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Travel. Supervisory staff may grant permission for travel within the state. Standard policy will apply to out-of-state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Temporary absence. Incarcerated individuals may temporarily leave the residence for necessary purposes such as shopping, religious services, family recreation, medical appointments, employment, etc., as indicated on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must be made to the present institutional classification committee (utilizing Form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all pertinent information and resources for the requested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classification committee shall review each case considering all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classification committee’s recommendation must be approved by the warden.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approved by the warden, the recommendation and all pertinent information shall be forwarded to the institutional deputy director for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recommendation is approved by the institutional deputy director, the incarcerated individual must agree to abide by all rules established in the program plan including institutional rules and community corrections rules as well as all local,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level of review has the authority to deny the application or to make changes in the program plan including level of placement, i.e., institutional, residential/halfway house, home, as well as electronic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Incarcerated individuals placed in any of these programs will not be relieved of paying restitution or any other financial obligation as required by the court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rule set forth in the program plan including any additional rules set forth by any authority listed in this policy may constitute the revocation of participation in either program at any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Revocation may also occur for improper care of children or dependents, inadequate earnings, failure to maintain employment or unacceptable employment conduct, rule violations, or failure to meet program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color w:val="000000"/>
          <w:sz w:val="22"/>
        </w:rPr>
        <w:t xml:space="preserve">Program activity. </w:t>
      </w:r>
      <w:r>
        <w:rPr>
          <w:rFonts w:ascii="Times New Roman" w:hAnsi="Times New Roman"/>
          <w:b w:val="false"/>
          <w:i w:val="false"/>
          <w:color w:val="000000"/>
          <w:sz w:val="22"/>
        </w:rPr>
        <w:t>This rule does not create any liberty interest in the incarcerated individual’s continued participation in any of the programs at any level listed under this rule, and the department of corrections or its designee(s) reserves the right to revoke, suspend, or limit/restrict program activity from the listed programs for any reason, without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w:t>
      </w:r>
      <w:r>
        <w:rPr>
          <w:rFonts w:ascii="Times New Roman" w:hAnsi="Times New Roman"/>
          <w:b w:val="false"/>
          <w:i w:val="false"/>
          <w:color w:val="000000"/>
          <w:sz w:val="22"/>
        </w:rPr>
        <w:t> </w:t>
      </w:r>
      <w:r>
        <w:rPr>
          <w:rFonts w:ascii="Times New Roman" w:hAnsi="Times New Roman"/>
          <w:b w:val="false"/>
          <w:i/>
          <w:color w:val="000000"/>
          <w:sz w:val="22"/>
        </w:rPr>
        <w:t xml:space="preserve">Waiver of liberty interests. </w:t>
      </w:r>
      <w:r>
        <w:rPr>
          <w:rFonts w:ascii="Times New Roman" w:hAnsi="Times New Roman"/>
          <w:b w:val="false"/>
          <w:i w:val="false"/>
          <w:color w:val="000000"/>
          <w:sz w:val="22"/>
        </w:rPr>
        <w:t>As a condition for an incarcerated individual to participate in any of the programs at any level listed under this rule, the incarcerated individual must voluntarily waive any and all liberty interests to a hearing should the department exercise its right to revoke, suspend or limit/restrict program activity. This waiver must be signed prior to an incarcerated individual’s acceptance into a program. The signed waiver shall remove any and all rights to due process should the department exercise its right to revoke, suspend or limit/restrict program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904.910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201—20.18</w:t>
      </w:r>
      <w:r>
        <w:rPr>
          <w:rFonts w:ascii="Times New Roman" w:hAnsi="Times New Roman"/>
          <w:b/>
          <w:i w:val="false"/>
          <w:color w:val="000000"/>
          <w:sz w:val="22"/>
        </w:rPr>
        <w:t xml:space="preserve">(904) </w:t>
      </w:r>
      <w:r>
        <w:rPr>
          <w:rFonts w:ascii="Times New Roman" w:hAnsi="Times New Roman"/>
          <w:b/>
          <w:i w:val="false"/>
          <w:color w:val="000000"/>
          <w:sz w:val="22"/>
        </w:rPr>
        <w:t xml:space="preserve">Violator/shock probation programs.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3929C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8/1/18</w:t>
      </w:r>
      <w:r>
        <w:rPr>
          <w:rFonts w:ascii="Times New Roman" w:hAnsi="Times New Roman"/>
          <w:b w:val="false"/>
          <w:i w:val="false"/>
          <w:color w:val="000000"/>
          <w:sz w:val="22"/>
        </w:rPr>
        <w:t xml:space="preserve">, effective 9/5/18; see Delay note at end of chapter. </w:t>
      </w:r>
    </w:p>
    <w:p>
      <w:pPr>
        <w:spacing w:before="210" w:after="0"/>
        <w:ind w:left="120"/>
        <w:jc w:val="both"/>
      </w:pPr>
      <w:r>
        <w:rPr>
          <w:rFonts w:ascii="Times New Roman" w:hAnsi="Times New Roman"/>
          <w:b/>
          <w:i w:val="false"/>
          <w:color w:val="000000"/>
          <w:sz w:val="22"/>
        </w:rPr>
        <w:t>201—20.19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201—20.20</w:t>
      </w:r>
      <w:r>
        <w:rPr>
          <w:rFonts w:ascii="Times New Roman" w:hAnsi="Times New Roman"/>
          <w:b/>
          <w:i w:val="false"/>
          <w:color w:val="000000"/>
          <w:sz w:val="22"/>
        </w:rPr>
        <w:t xml:space="preserve">(904) </w:t>
      </w:r>
      <w:r>
        <w:rPr>
          <w:rFonts w:ascii="Times New Roman" w:hAnsi="Times New Roman"/>
          <w:b/>
          <w:i w:val="false"/>
          <w:color w:val="000000"/>
          <w:sz w:val="22"/>
        </w:rPr>
        <w:t xml:space="preserve">Incarcerated individuals’ telephone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“Corrections board” </w:t>
      </w:r>
      <w:r>
        <w:rPr>
          <w:rFonts w:ascii="Times New Roman" w:hAnsi="Times New Roman"/>
          <w:b w:val="false"/>
          <w:i w:val="false"/>
          <w:color w:val="000000"/>
          <w:sz w:val="22"/>
        </w:rPr>
        <w:t>means the department of corrections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“Deputy director of institutions” </w:t>
      </w:r>
      <w:r>
        <w:rPr>
          <w:rFonts w:ascii="Times New Roman" w:hAnsi="Times New Roman"/>
          <w:b w:val="false"/>
          <w:i w:val="false"/>
          <w:color w:val="000000"/>
          <w:sz w:val="22"/>
        </w:rPr>
        <w:t>means the person responsible for operation of institution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chief executive officer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manager of administration” </w:t>
      </w:r>
      <w:r>
        <w:rPr>
          <w:rFonts w:ascii="Times New Roman" w:hAnsi="Times New Roman"/>
          <w:b w:val="false"/>
          <w:i w:val="false"/>
          <w:color w:val="000000"/>
          <w:sz w:val="22"/>
        </w:rPr>
        <w:t>means the person responsible for budgeting and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“Warden” </w:t>
      </w:r>
      <w:r>
        <w:rPr>
          <w:rFonts w:ascii="Times New Roman" w:hAnsi="Times New Roman"/>
          <w:b w:val="false"/>
          <w:i w:val="false"/>
          <w:color w:val="000000"/>
          <w:sz w:val="22"/>
        </w:rPr>
        <w:t>means the chief executive officer of the institution or correctional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color w:val="000000"/>
          <w:sz w:val="22"/>
        </w:rPr>
        <w:t xml:space="preserve">Deposit of funds. </w:t>
      </w:r>
      <w:r>
        <w:rPr>
          <w:rFonts w:ascii="Times New Roman" w:hAnsi="Times New Roman"/>
          <w:b w:val="false"/>
          <w:i w:val="false"/>
          <w:color w:val="000000"/>
          <w:sz w:val="22"/>
        </w:rPr>
        <w:t>The department of corrections shall deposit and account for all telephone commissions in a clearing account within the central office. The financial manager of administration will determine commissions generated by each institution, based on a report from the vendor, for deposit in the institution’s telephone rebate fund for incarcerated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color w:val="000000"/>
          <w:sz w:val="22"/>
        </w:rPr>
        <w:t xml:space="preserve">Request for funds. </w:t>
      </w:r>
      <w:r>
        <w:rPr>
          <w:rFonts w:ascii="Times New Roman" w:hAnsi="Times New Roman"/>
          <w:b w:val="false"/>
          <w:i w:val="false"/>
          <w:color w:val="000000"/>
          <w:sz w:val="22"/>
        </w:rPr>
        <w:t>Each warden will determine recurring needs and special projects and submit a written proposal to the deputy director of institutions for all expenditures and encumbrances.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expenditures. </w:t>
      </w:r>
      <w:r>
        <w:rPr>
          <w:rFonts w:ascii="Times New Roman" w:hAnsi="Times New Roman"/>
          <w:b w:val="false"/>
          <w:i w:val="false"/>
          <w:color w:val="000000"/>
          <w:sz w:val="22"/>
        </w:rPr>
        <w:t>The deputy director of operations and the financial manager of administration will review the proposals for an annual presentation by the director to the corrections board for approval. The director will notify the chairpersons and ranking members of the justice system’s appropriations subcommittee of the proposals prior to the corrections board approval. All expenditures and encumbrances shall require prior approval from the corrections board and the deputy director of operations. Institutions shall not be allowed to encumber or expend funds without approval. Revenues generated by telephone commissions at each institution shall be used to determine the availability of funds for each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20.20(5)</w:t>
      </w:r>
      <w:r>
        <w:rPr>
          <w:rFonts w:ascii="Times New Roman" w:hAnsi="Times New Roman"/>
          <w:b w:val="false"/>
          <w:i w:val="false"/>
          <w:color w:val="000000"/>
          <w:sz w:val="22"/>
        </w:rPr>
        <w:t> </w:t>
      </w:r>
      <w:r>
        <w:rPr>
          <w:rFonts w:ascii="Times New Roman" w:hAnsi="Times New Roman"/>
          <w:b w:val="false"/>
          <w:i/>
          <w:color w:val="000000"/>
          <w:sz w:val="22"/>
        </w:rPr>
        <w:t xml:space="preserve">Permitted expenditures. </w:t>
      </w:r>
      <w:r>
        <w:rPr>
          <w:rFonts w:ascii="Times New Roman" w:hAnsi="Times New Roman"/>
          <w:b w:val="false"/>
          <w:i w:val="false"/>
          <w:color w:val="000000"/>
          <w:sz w:val="22"/>
        </w:rPr>
        <w:t>The director shall advance to the corrections board for approval only projects that benefit incarcerated individuals. Expenditures may include, but are not limited to, projects that provide educational, vocational or recreational services or projects, or work or treatment programs for incarcerated individuals. Expenditures may also be used to initiate new programs, services, or projects. Institutions shall give spending priority to programs, services, and projects that promote the health and welfare of incarcerated individuals.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904.508A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9/25/81, Notice 10/29/80—published 10/14/81, effective 11/18/81]</w:t>
      </w:r>
    </w:p>
    <w:p>
      <w:pPr>
        <w:spacing w:before="0" w:after="0"/>
        <w:ind w:left="120"/>
        <w:jc w:val="center"/>
      </w:pPr>
      <w:r>
        <w:rPr>
          <w:rFonts w:ascii="Times New Roman" w:hAnsi="Times New Roman"/>
          <w:b w:val="false"/>
          <w:i w:val="false"/>
          <w:color w:val="000000"/>
          <w:sz w:val="21"/>
        </w:rPr>
        <w:t>[Filed emergency 10/23/81—published 11/11/81, effective 10/23/81]</w:t>
      </w:r>
    </w:p>
    <w:p>
      <w:pPr>
        <w:spacing w:before="0" w:after="0"/>
        <w:ind w:left="120"/>
        <w:jc w:val="center"/>
      </w:pPr>
      <w:r>
        <w:rPr>
          <w:rFonts w:ascii="Times New Roman" w:hAnsi="Times New Roman"/>
          <w:b w:val="false"/>
          <w:i w:val="false"/>
          <w:color w:val="000000"/>
          <w:sz w:val="21"/>
        </w:rPr>
        <w:t>[Filed 10/23/81, Notice 9/2/81—published 11/11/81, effective 12/16/81]</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3/17/82—published 5/26/82, effective 6/30/82]</w:t>
      </w:r>
    </w:p>
    <w:p>
      <w:pPr>
        <w:spacing w:before="0" w:after="0"/>
        <w:ind w:left="120"/>
        <w:jc w:val="center"/>
      </w:pPr>
      <w:r>
        <w:rPr>
          <w:rFonts w:ascii="Times New Roman" w:hAnsi="Times New Roman"/>
          <w:b w:val="false"/>
          <w:i w:val="false"/>
          <w:color w:val="000000"/>
          <w:sz w:val="21"/>
        </w:rPr>
        <w:t>[Filed emergency 6/15/82—published 7/7/82, effective 7/1/82]</w:t>
      </w:r>
    </w:p>
    <w:p>
      <w:pPr>
        <w:spacing w:before="0" w:after="0"/>
        <w:ind w:left="120"/>
        <w:jc w:val="center"/>
      </w:pPr>
      <w:r>
        <w:rPr>
          <w:rFonts w:ascii="Times New Roman" w:hAnsi="Times New Roman"/>
          <w:b w:val="false"/>
          <w:i w:val="false"/>
          <w:color w:val="000000"/>
          <w:sz w:val="21"/>
        </w:rPr>
        <w:t>[Filed emergency 10/29/82—published 11/24/82, effective 10/29/82]</w:t>
      </w:r>
    </w:p>
    <w:p>
      <w:pPr>
        <w:spacing w:before="0" w:after="0"/>
        <w:ind w:left="120"/>
        <w:jc w:val="center"/>
      </w:pPr>
      <w:r>
        <w:rPr>
          <w:rFonts w:ascii="Times New Roman" w:hAnsi="Times New Roman"/>
          <w:b w:val="false"/>
          <w:i w:val="false"/>
          <w:color w:val="000000"/>
          <w:sz w:val="21"/>
        </w:rPr>
        <w:t>[Filed 1/14/83, Notice 11/10/82—published 2/2/83, effective 3/9/83]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8/29/83—published 9/14/83, effective 10/1/83]</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5/4/84, Notice 2/15/84—published 5/23/84, effective 6/27/84]</w:t>
      </w:r>
    </w:p>
    <w:p>
      <w:pPr>
        <w:spacing w:before="0" w:after="0"/>
        <w:ind w:left="120"/>
        <w:jc w:val="center"/>
      </w:pPr>
      <w:r>
        <w:rPr>
          <w:rFonts w:ascii="Times New Roman" w:hAnsi="Times New Roman"/>
          <w:b w:val="false"/>
          <w:i w:val="false"/>
          <w:color w:val="000000"/>
          <w:sz w:val="21"/>
        </w:rPr>
        <w:t>[Filed emergency 6/8/84—published 7/4/84, effective 6/8/84]</w:t>
      </w:r>
    </w:p>
    <w:p>
      <w:pPr>
        <w:spacing w:before="0" w:after="0"/>
        <w:ind w:left="120"/>
        <w:jc w:val="center"/>
      </w:pPr>
      <w:r>
        <w:rPr>
          <w:rFonts w:ascii="Times New Roman" w:hAnsi="Times New Roman"/>
          <w:b w:val="false"/>
          <w:i w:val="false"/>
          <w:color w:val="000000"/>
          <w:sz w:val="21"/>
        </w:rPr>
        <w:t>[Filed 7/24/84, Notice 4/25/84—published 8/15/84, effective 9/19/84]</w:t>
      </w:r>
    </w:p>
    <w:p>
      <w:pPr>
        <w:spacing w:before="0" w:after="0"/>
        <w:ind w:left="120"/>
        <w:jc w:val="center"/>
      </w:pPr>
      <w:r>
        <w:rPr>
          <w:rFonts w:ascii="Times New Roman" w:hAnsi="Times New Roman"/>
          <w:b w:val="false"/>
          <w:i w:val="false"/>
          <w:color w:val="000000"/>
          <w:sz w:val="21"/>
        </w:rPr>
        <w:t>[Filed 9/21/84, Notice 7/4/84—published 10/10/84, effective 11/14/84]</w:t>
      </w:r>
    </w:p>
    <w:p>
      <w:pPr>
        <w:spacing w:before="0" w:after="0"/>
        <w:ind w:left="120"/>
        <w:jc w:val="center"/>
      </w:pPr>
      <w:r>
        <w:rPr>
          <w:rFonts w:ascii="Times New Roman" w:hAnsi="Times New Roman"/>
          <w:b w:val="false"/>
          <w:i w:val="false"/>
          <w:color w:val="000000"/>
          <w:sz w:val="21"/>
        </w:rPr>
        <w:t>[Filed emergency 11/16/84—published 12/5/84, effective 11/16/84]</w:t>
      </w:r>
    </w:p>
    <w:p>
      <w:pPr>
        <w:spacing w:before="0" w:after="0"/>
        <w:ind w:left="120"/>
        <w:jc w:val="center"/>
      </w:pPr>
      <w:r>
        <w:rPr>
          <w:rFonts w:ascii="Times New Roman" w:hAnsi="Times New Roman"/>
          <w:b w:val="false"/>
          <w:i w:val="false"/>
          <w:color w:val="000000"/>
          <w:sz w:val="21"/>
        </w:rPr>
        <w:t>[Filed 4/4/85, Notice 10/24/84—published 4/24/85, effective 5/29/85]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emergency 6/28/85—published 7/17/85, effective 7/1/85]</w:t>
      </w:r>
    </w:p>
    <w:p>
      <w:pPr>
        <w:spacing w:before="0" w:after="0"/>
        <w:ind w:left="120"/>
        <w:jc w:val="center"/>
      </w:pPr>
      <w:r>
        <w:rPr>
          <w:rFonts w:ascii="Times New Roman" w:hAnsi="Times New Roman"/>
          <w:b w:val="false"/>
          <w:i w:val="false"/>
          <w:color w:val="000000"/>
          <w:sz w:val="21"/>
        </w:rPr>
        <w:t>[Filed 9/20/85, Notice 7/31/85—published 10/9/85, effective 11/13/85]</w:t>
      </w:r>
    </w:p>
    <w:p>
      <w:pPr>
        <w:spacing w:before="0" w:after="0"/>
        <w:ind w:left="120"/>
        <w:jc w:val="center"/>
      </w:pPr>
      <w:r>
        <w:rPr>
          <w:rFonts w:ascii="Times New Roman" w:hAnsi="Times New Roman"/>
          <w:b w:val="false"/>
          <w:i w:val="false"/>
          <w:color w:val="000000"/>
          <w:sz w:val="21"/>
        </w:rPr>
        <w:t>[Filed emergency 7/11/86—published 7/30/86, effective 7/11/86]</w:t>
      </w:r>
    </w:p>
    <w:p>
      <w:pPr>
        <w:spacing w:before="0" w:after="0"/>
        <w:ind w:left="120"/>
        <w:jc w:val="center"/>
      </w:pPr>
      <w:r>
        <w:rPr>
          <w:rFonts w:ascii="Times New Roman" w:hAnsi="Times New Roman"/>
          <w:b w:val="false"/>
          <w:i w:val="false"/>
          <w:color w:val="000000"/>
          <w:sz w:val="21"/>
        </w:rPr>
        <w:t>[Filed 2/6/87, Notice 12/31/86—published 2/25/87, effective 4/1/87]</w:t>
      </w:r>
    </w:p>
    <w:p>
      <w:pPr>
        <w:spacing w:before="0" w:after="0"/>
        <w:ind w:left="120"/>
        <w:jc w:val="center"/>
      </w:pPr>
      <w:r>
        <w:rPr>
          <w:rFonts w:ascii="Times New Roman" w:hAnsi="Times New Roman"/>
          <w:b w:val="false"/>
          <w:i w:val="false"/>
          <w:color w:val="000000"/>
          <w:sz w:val="21"/>
        </w:rPr>
        <w:t>[Filed emergency 9/30/88—published 10/19/88, effective 9/30/88]</w:t>
      </w:r>
    </w:p>
    <w:p>
      <w:pPr>
        <w:spacing w:before="0" w:after="0"/>
        <w:ind w:left="120"/>
        <w:jc w:val="center"/>
      </w:pPr>
      <w:r>
        <w:rPr>
          <w:rFonts w:ascii="Times New Roman" w:hAnsi="Times New Roman"/>
          <w:b w:val="false"/>
          <w:i w:val="false"/>
          <w:color w:val="000000"/>
          <w:sz w:val="21"/>
        </w:rPr>
        <w:t>[Filed emergency 12/9/88—published 12/28/88, effective 12/9/88]</w:t>
      </w:r>
    </w:p>
    <w:p>
      <w:pPr>
        <w:spacing w:before="0" w:after="0"/>
        <w:ind w:left="120"/>
        <w:jc w:val="center"/>
      </w:pPr>
      <w:r>
        <w:rPr>
          <w:rFonts w:ascii="Times New Roman" w:hAnsi="Times New Roman"/>
          <w:b w:val="false"/>
          <w:i w:val="false"/>
          <w:color w:val="000000"/>
          <w:sz w:val="21"/>
        </w:rPr>
        <w:t>[Filed 3/31/89, Notice 12/28/88—published 4/19/89, effective 5/24/89]</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8/3/90, Notice 2/21/90—published 8/22/90, effective 9/26/90]</w:t>
      </w:r>
    </w:p>
    <w:p>
      <w:pPr>
        <w:spacing w:before="0" w:after="0"/>
        <w:ind w:left="120"/>
        <w:jc w:val="center"/>
      </w:pPr>
      <w:r>
        <w:rPr>
          <w:rFonts w:ascii="Times New Roman" w:hAnsi="Times New Roman"/>
          <w:b w:val="false"/>
          <w:i w:val="false"/>
          <w:color w:val="000000"/>
          <w:sz w:val="21"/>
        </w:rPr>
        <w:t>[Filed emergency 9/14/90—published 10/3/90, effective 9/26/90]</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1/31/92, Notice 10/2/91—published 2/19/92, effective 3/27/92]</w:t>
      </w:r>
    </w:p>
    <w:p>
      <w:pPr>
        <w:spacing w:before="0" w:after="0"/>
        <w:ind w:left="120"/>
        <w:jc w:val="center"/>
      </w:pPr>
      <w:r>
        <w:rPr>
          <w:rFonts w:ascii="Times New Roman" w:hAnsi="Times New Roman"/>
          <w:b w:val="false"/>
          <w:i w:val="false"/>
          <w:color w:val="000000"/>
          <w:sz w:val="21"/>
        </w:rPr>
        <w:t>[Filed 7/17/92, Notice 2/19/92—published 8/5/92, effective 9/9/92]</w:t>
      </w:r>
    </w:p>
    <w:p>
      <w:pPr>
        <w:spacing w:before="0" w:after="0"/>
        <w:ind w:left="120"/>
        <w:jc w:val="center"/>
      </w:pPr>
      <w:r>
        <w:rPr>
          <w:rFonts w:ascii="Times New Roman" w:hAnsi="Times New Roman"/>
          <w:b w:val="false"/>
          <w:i w:val="false"/>
          <w:color w:val="000000"/>
          <w:sz w:val="21"/>
        </w:rPr>
        <w:t>[Filed 10/23/92, Notice 5/27/92—published 11/11/92, effective 12/16/92]</w:t>
      </w:r>
    </w:p>
    <w:p>
      <w:pPr>
        <w:spacing w:before="0" w:after="0"/>
        <w:ind w:left="120"/>
        <w:jc w:val="center"/>
      </w:pPr>
      <w:r>
        <w:rPr>
          <w:rFonts w:ascii="Times New Roman" w:hAnsi="Times New Roman"/>
          <w:b w:val="false"/>
          <w:i w:val="false"/>
          <w:color w:val="000000"/>
          <w:sz w:val="21"/>
        </w:rPr>
        <w:t>[Filed 2/26/93, Notice 9/16/92—published 3/17/93, effective 4/21/93]</w:t>
      </w:r>
    </w:p>
    <w:p>
      <w:pPr>
        <w:spacing w:before="0" w:after="0"/>
        <w:ind w:left="120"/>
        <w:jc w:val="center"/>
      </w:pPr>
      <w:r>
        <w:rPr>
          <w:rFonts w:ascii="Times New Roman" w:hAnsi="Times New Roman"/>
          <w:b w:val="false"/>
          <w:i w:val="false"/>
          <w:color w:val="000000"/>
          <w:sz w:val="21"/>
        </w:rPr>
        <w:t>[Filed 2/26/93, Notice 12/23/92—published 3/17/93, effective 4/21/93]</w:t>
      </w:r>
    </w:p>
    <w:p>
      <w:pPr>
        <w:spacing w:before="0" w:after="0"/>
        <w:ind w:left="120"/>
        <w:jc w:val="center"/>
      </w:pPr>
      <w:r>
        <w:rPr>
          <w:rFonts w:ascii="Times New Roman" w:hAnsi="Times New Roman"/>
          <w:b w:val="false"/>
          <w:i w:val="false"/>
          <w:color w:val="000000"/>
          <w:sz w:val="21"/>
        </w:rPr>
        <w:t>[Filed 6/21/93, Notice 2/17/93—published 7/7/93, effective 8/11/93]</w:t>
      </w:r>
    </w:p>
    <w:p>
      <w:pPr>
        <w:spacing w:before="0" w:after="0"/>
        <w:ind w:left="120"/>
        <w:jc w:val="center"/>
      </w:pPr>
      <w:r>
        <w:rPr>
          <w:rFonts w:ascii="Times New Roman" w:hAnsi="Times New Roman"/>
          <w:b w:val="false"/>
          <w:i w:val="false"/>
          <w:color w:val="000000"/>
          <w:sz w:val="21"/>
        </w:rPr>
        <w:t>[Filed 10/21/94, Notice 8/17/94—published 11/9/94, effective 12/14/94]</w:t>
      </w:r>
    </w:p>
    <w:p>
      <w:pPr>
        <w:spacing w:before="0" w:after="0"/>
        <w:ind w:left="120"/>
        <w:jc w:val="center"/>
      </w:pPr>
      <w:r>
        <w:rPr>
          <w:rFonts w:ascii="Times New Roman" w:hAnsi="Times New Roman"/>
          <w:b w:val="false"/>
          <w:i w:val="false"/>
          <w:color w:val="000000"/>
          <w:sz w:val="21"/>
        </w:rPr>
        <w:t>[Filed emergency 7/14/95—published 8/2/95, effective 7/14/95]</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emergency 5/22/97—published 6/18/97, effective 5/22/97]</w:t>
      </w:r>
    </w:p>
    <w:p>
      <w:pPr>
        <w:spacing w:before="0" w:after="0"/>
        <w:ind w:left="120"/>
        <w:jc w:val="center"/>
      </w:pPr>
      <w:r>
        <w:rPr>
          <w:rFonts w:ascii="Times New Roman" w:hAnsi="Times New Roman"/>
          <w:b w:val="false"/>
          <w:i w:val="false"/>
          <w:color w:val="000000"/>
          <w:sz w:val="21"/>
        </w:rPr>
        <w:t>[Filed emergency 6/30/97—published 7/30/97, effective 6/30/97]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12/12/97, Notice 8/13/97—published 12/31/97, effective 2/4/98]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10/16/98, Notice 7/29/98—published 11/4/98, effective 12/9/98]</w:t>
      </w:r>
    </w:p>
    <w:p>
      <w:pPr>
        <w:spacing w:before="0" w:after="0"/>
        <w:ind w:left="120"/>
        <w:jc w:val="center"/>
      </w:pPr>
      <w:r>
        <w:rPr>
          <w:rFonts w:ascii="Times New Roman" w:hAnsi="Times New Roman"/>
          <w:b w:val="false"/>
          <w:i w:val="false"/>
          <w:color w:val="000000"/>
          <w:sz w:val="21"/>
        </w:rPr>
        <w:t>[Filed emergency 11/4/99—published 12/1/99, effective 11/4/99]</w:t>
      </w:r>
    </w:p>
    <w:p>
      <w:pPr>
        <w:spacing w:before="0" w:after="0"/>
        <w:ind w:left="120"/>
        <w:jc w:val="center"/>
      </w:pPr>
      <w:r>
        <w:rPr>
          <w:rFonts w:ascii="Times New Roman" w:hAnsi="Times New Roman"/>
          <w:b w:val="false"/>
          <w:i w:val="false"/>
          <w:color w:val="000000"/>
          <w:sz w:val="21"/>
        </w:rPr>
        <w:t>[Filed 7/21/00, Notice 5/3/00—published 8/9/00, effective 9/13/00]</w:t>
      </w:r>
    </w:p>
    <w:p>
      <w:pPr>
        <w:spacing w:before="0" w:after="0"/>
        <w:ind w:left="120"/>
        <w:jc w:val="center"/>
      </w:pPr>
      <w:r>
        <w:rPr>
          <w:rFonts w:ascii="Times New Roman" w:hAnsi="Times New Roman"/>
          <w:b w:val="false"/>
          <w:i w:val="false"/>
          <w:color w:val="000000"/>
          <w:sz w:val="21"/>
        </w:rPr>
        <w:t>[Filed 9/28/00, Notice 6/28/00—published 10/18/00, effective 11/22/00]</w:t>
      </w:r>
    </w:p>
    <w:p>
      <w:pPr>
        <w:spacing w:before="0" w:after="0"/>
        <w:ind w:left="120"/>
        <w:jc w:val="center"/>
      </w:pPr>
      <w:r>
        <w:rPr>
          <w:rFonts w:ascii="Times New Roman" w:hAnsi="Times New Roman"/>
          <w:b w:val="false"/>
          <w:i w:val="false"/>
          <w:color w:val="000000"/>
          <w:sz w:val="21"/>
        </w:rPr>
        <w:t>[Filed emergency 4/11/01—published 5/2/01, effective 4/11/01]</w:t>
      </w:r>
    </w:p>
    <w:p>
      <w:pPr>
        <w:spacing w:before="0" w:after="0"/>
        <w:ind w:left="120"/>
        <w:jc w:val="center"/>
      </w:pPr>
      <w:r>
        <w:rPr>
          <w:rFonts w:ascii="Times New Roman" w:hAnsi="Times New Roman"/>
          <w:b w:val="false"/>
          <w:i w:val="false"/>
          <w:color w:val="000000"/>
          <w:sz w:val="21"/>
        </w:rPr>
        <w:t>[Filed 5/10/01, Notice 3/21/01—published 5/30/01, effective 7/4/01]</w:t>
      </w:r>
    </w:p>
    <w:p>
      <w:pPr>
        <w:spacing w:before="0" w:after="0"/>
        <w:ind w:left="120"/>
        <w:jc w:val="center"/>
      </w:pPr>
      <w:r>
        <w:rPr>
          <w:rFonts w:ascii="Times New Roman" w:hAnsi="Times New Roman"/>
          <w:b w:val="false"/>
          <w:i w:val="false"/>
          <w:color w:val="000000"/>
          <w:sz w:val="21"/>
        </w:rPr>
        <w:t>[Filed emergency 4/8/02—published 5/1/02, effective 4/8/02]</w:t>
      </w:r>
    </w:p>
    <w:p>
      <w:pPr>
        <w:spacing w:before="0" w:after="0"/>
        <w:ind w:left="120"/>
        <w:jc w:val="center"/>
      </w:pPr>
      <w:r>
        <w:rPr>
          <w:rFonts w:ascii="Times New Roman" w:hAnsi="Times New Roman"/>
          <w:b w:val="false"/>
          <w:i w:val="false"/>
          <w:color w:val="000000"/>
          <w:sz w:val="21"/>
        </w:rPr>
        <w:t>[Filed 6/13/02, Notice 5/1/02—published 7/10/02, effective 8/14/02]</w:t>
      </w:r>
    </w:p>
    <w:p>
      <w:pPr>
        <w:spacing w:before="0" w:after="0"/>
        <w:ind w:left="120"/>
        <w:jc w:val="center"/>
      </w:pPr>
      <w:r>
        <w:rPr>
          <w:rFonts w:ascii="Times New Roman" w:hAnsi="Times New Roman"/>
          <w:b w:val="false"/>
          <w:i w:val="false"/>
          <w:color w:val="000000"/>
          <w:sz w:val="21"/>
        </w:rPr>
        <w:t>[Filed 4/17/07, Notice 2/14/07—published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9097B</w:t>
      </w:r>
      <w:r>
        <w:rPr>
          <w:rFonts w:ascii="Times New Roman" w:hAnsi="Times New Roman"/>
          <w:b w:val="false"/>
          <w:i w:val="false"/>
          <w:color w:val="000000"/>
          <w:sz w:val="21"/>
        </w:rPr>
        <w:t xml:space="preserve"> (Notice ARC 8926B, IAB 7/14/10)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4062C</w:t>
      </w:r>
      <w:r>
        <w:rPr>
          <w:rFonts w:ascii="Times New Roman" w:hAnsi="Times New Roman"/>
          <w:b w:val="false"/>
          <w:i w:val="false"/>
          <w:color w:val="000000"/>
          <w:sz w:val="21"/>
        </w:rPr>
        <w:t xml:space="preserve"> (Notice ARC 3912C, IAB 8/1/18)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6431C</w:t>
      </w:r>
      <w:r>
        <w:rPr>
          <w:rFonts w:ascii="Times New Roman" w:hAnsi="Times New Roman"/>
          <w:b w:val="false"/>
          <w:i w:val="false"/>
          <w:color w:val="000000"/>
          <w:sz w:val="21"/>
        </w:rPr>
        <w:t xml:space="preserve"> (Notice ARC 6324C, IAB 5/18/22)</w:t>
      </w:r>
      <w:r>
        <w:rPr>
          <w:rFonts w:ascii="Times New Roman" w:hAnsi="Times New Roman"/>
          <w:b w:val="false"/>
          <w:i w:val="false"/>
          <w:color w:val="000000"/>
          <w:sz w:val="21"/>
        </w:rPr>
        <w:t>, IAB 7/27/22, effective 8/31/22]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4.102.pdf" Type="http://schemas.openxmlformats.org/officeDocument/2006/relationships/hyperlink" Id="rId5"/>
    <Relationship TargetMode="External" Target="https://www.legis.iowa.gov/docs/ico/chapter/904.108.pdf" Type="http://schemas.openxmlformats.org/officeDocument/2006/relationships/hyperlink" Id="rId6"/>
    <Relationship TargetMode="External" Target="https://www.legis.iowa.gov/docs/ico/chapter/904.108.pdf" Type="http://schemas.openxmlformats.org/officeDocument/2006/relationships/hyperlink" Id="rId7"/>
    <Relationship TargetMode="External" Target="https://www.legis.iowa.gov/docs/iac/rule/201.20.3.pdf" Type="http://schemas.openxmlformats.org/officeDocument/2006/relationships/hyperlink" Id="rId8"/>
    <Relationship TargetMode="External" Target="https://www.legis.iowa.gov/docs/iac/rule/201.20.3.pdf" Type="http://schemas.openxmlformats.org/officeDocument/2006/relationships/hyperlink" Id="rId9"/>
    <Relationship TargetMode="External" Target="https://www.legis.iowa.gov/docs/iac/rule/201.20.3.pdf" Type="http://schemas.openxmlformats.org/officeDocument/2006/relationships/hyperlink" Id="rId10"/>
    <Relationship TargetMode="External" Target="https://www.legis.iowa.gov/docs/iac/rule/201.20.3.pdf" Type="http://schemas.openxmlformats.org/officeDocument/2006/relationships/hyperlink" Id="rId11"/>
    <Relationship TargetMode="External" Target="https://www.legis.iowa.gov/docs/iac/rule/201.20.3.pdf" Type="http://schemas.openxmlformats.org/officeDocument/2006/relationships/hyperlink" Id="rId12"/>
    <Relationship TargetMode="External" Target="https://www.legis.iowa.gov/docs/iac/rule/201.20.3.pdf" Type="http://schemas.openxmlformats.org/officeDocument/2006/relationships/hyperlink" Id="rId13"/>
    <Relationship TargetMode="External" Target="https://www.legis.iowa.gov/docs/ico/chapter/904.512.pdf" Type="http://schemas.openxmlformats.org/officeDocument/2006/relationships/hyperlink" Id="rId14"/>
    <Relationship TargetMode="External" Target="https://www.legis.iowa.gov/docs/ico/chapter/2C.pdf" Type="http://schemas.openxmlformats.org/officeDocument/2006/relationships/hyperlink" Id="rId15"/>
    <Relationship TargetMode="External" Target="http://www.corrlinks.com" Type="http://schemas.openxmlformats.org/officeDocument/2006/relationships/hyperlink" Id="rId16"/>
    <Relationship TargetMode="External" Target="https://www.legis.iowa.gov/docs/ico/chapter/2C.14.pdf" Type="http://schemas.openxmlformats.org/officeDocument/2006/relationships/hyperlink" Id="rId17"/>
    <Relationship TargetMode="External" Target="https://www.legis.iowa.gov/docs/ico/chapter/904.506.pdf" Type="http://schemas.openxmlformats.org/officeDocument/2006/relationships/hyperlink" Id="rId18"/>
    <Relationship TargetMode="External" Target="https://www.legis.iowa.gov/docs/ico/chapter/904.108.pdf" Type="http://schemas.openxmlformats.org/officeDocument/2006/relationships/hyperlink" Id="rId19"/>
    <Relationship TargetMode="External" Target="https://www.legis.iowa.gov/docs/ico/chapter/904.108.pdf" Type="http://schemas.openxmlformats.org/officeDocument/2006/relationships/hyperlink" Id="rId20"/>
    <Relationship TargetMode="External" Target="https://www.legis.iowa.gov/docs/ico/chapter/904.108.pdf" Type="http://schemas.openxmlformats.org/officeDocument/2006/relationships/hyperlink" Id="rId21"/>
    <Relationship TargetMode="External" Target="https://www.legis.iowa.gov/docs/ico/chapter/904.512.pdf" Type="http://schemas.openxmlformats.org/officeDocument/2006/relationships/hyperlink" Id="rId22"/>
    <Relationship TargetMode="External" Target="https://www.legis.iowa.gov/docs/ico/chapter/904.113.pdf" Type="http://schemas.openxmlformats.org/officeDocument/2006/relationships/hyperlink" Id="rId23"/>
    <Relationship TargetMode="External" Target="https://www.legis.iowa.gov/docs/ico/chapter/904.108.pdf" Type="http://schemas.openxmlformats.org/officeDocument/2006/relationships/hyperlink" Id="rId24"/>
    <Relationship TargetMode="External" Target="https://www.legis.iowa.gov/docs/ico/chapter/904.108.pdf" Type="http://schemas.openxmlformats.org/officeDocument/2006/relationships/hyperlink" Id="rId25"/>
    <Relationship TargetMode="External" Target="https://www.legis.iowa.gov/docs/ico/chapter/904.pdf" Type="http://schemas.openxmlformats.org/officeDocument/2006/relationships/hyperlink" Id="rId26"/>
    <Relationship TargetMode="External" Target="https://www.legis.iowa.gov/docs/ico/chapter/910.2.pdf" Type="http://schemas.openxmlformats.org/officeDocument/2006/relationships/hyperlink" Id="rId27"/>
    <Relationship TargetMode="External" Target="https://www.legis.iowa.gov/docs/ico/chapter/910.3.pdf" Type="http://schemas.openxmlformats.org/officeDocument/2006/relationships/hyperlink" Id="rId28"/>
    <Relationship TargetMode="External" Target="https://www.legis.iowa.gov/docs/ico/chapter/910.5.pdf" Type="http://schemas.openxmlformats.org/officeDocument/2006/relationships/hyperlink" Id="rId29"/>
    <Relationship TargetMode="External" Target="https://www.legis.iowa.gov/docs/ico/chapter/904.108.pdf" Type="http://schemas.openxmlformats.org/officeDocument/2006/relationships/hyperlink" Id="rId30"/>
    <Relationship TargetMode="External" Target="https://www.legis.iowa.gov/docs/iac/rule/201.20.13.pdf" Type="http://schemas.openxmlformats.org/officeDocument/2006/relationships/hyperlink" Id="rId31"/>
    <Relationship TargetMode="External" Target="https://www.legis.iowa.gov/docs/iac/rule/201.20.15.pdf" Type="http://schemas.openxmlformats.org/officeDocument/2006/relationships/hyperlink" Id="rId32"/>
    <Relationship TargetMode="External" Target="https://www.legis.iowa.gov/docs/ico/chapter/904.102.pdf" Type="http://schemas.openxmlformats.org/officeDocument/2006/relationships/hyperlink" Id="rId33"/>
    <Relationship TargetMode="External" Target="https://www.legis.iowa.gov/docs/ico/chapter/904.103.pdf" Type="http://schemas.openxmlformats.org/officeDocument/2006/relationships/hyperlink" Id="rId34"/>
    <Relationship TargetMode="External" Target="https://www.legis.iowa.gov/docs/ico/chapter/80A.2.pdf" Type="http://schemas.openxmlformats.org/officeDocument/2006/relationships/hyperlink" Id="rId35"/>
    <Relationship TargetMode="External" Target="https://www.legis.iowa.gov/docs/ico/chapter/80A.2.pdf" Type="http://schemas.openxmlformats.org/officeDocument/2006/relationships/hyperlink" Id="rId36"/>
    <Relationship TargetMode="External" Target="https://www.legis.iowa.gov/docs/ico/chapter/80A.2.pdf" Type="http://schemas.openxmlformats.org/officeDocument/2006/relationships/hyperlink" Id="rId37"/>
    <Relationship TargetMode="External" Target="https://www.legis.iowa.gov/docs/ico/chapter/702.11.pdf" Type="http://schemas.openxmlformats.org/officeDocument/2006/relationships/hyperlink" Id="rId38"/>
    <Relationship TargetMode="External" Target="https://www.legis.iowa.gov/docs/ico/chapter/915.pdf" Type="http://schemas.openxmlformats.org/officeDocument/2006/relationships/hyperlink" Id="rId39"/>
    <Relationship TargetMode="External" Target="https://www.legis.iowa.gov/docs/ico/chapter/904.905.pdf" Type="http://schemas.openxmlformats.org/officeDocument/2006/relationships/hyperlink" Id="rId40"/>
    <Relationship TargetMode="External" Target="https://www.legis.iowa.gov/docs/ico/chapter/904.910.pdf" Type="http://schemas.openxmlformats.org/officeDocument/2006/relationships/hyperlink" Id="rId41"/>
    <Relationship TargetMode="External" Target="https://www.legis.iowa.gov/docs/ico/chapter/904.508A.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