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44</w:t>
      </w:r>
    </w:p>
    <w:p>
      <w:pPr>
        <w:spacing w:before="0" w:after="0"/>
        <w:ind w:left="120"/>
        <w:jc w:val="center"/>
      </w:pPr>
      <w:r>
        <w:rPr>
          <w:rFonts w:ascii="Times New Roman" w:hAnsi="Times New Roman"/>
          <w:b w:val="false"/>
          <w:i w:val="false"/>
          <w:color w:val="000000"/>
          <w:sz w:val="21"/>
        </w:rPr>
        <w:t xml:space="preserve">CERTIFICATES OF FRANCHISE AUTHORITY FOR </w:t>
      </w:r>
      <w:r>
        <w:br/>
      </w:r>
      <w:r>
        <w:rPr>
          <w:rFonts w:ascii="Times New Roman" w:hAnsi="Times New Roman"/>
          <w:b w:val="false"/>
          <w:i w:val="false"/>
          <w:color w:val="000000"/>
          <w:sz w:val="21"/>
        </w:rPr>
        <w:t>CABLE AND VIDEO SERVICE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4/9/30</w:t>
      </w:r>
    </w:p>
    <w:p>
      <w:pPr>
        <w:spacing w:before="0" w:after="0"/>
        <w:ind w:left="120"/>
        <w:jc w:val="both"/>
      </w:pPr>
      <w:r>
        <w:rPr>
          <w:rFonts w:ascii="Times New Roman" w:hAnsi="Times New Roman"/>
          <w:b/>
          <w:i w:val="false"/>
          <w:color w:val="000000"/>
          <w:sz w:val="22"/>
        </w:rPr>
        <w:t>199—44.1</w:t>
      </w:r>
      <w:r>
        <w:rPr>
          <w:rFonts w:ascii="Times New Roman" w:hAnsi="Times New Roman"/>
          <w:b/>
          <w:i w:val="false"/>
          <w:color w:val="000000"/>
          <w:sz w:val="22"/>
        </w:rPr>
        <w:t xml:space="preserve">(17A,476,477A) </w:t>
      </w:r>
      <w:r>
        <w:rPr>
          <w:rFonts w:ascii="Times New Roman" w:hAnsi="Times New Roman"/>
          <w:b/>
          <w:i w:val="false"/>
          <w:color w:val="000000"/>
          <w:sz w:val="22"/>
        </w:rPr>
        <w:t xml:space="preserve">Authority and purpose. </w:t>
      </w: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477A</w:t>
        </w:r>
      </w:hyperlink>
      <w:r>
        <w:rPr>
          <w:rFonts w:ascii="Times New Roman" w:hAnsi="Times New Roman"/>
          <w:b w:val="false"/>
          <w:i w:val="false"/>
          <w:color w:val="000000"/>
          <w:sz w:val="22"/>
        </w:rPr>
        <w:t xml:space="preserve"> relating to certificates of franchise authority issued by the commission for the provision of cable or video service. The purpose of these rules is to establish procedures for initial applications for and subsequent modifications, transfers, terminations, or updates of certificates of franchise authority issued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9000C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199—44.2</w:t>
      </w:r>
      <w:r>
        <w:rPr>
          <w:rFonts w:ascii="Times New Roman" w:hAnsi="Times New Roman"/>
          <w:b/>
          <w:i w:val="false"/>
          <w:color w:val="000000"/>
          <w:sz w:val="22"/>
        </w:rPr>
        <w:t xml:space="preserve">(17A,476,477A)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words and terms, when used in this chapter, shall mean the same as defined in </w:t>
      </w:r>
      <w:r>
        <w:rPr>
          <w:rFonts w:ascii="Times New Roman" w:hAnsi="Times New Roman"/>
          <w:b w:val="false"/>
          <w:i w:val="false"/>
          <w:color w:val="000000"/>
          <w:sz w:val="22"/>
        </w:rPr>
        <w:t>47 U.S.C.</w:t>
      </w:r>
      <w:r>
        <w:rPr>
          <w:rFonts w:ascii="Times New Roman" w:hAnsi="Times New Roman"/>
          <w:b w:val="false"/>
          <w:i w:val="false"/>
          <w:color w:val="000000"/>
          <w:sz w:val="22"/>
        </w:rPr>
        <w:t xml:space="preserve"> Section 522, effective February 8, 1996, and Iowa Code section </w:t>
      </w:r>
      <w:hyperlink r:id="rId6">
        <w:r>
          <w:rPr>
            <w:rStyle w:val="Hyperlink"/>
            <w:rFonts w:ascii="Times New Roman" w:hAnsi="Times New Roman"/>
            <w:b w:val="false"/>
            <w:i w:val="false"/>
            <w:color w:val="000000"/>
            <w:sz w:val="22"/>
          </w:rPr>
          <w:t>477A.1</w:t>
        </w:r>
      </w:hyperlink>
      <w:r>
        <w:rPr>
          <w:rFonts w:ascii="Times New Roman" w:hAnsi="Times New Roman"/>
          <w:b w:val="false"/>
          <w:i w:val="false"/>
          <w:color w:val="000000"/>
          <w:sz w:val="22"/>
        </w:rPr>
        <w:t>, unless defined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franchise authority” </w:t>
      </w:r>
      <w:r>
        <w:rPr>
          <w:rFonts w:ascii="Times New Roman" w:hAnsi="Times New Roman"/>
          <w:b w:val="false"/>
          <w:i w:val="false"/>
          <w:color w:val="000000"/>
          <w:sz w:val="22"/>
        </w:rPr>
        <w:t>means the certificate issued by the commission authorizing the construction and operation of a cable or video service provider’s network in a public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Iowa utilities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“Competitive cable or video service provider” </w:t>
      </w:r>
      <w:r>
        <w:rPr>
          <w:rFonts w:ascii="Times New Roman" w:hAnsi="Times New Roman"/>
          <w:b w:val="false"/>
          <w:i w:val="false"/>
          <w:color w:val="000000"/>
          <w:sz w:val="22"/>
        </w:rPr>
        <w:t>means a person who provides cable service over a cable system or video system in an area other than the incumbent cable provider providing service in the same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9000C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199—44.3</w:t>
      </w:r>
      <w:r>
        <w:rPr>
          <w:rFonts w:ascii="Times New Roman" w:hAnsi="Times New Roman"/>
          <w:b/>
          <w:i w:val="false"/>
          <w:color w:val="000000"/>
          <w:sz w:val="22"/>
        </w:rPr>
        <w:t xml:space="preserve">(17A,476,477A) </w:t>
      </w:r>
      <w:r>
        <w:rPr>
          <w:rFonts w:ascii="Times New Roman" w:hAnsi="Times New Roman"/>
          <w:b/>
          <w:i w:val="false"/>
          <w:color w:val="000000"/>
          <w:sz w:val="22"/>
        </w:rPr>
        <w:t xml:space="preserve">Certificate of franchise authority. </w:t>
      </w:r>
      <w:r>
        <w:rPr>
          <w:rFonts w:ascii="Times New Roman" w:hAnsi="Times New Roman"/>
          <w:b w:val="false"/>
          <w:i w:val="false"/>
          <w:color w:val="000000"/>
          <w:sz w:val="22"/>
        </w:rPr>
        <w:t xml:space="preserve">After July 1, 2007, a person shall not provide cable or video service in Iowa without a franchise. The franchise may be issued by either the commission pursuant to this chapter or by a municipality pursuant to Iowa Code section </w:t>
      </w:r>
      <w:hyperlink r:id="rId7">
        <w:r>
          <w:rPr>
            <w:rStyle w:val="Hyperlink"/>
            <w:rFonts w:ascii="Times New Roman" w:hAnsi="Times New Roman"/>
            <w:b w:val="false"/>
            <w:i w:val="false"/>
            <w:color w:val="000000"/>
            <w:sz w:val="22"/>
          </w:rPr>
          <w:t>364.2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44.3(1)</w:t>
      </w:r>
      <w:r>
        <w:rPr>
          <w:rFonts w:ascii="Times New Roman" w:hAnsi="Times New Roman"/>
          <w:b w:val="false"/>
          <w:i w:val="false"/>
          <w:color w:val="000000"/>
          <w:sz w:val="22"/>
        </w:rPr>
        <w:t> </w:t>
      </w:r>
      <w:r>
        <w:rPr>
          <w:rFonts w:ascii="Times New Roman" w:hAnsi="Times New Roman"/>
          <w:b w:val="false"/>
          <w:i/>
          <w:color w:val="000000"/>
          <w:sz w:val="22"/>
        </w:rPr>
        <w:t xml:space="preserve">Existing franchise agreements. </w:t>
      </w:r>
      <w:r>
        <w:rPr>
          <w:rFonts w:ascii="Times New Roman" w:hAnsi="Times New Roman"/>
          <w:b w:val="false"/>
          <w:i w:val="false"/>
          <w:color w:val="000000"/>
          <w:sz w:val="22"/>
        </w:rPr>
        <w:t xml:space="preserve">A franchise in effect before July 1, 2007, is subject to the exemptions and requirements of Iowa Code section </w:t>
      </w:r>
      <w:hyperlink r:id="rId8">
        <w:r>
          <w:rPr>
            <w:rStyle w:val="Hyperlink"/>
            <w:rFonts w:ascii="Times New Roman" w:hAnsi="Times New Roman"/>
            <w:b w:val="false"/>
            <w:i w:val="false"/>
            <w:color w:val="000000"/>
            <w:sz w:val="22"/>
          </w:rPr>
          <w:t>477A.2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44.3(2)</w:t>
      </w:r>
      <w:r>
        <w:rPr>
          <w:rFonts w:ascii="Times New Roman" w:hAnsi="Times New Roman"/>
          <w:b w:val="false"/>
          <w:i w:val="false"/>
          <w:color w:val="000000"/>
          <w:sz w:val="22"/>
        </w:rPr>
        <w:t> </w:t>
      </w:r>
      <w:r>
        <w:rPr>
          <w:rFonts w:ascii="Times New Roman" w:hAnsi="Times New Roman"/>
          <w:b w:val="false"/>
          <w:i/>
          <w:color w:val="000000"/>
          <w:sz w:val="22"/>
        </w:rPr>
        <w:t xml:space="preserve">Municipal utilities. </w:t>
      </w:r>
      <w:r>
        <w:rPr>
          <w:rFonts w:ascii="Times New Roman" w:hAnsi="Times New Roman"/>
          <w:b w:val="false"/>
          <w:i w:val="false"/>
          <w:color w:val="000000"/>
          <w:sz w:val="22"/>
        </w:rPr>
        <w:t xml:space="preserve">A municipal utility that provides cable or video service in Iowa is exempt from this chapter pursuant to Iowa Code section </w:t>
      </w:r>
      <w:hyperlink r:id="rId9">
        <w:r>
          <w:rPr>
            <w:rStyle w:val="Hyperlink"/>
            <w:rFonts w:ascii="Times New Roman" w:hAnsi="Times New Roman"/>
            <w:b w:val="false"/>
            <w:i w:val="false"/>
            <w:color w:val="000000"/>
            <w:sz w:val="22"/>
          </w:rPr>
          <w:t>477A.2(2)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44.3(3)</w:t>
      </w:r>
      <w:r>
        <w:rPr>
          <w:rFonts w:ascii="Times New Roman" w:hAnsi="Times New Roman"/>
          <w:b w:val="false"/>
          <w:i w:val="false"/>
          <w:color w:val="000000"/>
          <w:sz w:val="22"/>
        </w:rPr>
        <w:t> </w:t>
      </w:r>
      <w:r>
        <w:rPr>
          <w:rFonts w:ascii="Times New Roman" w:hAnsi="Times New Roman"/>
          <w:b w:val="false"/>
          <w:i/>
          <w:color w:val="000000"/>
          <w:sz w:val="22"/>
        </w:rPr>
        <w:t xml:space="preserve">Initial application. </w:t>
      </w:r>
      <w:r>
        <w:rPr>
          <w:rFonts w:ascii="Times New Roman" w:hAnsi="Times New Roman"/>
          <w:b w:val="false"/>
          <w:i w:val="false"/>
          <w:color w:val="000000"/>
          <w:sz w:val="22"/>
        </w:rPr>
        <w:t xml:space="preserve">The requirements and procedures for obtaining a cable or video service franchise are set forth in Iowa Code section </w:t>
      </w:r>
      <w:hyperlink r:id="rId10">
        <w:r>
          <w:rPr>
            <w:rStyle w:val="Hyperlink"/>
            <w:rFonts w:ascii="Times New Roman" w:hAnsi="Times New Roman"/>
            <w:b w:val="false"/>
            <w:i w:val="false"/>
            <w:color w:val="000000"/>
            <w:sz w:val="22"/>
          </w:rPr>
          <w:t>477A.3</w:t>
        </w:r>
      </w:hyperlink>
      <w:r>
        <w:rPr>
          <w:rFonts w:ascii="Times New Roman" w:hAnsi="Times New Roman"/>
          <w:b w:val="false"/>
          <w:i w:val="false"/>
          <w:color w:val="000000"/>
          <w:sz w:val="22"/>
        </w:rPr>
        <w:t>. Applications are to be submitted using a form developed by and available from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44.3(4)</w:t>
      </w:r>
      <w:r>
        <w:rPr>
          <w:rFonts w:ascii="Times New Roman" w:hAnsi="Times New Roman"/>
          <w:b w:val="false"/>
          <w:i w:val="false"/>
          <w:color w:val="000000"/>
          <w:sz w:val="22"/>
        </w:rPr>
        <w:t> </w:t>
      </w:r>
      <w:r>
        <w:rPr>
          <w:rFonts w:ascii="Times New Roman" w:hAnsi="Times New Roman"/>
          <w:b w:val="false"/>
          <w:i/>
          <w:color w:val="000000"/>
          <w:sz w:val="22"/>
        </w:rPr>
        <w:t xml:space="preserve">Content of certificate. </w:t>
      </w:r>
      <w:r>
        <w:rPr>
          <w:rFonts w:ascii="Times New Roman" w:hAnsi="Times New Roman"/>
          <w:b w:val="false"/>
          <w:i w:val="false"/>
          <w:color w:val="000000"/>
          <w:sz w:val="22"/>
        </w:rPr>
        <w:t xml:space="preserve">A certificate of franchise authority issued by the commission shall conform to the requirements set forth in Iowa Code section </w:t>
      </w:r>
      <w:hyperlink r:id="rId11">
        <w:r>
          <w:rPr>
            <w:rStyle w:val="Hyperlink"/>
            <w:rFonts w:ascii="Times New Roman" w:hAnsi="Times New Roman"/>
            <w:b w:val="false"/>
            <w:i w:val="false"/>
            <w:color w:val="000000"/>
            <w:sz w:val="22"/>
          </w:rPr>
          <w:t>477A.3(5)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44.3(5)</w:t>
      </w:r>
      <w:r>
        <w:rPr>
          <w:rFonts w:ascii="Times New Roman" w:hAnsi="Times New Roman"/>
          <w:b w:val="false"/>
          <w:i w:val="false"/>
          <w:color w:val="000000"/>
          <w:sz w:val="22"/>
        </w:rPr>
        <w:t> </w:t>
      </w:r>
      <w:r>
        <w:rPr>
          <w:rFonts w:ascii="Times New Roman" w:hAnsi="Times New Roman"/>
          <w:b w:val="false"/>
          <w:i/>
          <w:color w:val="000000"/>
          <w:sz w:val="22"/>
        </w:rPr>
        <w:t xml:space="preserve">Modification of service area. </w:t>
      </w:r>
      <w:r>
        <w:rPr>
          <w:rFonts w:ascii="Times New Roman" w:hAnsi="Times New Roman"/>
          <w:b w:val="false"/>
          <w:i w:val="false"/>
          <w:color w:val="000000"/>
          <w:sz w:val="22"/>
        </w:rPr>
        <w:t>At least 14 days before expanding cable or video service to a previously undesignated service area or making any other change to its previously designated service area, the holder of a certificate of franchise authority shall update the description of its service area on file with the commission and notify the commission of the effective date of the expansion or other change in service area in a manner prescribed by the commission. The commission will acknowledge receipt of a notice of service area modification by letter.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44.3(6)</w:t>
      </w:r>
      <w:r>
        <w:rPr>
          <w:rFonts w:ascii="Times New Roman" w:hAnsi="Times New Roman"/>
          <w:b w:val="false"/>
          <w:i w:val="false"/>
          <w:color w:val="000000"/>
          <w:sz w:val="22"/>
        </w:rPr>
        <w:t> </w:t>
      </w:r>
      <w:r>
        <w:rPr>
          <w:rFonts w:ascii="Times New Roman" w:hAnsi="Times New Roman"/>
          <w:b w:val="false"/>
          <w:i/>
          <w:color w:val="000000"/>
          <w:sz w:val="22"/>
        </w:rPr>
        <w:t xml:space="preserve">Transfer of certificate of franchise authority. </w:t>
      </w:r>
      <w:r>
        <w:rPr>
          <w:rFonts w:ascii="Times New Roman" w:hAnsi="Times New Roman"/>
          <w:b w:val="false"/>
          <w:i w:val="false"/>
          <w:color w:val="000000"/>
          <w:sz w:val="22"/>
        </w:rPr>
        <w:t xml:space="preserve">The holder of a certificate of franchise authority may transfer the certificate to any successor by filing a notice of transfer with the commission and each affected municipality pursuant to Iowa Code section </w:t>
      </w:r>
      <w:hyperlink r:id="rId12">
        <w:r>
          <w:rPr>
            <w:rStyle w:val="Hyperlink"/>
            <w:rFonts w:ascii="Times New Roman" w:hAnsi="Times New Roman"/>
            <w:b w:val="false"/>
            <w:i w:val="false"/>
            <w:color w:val="000000"/>
            <w:sz w:val="22"/>
          </w:rPr>
          <w:t>477A.3(8)</w:t>
        </w:r>
      </w:hyperlink>
      <w:r>
        <w:rPr>
          <w:rFonts w:ascii="Times New Roman" w:hAnsi="Times New Roman"/>
          <w:b w:val="false"/>
          <w:i w:val="false"/>
          <w:color w:val="000000"/>
          <w:sz w:val="22"/>
        </w:rPr>
        <w:t>. The commission will acknowledge receipt of a notice of transfer by letter.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44.3(7)</w:t>
      </w:r>
      <w:r>
        <w:rPr>
          <w:rFonts w:ascii="Times New Roman" w:hAnsi="Times New Roman"/>
          <w:b w:val="false"/>
          <w:i w:val="false"/>
          <w:color w:val="000000"/>
          <w:sz w:val="22"/>
        </w:rPr>
        <w:t> </w:t>
      </w:r>
      <w:r>
        <w:rPr>
          <w:rFonts w:ascii="Times New Roman" w:hAnsi="Times New Roman"/>
          <w:b w:val="false"/>
          <w:i/>
          <w:color w:val="000000"/>
          <w:sz w:val="22"/>
        </w:rPr>
        <w:t xml:space="preserve">Termination of certificate of franchise authority. </w:t>
      </w:r>
      <w:r>
        <w:rPr>
          <w:rFonts w:ascii="Times New Roman" w:hAnsi="Times New Roman"/>
          <w:b w:val="false"/>
          <w:i w:val="false"/>
          <w:color w:val="000000"/>
          <w:sz w:val="22"/>
        </w:rPr>
        <w:t>The holder of a certificate of franchise authority may terminate the certificate by providing written notice of the effective date of termination to the commission and to each affected municipality using a form prescribed by the commission. The commission will acknowledge receipt of a notice of termination by letter.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44.3(8)</w:t>
      </w:r>
      <w:r>
        <w:rPr>
          <w:rFonts w:ascii="Times New Roman" w:hAnsi="Times New Roman"/>
          <w:b w:val="false"/>
          <w:i w:val="false"/>
          <w:color w:val="000000"/>
          <w:sz w:val="22"/>
        </w:rPr>
        <w:t> </w:t>
      </w:r>
      <w:r>
        <w:rPr>
          <w:rFonts w:ascii="Times New Roman" w:hAnsi="Times New Roman"/>
          <w:b w:val="false"/>
          <w:i/>
          <w:color w:val="000000"/>
          <w:sz w:val="22"/>
        </w:rPr>
        <w:t xml:space="preserve">Updates. </w:t>
      </w:r>
      <w:r>
        <w:rPr>
          <w:rFonts w:ascii="Times New Roman" w:hAnsi="Times New Roman"/>
          <w:b w:val="false"/>
          <w:i w:val="false"/>
          <w:color w:val="000000"/>
          <w:sz w:val="22"/>
        </w:rPr>
        <w:t>The holder of a certificate of franchise authority shall notify the commission of any change in the name of the entity holding the certificate, contact personnel, principal executive officers, address of principal place of business, telephone number, and customer service contact information by updating such information in the commission’s IUB 24/7 electronic system. The updates shall be completed within 14 days after the effective date of the change.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9000C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199—44.4</w:t>
      </w:r>
      <w:r>
        <w:rPr>
          <w:rFonts w:ascii="Times New Roman" w:hAnsi="Times New Roman"/>
          <w:b/>
          <w:i w:val="false"/>
          <w:color w:val="000000"/>
          <w:sz w:val="22"/>
        </w:rPr>
        <w:t xml:space="preserve">(17A,476,477A) </w:t>
      </w:r>
      <w:r>
        <w:rPr>
          <w:rFonts w:ascii="Times New Roman" w:hAnsi="Times New Roman"/>
          <w:b/>
          <w:i w:val="false"/>
          <w:color w:val="000000"/>
          <w:sz w:val="22"/>
        </w:rPr>
        <w:t xml:space="preserve">Notice to municipality and incumbent cable provider.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44.4(1)</w:t>
      </w:r>
      <w:r>
        <w:rPr>
          <w:rFonts w:ascii="Times New Roman" w:hAnsi="Times New Roman"/>
          <w:b w:val="false"/>
          <w:i w:val="false"/>
          <w:color w:val="000000"/>
          <w:sz w:val="22"/>
        </w:rPr>
        <w:t> </w:t>
      </w:r>
      <w:r>
        <w:rPr>
          <w:rFonts w:ascii="Times New Roman" w:hAnsi="Times New Roman"/>
          <w:b w:val="false"/>
          <w:i/>
          <w:color w:val="000000"/>
          <w:sz w:val="22"/>
        </w:rPr>
        <w:t xml:space="preserve">Notice of intent to provide service. </w:t>
      </w:r>
      <w:r>
        <w:rPr>
          <w:rFonts w:ascii="Times New Roman" w:hAnsi="Times New Roman"/>
          <w:b w:val="false"/>
          <w:i w:val="false"/>
          <w:color w:val="000000"/>
          <w:sz w:val="22"/>
        </w:rPr>
        <w:t xml:space="preserve">At least 30 days before providing service in any part of a competitive cable or video service provider’s service area in which the provider has not yet offered service pursuant to a commission-issued certificate of franchise authority, a competitive cable or video service provider shall notify each municipality and incumbent cable provider pursuant to Iowa Code section </w:t>
      </w:r>
      <w:hyperlink r:id="rId13">
        <w:r>
          <w:rPr>
            <w:rStyle w:val="Hyperlink"/>
            <w:rFonts w:ascii="Times New Roman" w:hAnsi="Times New Roman"/>
            <w:b w:val="false"/>
            <w:i w:val="false"/>
            <w:color w:val="000000"/>
            <w:sz w:val="22"/>
          </w:rPr>
          <w:t>477A.2(4)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44.4(2)</w:t>
      </w:r>
      <w:r>
        <w:rPr>
          <w:rFonts w:ascii="Times New Roman" w:hAnsi="Times New Roman"/>
          <w:b w:val="false"/>
          <w:i w:val="false"/>
          <w:color w:val="000000"/>
          <w:sz w:val="22"/>
        </w:rPr>
        <w:t> </w:t>
      </w:r>
      <w:r>
        <w:rPr>
          <w:rFonts w:ascii="Times New Roman" w:hAnsi="Times New Roman"/>
          <w:b w:val="false"/>
          <w:i/>
          <w:color w:val="000000"/>
          <w:sz w:val="22"/>
        </w:rPr>
        <w:t xml:space="preserve">Notice of application. </w:t>
      </w:r>
      <w:r>
        <w:rPr>
          <w:rFonts w:ascii="Times New Roman" w:hAnsi="Times New Roman"/>
          <w:b w:val="false"/>
          <w:i w:val="false"/>
          <w:color w:val="000000"/>
          <w:sz w:val="22"/>
        </w:rPr>
        <w:t>In addition to the notice of intent to provide service, an applicant shall notify each municipality with authority to grant a franchise in the applicant’s proposed service area that the applicant has filed an application with the commission for a certificate of franchise authority. This notice shall be mailed by certified mail on the date the application is filed with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9000C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199—44.5</w:t>
      </w:r>
      <w:r>
        <w:rPr>
          <w:rFonts w:ascii="Times New Roman" w:hAnsi="Times New Roman"/>
          <w:b/>
          <w:i w:val="false"/>
          <w:color w:val="000000"/>
          <w:sz w:val="22"/>
        </w:rPr>
        <w:t xml:space="preserve">(17A,476,477A) </w:t>
      </w:r>
      <w:r>
        <w:rPr>
          <w:rFonts w:ascii="Times New Roman" w:hAnsi="Times New Roman"/>
          <w:b/>
          <w:i w:val="false"/>
          <w:color w:val="000000"/>
          <w:sz w:val="22"/>
        </w:rPr>
        <w:t xml:space="preserve">Conversion of municipal franchise by incumbent cable provider. </w:t>
      </w:r>
      <w:r>
        <w:rPr>
          <w:rFonts w:ascii="Times New Roman" w:hAnsi="Times New Roman"/>
          <w:b w:val="false"/>
          <w:i w:val="false"/>
          <w:color w:val="000000"/>
          <w:sz w:val="22"/>
        </w:rPr>
        <w:t xml:space="preserve">If a competitive cable or video service provider applies for a certificate of franchise authority to operate within a municipality, the incumbent cable provider in that municipality may apply for a certificate of franchise authority for that same municipality pursuant to Iowa Code section </w:t>
      </w:r>
      <w:hyperlink r:id="rId14">
        <w:r>
          <w:rPr>
            <w:rStyle w:val="Hyperlink"/>
            <w:rFonts w:ascii="Times New Roman" w:hAnsi="Times New Roman"/>
            <w:b w:val="false"/>
            <w:i w:val="false"/>
            <w:color w:val="000000"/>
            <w:sz w:val="22"/>
          </w:rPr>
          <w:t>477A.2(6)</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9000C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199—44.6</w:t>
      </w:r>
      <w:r>
        <w:rPr>
          <w:rFonts w:ascii="Times New Roman" w:hAnsi="Times New Roman"/>
          <w:b/>
          <w:i w:val="false"/>
          <w:color w:val="000000"/>
          <w:sz w:val="22"/>
        </w:rPr>
        <w:t xml:space="preserve">(17A,476,477A) </w:t>
      </w:r>
      <w:r>
        <w:rPr>
          <w:rFonts w:ascii="Times New Roman" w:hAnsi="Times New Roman"/>
          <w:b/>
          <w:i w:val="false"/>
          <w:color w:val="000000"/>
          <w:sz w:val="22"/>
        </w:rPr>
        <w:t xml:space="preserve">Renewal of certificate of franchise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44.6(1)</w:t>
      </w:r>
      <w:r>
        <w:rPr>
          <w:rFonts w:ascii="Times New Roman" w:hAnsi="Times New Roman"/>
          <w:b w:val="false"/>
          <w:i w:val="false"/>
          <w:color w:val="000000"/>
          <w:sz w:val="22"/>
        </w:rPr>
        <w:t> </w:t>
      </w:r>
      <w:r>
        <w:rPr>
          <w:rFonts w:ascii="Times New Roman" w:hAnsi="Times New Roman"/>
          <w:b w:val="false"/>
          <w:i w:val="false"/>
          <w:color w:val="000000"/>
          <w:sz w:val="22"/>
        </w:rPr>
        <w:t>Sixty days prior to the expiration date of a certificate, the certificate holder shall file with the commission a notice of renewal containing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acknowledgment that the certificate holder continues to hold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that the certificate holder continues to provide cable or video service in all or a portion of its approved service territory;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necessary updates to the address of the principal place of business, the telephone number for customer service, and the names and titles of the principal executive officers with direct authority over and responsibility for the cable or video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list of the approved areas the certificate holder currently is serving;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list of the areas in which the certificate holder was previously authorized to offer service but where service has ceased or never commenced.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renewal shall be filed using the VCA docket number in which the initial certificate was issued. The commission will acknowledge the renewal by letter.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9000C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5">
        <w:r>
          <w:rPr>
            <w:rStyle w:val="Hyperlink"/>
            <w:rFonts w:ascii="Times New Roman" w:hAnsi="Times New Roman"/>
            <w:b w:val="false"/>
            <w:i w:val="false"/>
            <w:color w:val="000000"/>
            <w:sz w:val="22"/>
          </w:rPr>
          <w:t>477A</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11/1/07, Notice 8/1/07—published 11/21/07, effective 12/26/07]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9494B</w:t>
      </w:r>
      <w:r>
        <w:rPr>
          <w:rFonts w:ascii="Times New Roman" w:hAnsi="Times New Roman"/>
          <w:b w:val="false"/>
          <w:i w:val="false"/>
          <w:color w:val="000000"/>
          <w:sz w:val="21"/>
        </w:rPr>
        <w:t xml:space="preserve"> (Notice ARC 9198B, IAB 11/3/10)</w:t>
      </w:r>
      <w:r>
        <w:rPr>
          <w:rFonts w:ascii="Times New Roman" w:hAnsi="Times New Roman"/>
          <w:b w:val="false"/>
          <w:i w:val="false"/>
          <w:color w:val="000000"/>
          <w:sz w:val="21"/>
        </w:rPr>
        <w:t>, IAB 5/4/11, effective 6/8/11]</w:t>
      </w:r>
    </w:p>
    <w:p>
      <w:pPr>
        <w:spacing w:before="0" w:after="0"/>
        <w:ind w:left="120"/>
        <w:jc w:val="center"/>
      </w:pPr>
      <w:r>
        <w:rPr>
          <w:rFonts w:ascii="Times New Roman" w:hAnsi="Times New Roman"/>
          <w:b w:val="false"/>
          <w:i w:val="false"/>
          <w:color w:val="000000"/>
          <w:sz w:val="21"/>
        </w:rPr>
        <w:t>[Filed ARC 3302C</w:t>
      </w:r>
      <w:r>
        <w:rPr>
          <w:rFonts w:ascii="Times New Roman" w:hAnsi="Times New Roman"/>
          <w:b w:val="false"/>
          <w:i w:val="false"/>
          <w:color w:val="000000"/>
          <w:sz w:val="21"/>
        </w:rPr>
        <w:t xml:space="preserve"> (Notice ARC 3122C, IAB 6/21/17)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[Editorial change: IAC Supplement 7/24/24]</w:t>
      </w:r>
    </w:p>
    <w:p>
      <w:pPr>
        <w:spacing w:before="0" w:after="0"/>
        <w:ind w:left="120"/>
        <w:jc w:val="center"/>
      </w:pPr>
      <w:r>
        <w:rPr>
          <w:rFonts w:ascii="Times New Roman" w:hAnsi="Times New Roman"/>
          <w:b w:val="false"/>
          <w:i w:val="false"/>
          <w:color w:val="000000"/>
          <w:sz w:val="21"/>
        </w:rPr>
        <w:t>[Filed ARC 9000C</w:t>
      </w:r>
      <w:r>
        <w:rPr>
          <w:rFonts w:ascii="Times New Roman" w:hAnsi="Times New Roman"/>
          <w:b w:val="false"/>
          <w:i w:val="false"/>
          <w:color w:val="000000"/>
          <w:sz w:val="21"/>
        </w:rPr>
        <w:t xml:space="preserve"> (Notice ARC 8315C, IAB 10/30/24)</w:t>
      </w:r>
      <w:r>
        <w:rPr>
          <w:rFonts w:ascii="Times New Roman" w:hAnsi="Times New Roman"/>
          <w:b w:val="false"/>
          <w:i w:val="false"/>
          <w:color w:val="000000"/>
          <w:sz w:val="21"/>
        </w:rPr>
        <w:t>, IAB 3/5/25, effective 4/9/25]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7A.pdf" Type="http://schemas.openxmlformats.org/officeDocument/2006/relationships/hyperlink" Id="rId5"/>
    <Relationship TargetMode="External" Target="https://www.legis.iowa.gov/docs/ico/chapter/477A.1.pdf" Type="http://schemas.openxmlformats.org/officeDocument/2006/relationships/hyperlink" Id="rId6"/>
    <Relationship TargetMode="External" Target="https://www.legis.iowa.gov/docs/ico/chapter/364.2.pdf" Type="http://schemas.openxmlformats.org/officeDocument/2006/relationships/hyperlink" Id="rId7"/>
    <Relationship TargetMode="External" Target="https://www.legis.iowa.gov/docs/ico/chapter/477A.2.pdf" Type="http://schemas.openxmlformats.org/officeDocument/2006/relationships/hyperlink" Id="rId8"/>
    <Relationship TargetMode="External" Target="https://www.legis.iowa.gov/docs/ico/chapter/477A.2.pdf" Type="http://schemas.openxmlformats.org/officeDocument/2006/relationships/hyperlink" Id="rId9"/>
    <Relationship TargetMode="External" Target="https://www.legis.iowa.gov/docs/ico/chapter/477A.3.pdf" Type="http://schemas.openxmlformats.org/officeDocument/2006/relationships/hyperlink" Id="rId10"/>
    <Relationship TargetMode="External" Target="https://www.legis.iowa.gov/docs/ico/chapter/477A.3.pdf" Type="http://schemas.openxmlformats.org/officeDocument/2006/relationships/hyperlink" Id="rId11"/>
    <Relationship TargetMode="External" Target="https://www.legis.iowa.gov/docs/ico/chapter/477A.3.pdf" Type="http://schemas.openxmlformats.org/officeDocument/2006/relationships/hyperlink" Id="rId12"/>
    <Relationship TargetMode="External" Target="https://www.legis.iowa.gov/docs/ico/chapter/477A.2.pdf" Type="http://schemas.openxmlformats.org/officeDocument/2006/relationships/hyperlink" Id="rId13"/>
    <Relationship TargetMode="External" Target="https://www.legis.iowa.gov/docs/ico/chapter/477A.2.pdf" Type="http://schemas.openxmlformats.org/officeDocument/2006/relationships/hyperlink" Id="rId14"/>
    <Relationship TargetMode="External" Target="https://www.legis.iowa.gov/docs/ico/chapter/477A.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