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UNIVERSAL SERVICE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199—39.1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relate to the commission’s designation of common carriers as eligible to receive support from the federal universal service fund and are prescribed by the commission pursuant to Iowa Code sections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476.15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47 U.S.C. §214(e)</w:t>
      </w:r>
      <w:r>
        <w:rPr>
          <w:rFonts w:ascii="Times New Roman" w:hAnsi="Times New Roman"/>
          <w:b w:val="false"/>
          <w:i w:val="false"/>
          <w:color w:val="000000"/>
          <w:sz w:val="22"/>
        </w:rPr>
        <w:t xml:space="preserve"> and 254, effective April 9, 2025. These rules are intended to preserve and advance universal service by implementing the commission’s authority to designate eligible telecommunications carriers (ETCs). These rules establish procedures for applying for designation as an ETC, as well as modifying and relinquishing such designation; adopt service standards for ETCs; and establish state record, certification, and reporting requirements consistent with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 commission’s implementation of federal universal service fund requirements,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service” </w:t>
      </w:r>
      <w:r>
        <w:rPr>
          <w:rFonts w:ascii="Times New Roman" w:hAnsi="Times New Roman"/>
          <w:b w:val="false"/>
          <w:i w:val="false"/>
          <w:color w:val="000000"/>
          <w:sz w:val="22"/>
        </w:rPr>
        <w:t xml:space="preserve">means the broadband Internet access service (defined in </w:t>
      </w:r>
      <w:r>
        <w:rPr>
          <w:rFonts w:ascii="Times New Roman" w:hAnsi="Times New Roman"/>
          <w:b w:val="false"/>
          <w:i w:val="false"/>
          <w:color w:val="000000"/>
          <w:sz w:val="22"/>
        </w:rPr>
        <w:t>47 CFR §54.400(l)</w:t>
      </w:r>
      <w:r>
        <w:rPr>
          <w:rFonts w:ascii="Times New Roman" w:hAnsi="Times New Roman"/>
          <w:b w:val="false"/>
          <w:i w:val="false"/>
          <w:color w:val="000000"/>
          <w:sz w:val="22"/>
        </w:rPr>
        <w:t xml:space="preserve">) designated by the Federal Communications Commission (FCC) in </w:t>
      </w:r>
      <w:r>
        <w:rPr>
          <w:rFonts w:ascii="Times New Roman" w:hAnsi="Times New Roman"/>
          <w:b w:val="false"/>
          <w:i w:val="false"/>
          <w:color w:val="000000"/>
          <w:sz w:val="22"/>
        </w:rPr>
        <w:t>47 CFR §54.101</w:t>
      </w:r>
      <w:r>
        <w:rPr>
          <w:rFonts w:ascii="Times New Roman" w:hAnsi="Times New Roman"/>
          <w:b w:val="false"/>
          <w:i w:val="false"/>
          <w:color w:val="000000"/>
          <w:sz w:val="22"/>
        </w:rPr>
        <w:t xml:space="preserve"> as eligible for support by the federal universal service support mechanisms.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April 9,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eligible telecommunications carrier” </w:t>
      </w:r>
      <w:r>
        <w:rPr>
          <w:rFonts w:ascii="Times New Roman" w:hAnsi="Times New Roman"/>
          <w:b w:val="false"/>
          <w:i w:val="false"/>
          <w:color w:val="000000"/>
          <w:sz w:val="22"/>
        </w:rPr>
        <w:t xml:space="preserve">means a carrier that meets the definition of an “eligible telecommunications carrier” below and does not meet the definition of an “incumbent local exchange carrier” in </w:t>
      </w:r>
      <w:r>
        <w:rPr>
          <w:rFonts w:ascii="Times New Roman" w:hAnsi="Times New Roman"/>
          <w:b w:val="false"/>
          <w:i w:val="false"/>
          <w:color w:val="000000"/>
          <w:sz w:val="22"/>
        </w:rPr>
        <w:t>47 CFR §51.5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carrier” </w:t>
      </w:r>
      <w:r>
        <w:rPr>
          <w:rFonts w:ascii="Times New Roman" w:hAnsi="Times New Roman"/>
          <w:b w:val="false"/>
          <w:i w:val="false"/>
          <w:color w:val="000000"/>
          <w:sz w:val="22"/>
        </w:rPr>
        <w:t xml:space="preserve">means the same as is defined in </w:t>
      </w:r>
      <w:r>
        <w:rPr>
          <w:rFonts w:ascii="Times New Roman" w:hAnsi="Times New Roman"/>
          <w:b w:val="false"/>
          <w:i w:val="false"/>
          <w:color w:val="000000"/>
          <w:sz w:val="22"/>
        </w:rPr>
        <w:t>47 CFR §9.3</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telecommunications carrier,” “eligible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“ETC” </w:t>
      </w:r>
      <w:r>
        <w:rPr>
          <w:rFonts w:ascii="Times New Roman" w:hAnsi="Times New Roman"/>
          <w:b w:val="false"/>
          <w:i w:val="false"/>
          <w:color w:val="000000"/>
          <w:sz w:val="22"/>
        </w:rPr>
        <w:t>means a carrier designated by the commission as eligible to receive universal service support pursuant to 47 U.S.C. §214(e).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means any physical components of the telecommunications network that are used in the transmission or routing of the services designated for universal service fund support, as expressed in </w:t>
      </w:r>
      <w:r>
        <w:rPr>
          <w:rFonts w:ascii="Times New Roman" w:hAnsi="Times New Roman"/>
          <w:b w:val="false"/>
          <w:i w:val="false"/>
          <w:color w:val="000000"/>
          <w:sz w:val="22"/>
        </w:rPr>
        <w:t>47 CFR §54.201(e)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“High-cost support” </w:t>
      </w:r>
      <w:r>
        <w:rPr>
          <w:rFonts w:ascii="Times New Roman" w:hAnsi="Times New Roman"/>
          <w:b w:val="false"/>
          <w:i w:val="false"/>
          <w:color w:val="000000"/>
          <w:sz w:val="22"/>
        </w:rPr>
        <w:t xml:space="preserve">means the same as defined in 47 CFR Subchapter B, Part 54, to include those support mechanisms provided pursuant to subpart D (universal service support for high-cost areas), subpart J (rural digital opportunity fund support), subpart K (interstate common line support), subpart L (mobility fund support), subpart M (high-cost loop support), and subpart O (Uniendo a Puerto Rico Fund) or alternate substitute, or replacement federal Universal Service Fund programs for the distribution of funding to telecommunications carriers to deliver service in rural or other high-cost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“Lifeline program” </w:t>
      </w:r>
      <w:r>
        <w:rPr>
          <w:rFonts w:ascii="Times New Roman" w:hAnsi="Times New Roman"/>
          <w:b w:val="false"/>
          <w:i w:val="false"/>
          <w:color w:val="000000"/>
          <w:sz w:val="22"/>
        </w:rPr>
        <w:t xml:space="preserve">means the federal universal service program providing support for low-income consumers that is defined in </w:t>
      </w:r>
      <w:r>
        <w:rPr>
          <w:rFonts w:ascii="Times New Roman" w:hAnsi="Times New Roman"/>
          <w:b w:val="false"/>
          <w:i w:val="false"/>
          <w:color w:val="000000"/>
          <w:sz w:val="22"/>
        </w:rPr>
        <w:t>47 CFR §54.401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designated for support” </w:t>
      </w:r>
      <w:r>
        <w:rPr>
          <w:rFonts w:ascii="Times New Roman" w:hAnsi="Times New Roman"/>
          <w:b w:val="false"/>
          <w:i w:val="false"/>
          <w:color w:val="000000"/>
          <w:sz w:val="22"/>
        </w:rPr>
        <w:t>means voice telephone service and broadband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 xml:space="preserve">means an assistance program for eligible residents of tribal lands seeking telecommunications service from a telecommunications carrier that is defined in </w:t>
      </w:r>
      <w:r>
        <w:rPr>
          <w:rFonts w:ascii="Times New Roman" w:hAnsi="Times New Roman"/>
          <w:b w:val="false"/>
          <w:i w:val="false"/>
          <w:color w:val="000000"/>
          <w:sz w:val="22"/>
        </w:rPr>
        <w:t>47 CFR §54.413(a)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“Voice telephone service” </w:t>
      </w:r>
      <w:r>
        <w:rPr>
          <w:rFonts w:ascii="Times New Roman" w:hAnsi="Times New Roman"/>
          <w:b w:val="false"/>
          <w:i w:val="false"/>
          <w:color w:val="000000"/>
          <w:sz w:val="22"/>
        </w:rPr>
        <w:t xml:space="preserve">means the service (defined in </w:t>
      </w:r>
      <w:r>
        <w:rPr>
          <w:rFonts w:ascii="Times New Roman" w:hAnsi="Times New Roman"/>
          <w:b w:val="false"/>
          <w:i w:val="false"/>
          <w:color w:val="000000"/>
          <w:sz w:val="22"/>
        </w:rPr>
        <w:t>47 CFR §54.400(m)</w:t>
      </w:r>
      <w:r>
        <w:rPr>
          <w:rFonts w:ascii="Times New Roman" w:hAnsi="Times New Roman"/>
          <w:b w:val="false"/>
          <w:i w:val="false"/>
          <w:color w:val="000000"/>
          <w:sz w:val="22"/>
        </w:rPr>
        <w:t xml:space="preserve">) designated by the FCC in </w:t>
      </w:r>
      <w:r>
        <w:rPr>
          <w:rFonts w:ascii="Times New Roman" w:hAnsi="Times New Roman"/>
          <w:b w:val="false"/>
          <w:i w:val="false"/>
          <w:color w:val="000000"/>
          <w:sz w:val="22"/>
        </w:rPr>
        <w:t>47 CFR §54.101</w:t>
      </w:r>
      <w:r>
        <w:rPr>
          <w:rFonts w:ascii="Times New Roman" w:hAnsi="Times New Roman"/>
          <w:b w:val="false"/>
          <w:i w:val="false"/>
          <w:color w:val="000000"/>
          <w:sz w:val="22"/>
        </w:rPr>
        <w:t xml:space="preserve"> as eligible for support by the federal universal service support mechanisms.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199—39.3</w:t>
      </w:r>
      <w:r>
        <w:rPr>
          <w:rFonts w:ascii="Times New Roman" w:hAnsi="Times New Roman"/>
          <w:b/>
          <w:i w:val="false"/>
          <w:color w:val="000000"/>
          <w:sz w:val="22"/>
        </w:rPr>
        <w:t xml:space="preserve">(476) </w:t>
      </w:r>
      <w:r>
        <w:rPr>
          <w:rFonts w:ascii="Times New Roman" w:hAnsi="Times New Roman"/>
          <w:b/>
          <w:i w:val="false"/>
          <w:color w:val="000000"/>
          <w:sz w:val="22"/>
        </w:rPr>
        <w:t xml:space="preserve">Applying for designation as an eligible telecommunications carrier.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common carrier must be designated as an ETC to qualify for support from the federal universal service fund. The commission reviews applications for designation as an ETC for compliance with </w:t>
      </w:r>
      <w:r>
        <w:rPr>
          <w:rFonts w:ascii="Times New Roman" w:hAnsi="Times New Roman"/>
          <w:b w:val="false"/>
          <w:i w:val="false"/>
          <w:color w:val="000000"/>
          <w:sz w:val="22"/>
        </w:rPr>
        <w:t>47 U.S.C. §214(e)(1)</w:t>
      </w:r>
      <w:r>
        <w:rPr>
          <w:rFonts w:ascii="Times New Roman" w:hAnsi="Times New Roman"/>
          <w:b w:val="false"/>
          <w:i w:val="false"/>
          <w:color w:val="000000"/>
          <w:sz w:val="22"/>
        </w:rPr>
        <w:t xml:space="preserve"> and grants ETC designations to qualified applicants for a service area designated by the commission. If an applicant requests an expedited ruling from the commission on an application to be designated as an ETC or on an amendment to an existing ETC designation, the applicant shall specify why an expedited process is necessary and why an expedited review would not be contrary to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val="false"/>
          <w:color w:val="000000"/>
          <w:sz w:val="22"/>
        </w:rPr>
        <w:t>An application for an ETC designation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an applicant offers more than one type of communications service, a clear statement of which entity is requesting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clear statement of the purposes for which the designation is sought, and a statement of financial and technical qualification to provide the supported service. An applicant shall specify whether designation is sought for purposes of receiving support from the high-cost fund or mobility fund; for Lifeline purposes only; or other specified purpose recognized by the FCC.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the applicant offers or intends to offer all services designated for support, as identified in </w:t>
      </w:r>
      <w:r>
        <w:rPr>
          <w:rFonts w:ascii="Times New Roman" w:hAnsi="Times New Roman"/>
          <w:b w:val="false"/>
          <w:i w:val="false"/>
          <w:color w:val="000000"/>
          <w:sz w:val="22"/>
        </w:rPr>
        <w:t>47 CFR §54.101</w:t>
      </w:r>
      <w:r>
        <w:rPr>
          <w:rFonts w:ascii="Times New Roman" w:hAnsi="Times New Roman"/>
          <w:b w:val="false"/>
          <w:i w:val="false"/>
          <w:color w:val="000000"/>
          <w:sz w:val="22"/>
        </w:rPr>
        <w:t xml:space="preserve">, throughout the applicant’s approved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carrier will provide voice telephone service and broadband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offers or intends to offer the supported services either using its own facilities or a combination of its own facilities and resale of another carrier’s services. “Own facilities” includes unbundled network elements, in whole or in part. The facilities providing the services supported by the universal service fund need not be physically located in the area served. Wireless resellers shall provide the name of the facilities-based wireless carrier(s) whose services they are reselling and demonstrate they have an agreement with the carrier(s) in Iowa that will cover the applicant’s proposed designated service area. The commission will not designate as an eligible telecommunications carrier a carrier that offers the services supported by federal universal service support mechanisms exclusively through the resale of another carrier’s services unless the carrier obtains FCC approval of a compliance plan and commits to certain 911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applicant advertises the availability of supported services and the charges therefore using media of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description, including a map or maps, of the geographic service area for which the applicant requests an ETC designation from the commission. An applicant seeking designation in connection with a support mechanism through which support is allocated to specific census blocks or locations shall file a list of the census blocks or locations in or at which the applicant will serve as an ETC, in addition to the map included with the description required by this paragraph. Wireless telecommunications carriers, defined as commercial mobile radio service providers in </w:t>
      </w:r>
      <w:r>
        <w:rPr>
          <w:rFonts w:ascii="Times New Roman" w:hAnsi="Times New Roman"/>
          <w:b w:val="false"/>
          <w:i w:val="false"/>
          <w:color w:val="000000"/>
          <w:sz w:val="22"/>
        </w:rPr>
        <w:t>47 CFR Parts 20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24</w:t>
      </w:r>
      <w:r>
        <w:rPr>
          <w:rFonts w:ascii="Times New Roman" w:hAnsi="Times New Roman"/>
          <w:b w:val="false"/>
          <w:i w:val="false"/>
          <w:color w:val="000000"/>
          <w:sz w:val="22"/>
        </w:rPr>
        <w:t xml:space="preserve">, shall file coverage area maps and maps that depict signal strength. Requests to withhold from public inspection maps depicting signal strength will be deemed granted as provided in </w:t>
      </w:r>
      <w:hyperlink r:id="rId9">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application is from a carrier seeking a designation as an ETC for an area served by a rural telephone company as defined in </w:t>
      </w:r>
      <w:r>
        <w:rPr>
          <w:rFonts w:ascii="Times New Roman" w:hAnsi="Times New Roman"/>
          <w:b w:val="false"/>
          <w:i w:val="false"/>
          <w:color w:val="000000"/>
          <w:sz w:val="22"/>
        </w:rPr>
        <w:t>47 CFR §51.5</w:t>
      </w:r>
      <w:r>
        <w:rPr>
          <w:rFonts w:ascii="Times New Roman" w:hAnsi="Times New Roman"/>
          <w:b w:val="false"/>
          <w:i w:val="false"/>
          <w:color w:val="000000"/>
          <w:sz w:val="22"/>
        </w:rPr>
        <w:t>, a demonstration that the requested designation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affirmative statement that the applicant will use the support only for the provision, maintenance, and upgrading of facilities to deploy, improve, and support services to consumers in the applicant’s designated service area. Applicants seeking designation only for purposes of receiving support from the Lifeline program need not include an affirmative statement or other information concerning network improvements planned for the designated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affirmative statement explaining how the applicant will remain functional in emergency situations. The statement shall include examples illustrating that the applicant has a reasonable amount of back-up power to ensure functionality without an external power source, is able to reroute traffic around damaged facilities, and is capable of managing traffic spikes resulting from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comply with the service requirements applicable to the support that it seeks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the applicant will contribute to the dual party relay service as provided in Iowa Code section </w:t>
      </w:r>
      <w:hyperlink r:id="rId10">
        <w:r>
          <w:rPr>
            <w:rStyle w:val="Hyperlink"/>
            <w:rFonts w:ascii="Times New Roman" w:hAnsi="Times New Roman"/>
            <w:b w:val="false"/>
            <w:i w:val="false"/>
            <w:color w:val="000000"/>
            <w:sz w:val="22"/>
          </w:rPr>
          <w:t>477C.7(1)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applications from carriers seeking designation as an ETC for any part of tribal lands, a copy of the applicant’s application to the affected tribal government and tribal regulatory authority at the time the applicant files the application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satisfy applicable consumer protection and service quality standards. Wireless ETC applicants shall commit to complying with the consumer protection standards established by the Cellular Telecommunications and Internet Association’s Consumer Code for Wireless Service (2020), including a certification to abide by the following specified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ready access to customer service. Customers will be provided a toll-free telephone number to access a carrier’s customer service during normal business hours. Customer service contact information will be provided to customers online and on billing statements. Each wireless carrier will provide information about how customers can contact the carrier in writing, by toll-free telephone number, via the Internet, or otherwise with any inquiries or complaints, and this information will be included, at a minimum, on all billing statements, in written responses to customer inquiries, and on carriers’ websites. Each carrier will also make such contact information available, upon request, to any customer calling the carrier’s customer service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respond to consumer inquiries and complaints received from government agencies. Inquiries for information or complaints to a wireless ETC shall be resolved promptly and courteously. If a wireless ETC cannot resolve a dispute with the applicant or customer, the wireless ETC shall inform the applicant or customer of the right to file a complaint with the commission. The wireless ETC shall provide the following commission address and toll-free telephone number: Iowa Utilities Commission, Customer Service, 1375 E. Court Avenue, Des Moines, Iowa 50319-0069; 877.565.4450. When the commission receives a complaint, the commission shall follow the procedures set out in </w:t>
      </w:r>
      <w:hyperlink r:id="rId11">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In any complaint proceeding pursuant to this subparagraph, if the wireless ETC asserts that the complainant is located in an area where the wireless ETC is not designated as an ETC, the wireless ETC must submit evidence in support of its assertion.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val="false"/>
          <w:color w:val="000000"/>
          <w:sz w:val="22"/>
        </w:rPr>
        <w:t>Amendments, assignments and transfers of control. Except as otherwise provided in this subrule, a carrier’s ETC designation may be amended or assigned, or control of such designation may be transferred by the transfer of control of the carrier, whether voluntarily or involuntarily, directly or indirectly, only upon application to and prior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For purposes of this subrule, an assignment of a designation is a transaction in which a commission-issued ETC designation is assigned from one carrier to another carrier. Following an assignment, the designation is held by a carrier other than the carrier to which it was originally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Transfers of control. </w:t>
      </w:r>
      <w:r>
        <w:rPr>
          <w:rFonts w:ascii="Times New Roman" w:hAnsi="Times New Roman"/>
          <w:b w:val="false"/>
          <w:i w:val="false"/>
          <w:color w:val="000000"/>
          <w:sz w:val="22"/>
        </w:rPr>
        <w:t>For purposes of this subrule, a transfer of control is a transaction in which a commission-issued designation remains held by the same carrier, but there is a change in the individuals or entities that control the carrier. A change from less than 50 percent ownership to 50 percent or more ownership shall always be considered a transfer of control. A change from 50 percent or more ownership to less than 50 percent ownership shall always be considered a transfer of control. In all other situations, whether the interest being transferred is controlling must be determined on a case-by-case basis. The factors relevant to a determination of control in addition to equity ownership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Power to constitute or appoint more than 50 percent of the board of directors or partnership management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Authority to appoint, promote, demote, and fire senior executives who control the day-to-day activities of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Ability to play an integral role in major management decisions of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Authority to pay financial obligations, including expenses arising out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receive moneys and profits from the carrier’s operations;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Unfettered use of all of the carrier’s facilities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 forma assignments and transfers of control. </w:t>
      </w:r>
      <w:r>
        <w:rPr>
          <w:rFonts w:ascii="Times New Roman" w:hAnsi="Times New Roman"/>
          <w:b w:val="false"/>
          <w:i w:val="false"/>
          <w:color w:val="000000"/>
          <w:sz w:val="22"/>
        </w:rPr>
        <w:t>Assignments or transfers of control that do not result in a change in the actual controlling party are considered nonsubstantial or pro forma. If a transaction is one of the types listed below, the transaction is presumptively pro forma and prior commission approval need not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Assignment from an individual or individuals to an entity owned and controlled by such individuals without any substantial change in their relative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Assignment from an entity to its individual equity holders without effecting any substantial change in the disposition of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Assignment or transfer by which certain equity holders retire and the interest transferred is not a controlling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Entity reorganization that involves no substantial change in the beneficial ownership of the carrier (including reincorporation or reorganization in a different jurisdiction or change in form of the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or transfer from a carrier to a wholly owned direct or indirect subsidiary thereof or vice versa, or where there is an assignment from a carrier to an entity owned or controlled by the same equity holders without substantial change in their interests;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Assignment of less than a controlling interest in a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substantial transactions. </w:t>
      </w:r>
      <w:r>
        <w:rPr>
          <w:rFonts w:ascii="Times New Roman" w:hAnsi="Times New Roman"/>
          <w:b w:val="false"/>
          <w:i w:val="false"/>
          <w:color w:val="000000"/>
          <w:sz w:val="22"/>
        </w:rPr>
        <w:t>In the case of an assignment or transfer of control of commission-designated ETC that is not pro forma, the parties to such a transaction must file a joint application with the commission prior to consummation of the proposed assignment or transfer of control.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narrative of the means by which the proposed transfer or assignment will take place. This narrative should include a statement concerning how the transaction will be classified for the purposes of any filings required to be made by the parties with the Universal Service Administrative Company (USAC).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each applicant, including the legal name and state or other governmental authority under the laws of which each entity applicant is incorporated or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title, mailing address, telephone number, and email contact information for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title, mailing address, telephone number, and email contact information for an application contact point, such as an executive officer, legal counsel, or regulatory consultant, to whom correspondence concerning the application should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date on which the applicants are asking for the transfer of the ETC designation to be effective. Where the timing of a transaction is dependent on facts objectively ascertainable outside of the filing (i.e., regulatory, lender, or other third-party approval), the parties should include a statement concerning the manner in which such facts will operate on the effective date or other terms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as to whether the assignee/transferee is a commission-designated ETC. If the assignee/transferee is not a commission-designated ETC, the assignee/transferee shall separately file with the commission an application for designation as an ETC as provided in subrule </w:t>
      </w:r>
      <w:hyperlink r:id="rId12">
        <w:r>
          <w:rPr>
            <w:rStyle w:val="Hyperlink"/>
            <w:rFonts w:ascii="Times New Roman" w:hAnsi="Times New Roman"/>
            <w:b w:val="false"/>
            <w:i w:val="false"/>
            <w:color w:val="000000"/>
            <w:sz w:val="22"/>
          </w:rPr>
          <w:t>39.3(2)</w:t>
        </w:r>
      </w:hyperlink>
      <w:r>
        <w:rPr>
          <w:rFonts w:ascii="Times New Roman" w:hAnsi="Times New Roman"/>
          <w:b w:val="false"/>
          <w:i w:val="false"/>
          <w:color w:val="000000"/>
          <w:sz w:val="22"/>
        </w:rPr>
        <w:t>. If the assignee/transferee is a commission-designated ETC, the joint application shall include a certification from the assignee/transferee that (a) the assignee/transferee is a commission-designated ETC in good standing and (b) the assignee/transferee will comply with the state and federal requirements for eligibility as an ETC, including the use of support to provide designated services within the assigned or transferred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as part of the transaction, the assignor/transferor is requesting to relinquish its ETC status in whole or in part. If the assignor/transferor is requesting to relinquish its ETC status, the joint application shall be deemed to be the assignor/transferor’s request for relinquishment of ETC designation under rule </w:t>
      </w:r>
      <w:hyperlink r:id="rId13">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provided that such relinquishment shall be conditioned on consummation of the transaction described in the application. If the assignor/transferor is for any reason seeking the unconditional relinquishment of its ETC status, such request should be filed separately under rule </w:t>
      </w:r>
      <w:hyperlink r:id="rId14">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 xml:space="preserve">Where an assignment or transfer of control involves a transferee/assignee that is already a commission-designated ETC, such application shall be granted by the commission 30 days after the date the complete application seeking approval of the assignment or transfer of control is accepted for filing, unless the commission, for good cause, dockets the application for further investigation. Where an assignment or transfer of control involves a transferee/assignee that is not already a commission-designated ETC, such application shall be granted by the commission at the same time as the commission grants the assignee/transferee’s application for ETC designation in accordance with the timelines and procedures set forth in subrule </w:t>
      </w:r>
      <w:hyperlink r:id="rId15">
        <w:r>
          <w:rPr>
            <w:rStyle w:val="Hyperlink"/>
            <w:rFonts w:ascii="Times New Roman" w:hAnsi="Times New Roman"/>
            <w:b w:val="false"/>
            <w:i w:val="false"/>
            <w:color w:val="000000"/>
            <w:sz w:val="22"/>
          </w:rPr>
          <w:t>39.3(2)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 forma transactions. </w:t>
      </w:r>
      <w:r>
        <w:rPr>
          <w:rFonts w:ascii="Times New Roman" w:hAnsi="Times New Roman"/>
          <w:b w:val="false"/>
          <w:i w:val="false"/>
          <w:color w:val="000000"/>
          <w:sz w:val="22"/>
        </w:rPr>
        <w:t xml:space="preserve">In the case of a pro forma assignment or transfer of control, the designated ETC is not required to seek prior commission approval. Instead, a pro forma assignee or a carrier that is subject to a pro forma transfer of control must file a notification with the commission no later than 30 days after the assignment or transfer is completed. The notification must contain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subparagraphs </w:t>
      </w:r>
      <w:hyperlink r:id="rId16">
        <w:r>
          <w:rPr>
            <w:rStyle w:val="Hyperlink"/>
            <w:rFonts w:ascii="Times New Roman" w:hAnsi="Times New Roman"/>
            <w:b w:val="false"/>
            <w:i w:val="false"/>
            <w:color w:val="000000"/>
            <w:sz w:val="22"/>
          </w:rPr>
          <w:t>39.3(3)</w:t>
        </w:r>
      </w:hyperlink>
      <w:r>
        <w:rPr>
          <w:rFonts w:ascii="Times New Roman" w:hAnsi="Times New Roman"/>
          <w:b w:val="false"/>
          <w:i/>
          <w:color w:val="000000"/>
          <w:sz w:val="22"/>
        </w:rPr>
        <w:t>“d”</w:t>
      </w:r>
      <w:r>
        <w:rPr>
          <w:rFonts w:ascii="Times New Roman" w:hAnsi="Times New Roman"/>
          <w:b w:val="false"/>
          <w:i w:val="false"/>
          <w:color w:val="000000"/>
          <w:sz w:val="22"/>
        </w:rPr>
        <w:t xml:space="preserve">(1) through </w:t>
      </w:r>
      <w:hyperlink r:id="rId17">
        <w:r>
          <w:rPr>
            <w:rStyle w:val="Hyperlink"/>
            <w:rFonts w:ascii="Times New Roman" w:hAnsi="Times New Roman"/>
            <w:b w:val="false"/>
            <w:i w:val="false"/>
            <w:color w:val="000000"/>
            <w:sz w:val="22"/>
          </w:rPr>
          <w:t>39.3(3)</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for the transferee/assignee.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transfer of control or assignment was pro forma and that, together with all previous pro forma transactions, the transfer of control or assignment does not result in a change in the actual control of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certification from the assignee/transferee that the assignee/transferee will comply with the state and federal requirements for eligibility as an ETC, including the use of support to provide designated services within the assigned or transferred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Involuntary assignments or transfers of control. </w:t>
      </w:r>
      <w:r>
        <w:rPr>
          <w:rFonts w:ascii="Times New Roman" w:hAnsi="Times New Roman"/>
          <w:b w:val="false"/>
          <w:i w:val="false"/>
          <w:color w:val="000000"/>
          <w:sz w:val="22"/>
        </w:rPr>
        <w:t>In the case of an involuntary assignment or transfer of control to a bankruptcy trustee appointed under involuntary bankruptcy; to an independent receiver appointed by a court of competent jurisdiction in a foreclosure action; or in the case of death or legal disability, to a person or entity legally qualified to succeed the deceased or disabled person under the laws of the place having jurisdiction over the estate involved, the applicant must make the appropriate filing no later than 30 days after the event causing the involuntary assignment or transfer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consummation. </w:t>
      </w:r>
      <w:r>
        <w:rPr>
          <w:rFonts w:ascii="Times New Roman" w:hAnsi="Times New Roman"/>
          <w:b w:val="false"/>
          <w:i w:val="false"/>
          <w:color w:val="000000"/>
          <w:sz w:val="22"/>
        </w:rPr>
        <w:t>An assignee or transferee must notify the commission no later than 30 days after either consummation of the proposed assignment or transfer of control or a decision not to consummate the proposed assignment or transfer of control. The notification shall identify the docket number(s) under which the authorization of the assignment or transfer of control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Amendments other than transactions. </w:t>
      </w:r>
      <w:r>
        <w:rPr>
          <w:rFonts w:ascii="Times New Roman" w:hAnsi="Times New Roman"/>
          <w:b w:val="false"/>
          <w:i w:val="false"/>
          <w:color w:val="000000"/>
          <w:sz w:val="22"/>
        </w:rPr>
        <w:t>Where a carrier that has been designated by the commission as an ETC intends to serve as an ETC in a new service area for the purpose of receiving federal high-cost support, the carrier shall file a request to amend its designation with a notice of expansion at least 30 days in advance of the expansion and shall certify that the carrier intends to amend its designation to serve as an ETC in the expanded service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199—39.4</w:t>
      </w:r>
      <w:r>
        <w:rPr>
          <w:rFonts w:ascii="Times New Roman" w:hAnsi="Times New Roman"/>
          <w:b/>
          <w:i w:val="false"/>
          <w:color w:val="000000"/>
          <w:sz w:val="22"/>
        </w:rPr>
        <w:t xml:space="preserve">(476) </w:t>
      </w:r>
      <w:r>
        <w:rPr>
          <w:rFonts w:ascii="Times New Roman" w:hAnsi="Times New Roman"/>
          <w:b/>
          <w:i w:val="false"/>
          <w:color w:val="000000"/>
          <w:sz w:val="22"/>
        </w:rPr>
        <w:t xml:space="preserve">Lifeline-only applicants. </w:t>
      </w:r>
      <w:r>
        <w:rPr>
          <w:rFonts w:ascii="Times New Roman" w:hAnsi="Times New Roman"/>
          <w:b w:val="false"/>
          <w:i w:val="false"/>
          <w:color w:val="000000"/>
          <w:sz w:val="22"/>
        </w:rPr>
        <w:t xml:space="preserve">Where an applicant is seeking designation only for purposes of receiving support from the Lifeline program, the following requirements apply in addition to those specified in rule </w:t>
      </w:r>
      <w:hyperlink r:id="rId18">
        <w:r>
          <w:rPr>
            <w:rStyle w:val="Hyperlink"/>
            <w:rFonts w:ascii="Times New Roman" w:hAnsi="Times New Roman"/>
            <w:b w:val="false"/>
            <w:i w:val="false"/>
            <w:color w:val="000000"/>
            <w:sz w:val="22"/>
          </w:rPr>
          <w:t>199—39.3</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Approved compliance plan required. </w:t>
      </w:r>
      <w:r>
        <w:rPr>
          <w:rFonts w:ascii="Times New Roman" w:hAnsi="Times New Roman"/>
          <w:b w:val="false"/>
          <w:i w:val="false"/>
          <w:color w:val="000000"/>
          <w:sz w:val="22"/>
        </w:rPr>
        <w:t>The applicant shall submit a copy of a compliance plan submitted to the FCC and a copy of the FCC’s notice of approval. An applicant offering service utilizing its own facilities or a combination of its own facilities and the resale of another carrier’s facilities need not provide a compliance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voice telephone service offered to Lifeline subscribers. </w:t>
      </w:r>
      <w:r>
        <w:rPr>
          <w:rFonts w:ascii="Times New Roman" w:hAnsi="Times New Roman"/>
          <w:b w:val="false"/>
          <w:i w:val="false"/>
          <w:color w:val="000000"/>
          <w:sz w:val="22"/>
        </w:rPr>
        <w:t>The applicant shall submit information describing the terms and conditions of any voice telephone service plans offered to Lifeline subscribers, including details on the number of minutes provided as part of the plan, additional charges, if any, for toll calls, and rates for such plan. To the extent the applicant offers to Lifeline subscribers plans that are generally available to the public, the applicant may provide summary information regarding such plans, such as a link to a public website outlining the terms and conditions of such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broadband internet access service offered to Lifeline subscribers. </w:t>
      </w:r>
      <w:r>
        <w:rPr>
          <w:rFonts w:ascii="Times New Roman" w:hAnsi="Times New Roman"/>
          <w:b w:val="false"/>
          <w:i w:val="false"/>
          <w:color w:val="000000"/>
          <w:sz w:val="22"/>
        </w:rPr>
        <w:t xml:space="preserve">The applicant shall submit information describing the terms and conditions of any broadband internet access service plans offered to Lifeline subscribers, including details on the speeds offered; data usage allotments; additional charges for particular uses, if any; and rates for each such plan. To the extent the applicant offers to Lifeline subscribers plans that are generally available to the public, the applicant may provide summary information regarding those plans, such as a link to a public website outlining the terms and conditions of the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financial and technical capability to provide supported services. </w:t>
      </w:r>
      <w:r>
        <w:rPr>
          <w:rFonts w:ascii="Times New Roman" w:hAnsi="Times New Roman"/>
          <w:b w:val="false"/>
          <w:i w:val="false"/>
          <w:color w:val="000000"/>
          <w:sz w:val="22"/>
        </w:rPr>
        <w:t xml:space="preserve">The applicant shall demonstrate that it is financially and technically capable of providing the supported Lifeline service in compliance with 47 CFR Subchapter B, Part 54, Subpart E, as required by </w:t>
      </w:r>
      <w:r>
        <w:rPr>
          <w:rFonts w:ascii="Times New Roman" w:hAnsi="Times New Roman"/>
          <w:b w:val="false"/>
          <w:i w:val="false"/>
          <w:color w:val="000000"/>
          <w:sz w:val="22"/>
        </w:rPr>
        <w:t>47 CFR §54.201(h)</w:t>
      </w:r>
      <w:r>
        <w:rPr>
          <w:rFonts w:ascii="Times New Roman" w:hAnsi="Times New Roman"/>
          <w:b w:val="false"/>
          <w:i w:val="false"/>
          <w:color w:val="000000"/>
          <w:sz w:val="22"/>
        </w:rPr>
        <w:t>. Relevant considerations include but are not limited to how long the carrier has been in business, whether the applicant intends to rely exclusively on universal service fund disbursements to operate, whether the applicant receives or will receive revenue from other sources, whether the applicant has been subject to enforcement action or ETC revocation proceedings in any state, and whether the applicant has defaulted on previous universal service fund commitments.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199—39.5</w:t>
      </w:r>
      <w:r>
        <w:rPr>
          <w:rFonts w:ascii="Times New Roman" w:hAnsi="Times New Roman"/>
          <w:b/>
          <w:i w:val="false"/>
          <w:color w:val="000000"/>
          <w:sz w:val="22"/>
        </w:rPr>
        <w:t xml:space="preserve">(476)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the approved service area for universal service fund support calculations will be the same as the service area currently approved for local service by the commission. Those carriers not currently approved to provide local service are required to provide documentation showing their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service area served by a rural telephone company, “service area” means such company’s “study area” unless and until the FCC and the states, after taking into account recommendations of a federal-state joint board instituted under </w:t>
      </w:r>
      <w:r>
        <w:rPr>
          <w:rFonts w:ascii="Times New Roman" w:hAnsi="Times New Roman"/>
          <w:b w:val="false"/>
          <w:i w:val="false"/>
          <w:color w:val="000000"/>
          <w:sz w:val="22"/>
        </w:rPr>
        <w:t>47 U.S.C. §410(c)</w:t>
      </w:r>
      <w:r>
        <w:rPr>
          <w:rFonts w:ascii="Times New Roman" w:hAnsi="Times New Roman"/>
          <w:b w:val="false"/>
          <w:i w:val="false"/>
          <w:color w:val="000000"/>
          <w:sz w:val="22"/>
        </w:rPr>
        <w:t>, effective April 9, 2025, establish a different definition of service area for such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val="false"/>
          <w:color w:val="000000"/>
          <w:sz w:val="22"/>
        </w:rPr>
        <w:t>In the case of a wireless telecommunications carrier, “service area” means that area where the wireless company has been licensed by the FCC to provide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199—39.6</w:t>
      </w:r>
      <w:r>
        <w:rPr>
          <w:rFonts w:ascii="Times New Roman" w:hAnsi="Times New Roman"/>
          <w:b/>
          <w:i w:val="false"/>
          <w:color w:val="000000"/>
          <w:sz w:val="22"/>
        </w:rPr>
        <w:t xml:space="preserve">(476) </w:t>
      </w:r>
      <w:r>
        <w:rPr>
          <w:rFonts w:ascii="Times New Roman" w:hAnsi="Times New Roman"/>
          <w:b/>
          <w:i w:val="false"/>
          <w:color w:val="000000"/>
          <w:sz w:val="22"/>
        </w:rPr>
        <w:t xml:space="preserve">Universal service support for low-income consumers (Lifeline program and Tribal Link Up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Carrier obligation to offer Lifeline.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47 CFR §54.405</w:t>
      </w:r>
      <w:r>
        <w:rPr>
          <w:rFonts w:ascii="Times New Roman" w:hAnsi="Times New Roman"/>
          <w:b w:val="false"/>
          <w:i w:val="false"/>
          <w:color w:val="000000"/>
          <w:sz w:val="22"/>
        </w:rPr>
        <w:t xml:space="preserve">, all ETCs must make Lifeline service available, as defined in </w:t>
      </w:r>
      <w:r>
        <w:rPr>
          <w:rFonts w:ascii="Times New Roman" w:hAnsi="Times New Roman"/>
          <w:b w:val="false"/>
          <w:i w:val="false"/>
          <w:color w:val="000000"/>
          <w:sz w:val="22"/>
        </w:rPr>
        <w:t>47 CFR §54.401</w:t>
      </w:r>
      <w:r>
        <w:rPr>
          <w:rFonts w:ascii="Times New Roman" w:hAnsi="Times New Roman"/>
          <w:b w:val="false"/>
          <w:i w:val="false"/>
          <w:color w:val="000000"/>
          <w:sz w:val="22"/>
        </w:rPr>
        <w:t xml:space="preserve">, to qualifying low-income consumers, defined as consumers who meet the qualifications for Lifeline as specified in </w:t>
      </w:r>
      <w:r>
        <w:rPr>
          <w:rFonts w:ascii="Times New Roman" w:hAnsi="Times New Roman"/>
          <w:b w:val="false"/>
          <w:i w:val="false"/>
          <w:color w:val="000000"/>
          <w:sz w:val="22"/>
        </w:rPr>
        <w:t>47 CFR §54.409</w:t>
      </w:r>
      <w:r>
        <w:rPr>
          <w:rFonts w:ascii="Times New Roman" w:hAnsi="Times New Roman"/>
          <w:b w:val="false"/>
          <w:i w:val="false"/>
          <w:color w:val="000000"/>
          <w:sz w:val="22"/>
        </w:rPr>
        <w:t xml:space="preserve">. ETCs must comply with the minimum service standards specified in </w:t>
      </w:r>
      <w:r>
        <w:rPr>
          <w:rFonts w:ascii="Times New Roman" w:hAnsi="Times New Roman"/>
          <w:b w:val="false"/>
          <w:i w:val="false"/>
          <w:color w:val="000000"/>
          <w:sz w:val="22"/>
        </w:rPr>
        <w:t>47 CFR §54.408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 xml:space="preserve">ETCs shall include a description of their Lifeline offerings or discounts in their residential service agreements. ETCs shall provide the commission with information about their residential service agreements upon request. ETCs shall publicize the availability of Lifeline service in a manner reasonably designed to reach those likely to qualify for service as required by </w:t>
      </w:r>
      <w:r>
        <w:rPr>
          <w:rFonts w:ascii="Times New Roman" w:hAnsi="Times New Roman"/>
          <w:b w:val="false"/>
          <w:i w:val="false"/>
          <w:color w:val="000000"/>
          <w:sz w:val="22"/>
        </w:rPr>
        <w:t>47 CFR §54.405(b)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Consumer qualification for Lifeline. </w:t>
      </w:r>
      <w:r>
        <w:rPr>
          <w:rFonts w:ascii="Times New Roman" w:hAnsi="Times New Roman"/>
          <w:b w:val="false"/>
          <w:i w:val="false"/>
          <w:color w:val="000000"/>
          <w:sz w:val="22"/>
        </w:rPr>
        <w:t xml:space="preserve">To qualify for Lifeline, a consumer must meet the qualifications for Lifeline as specified in </w:t>
      </w:r>
      <w:r>
        <w:rPr>
          <w:rFonts w:ascii="Times New Roman" w:hAnsi="Times New Roman"/>
          <w:b w:val="false"/>
          <w:i w:val="false"/>
          <w:color w:val="000000"/>
          <w:sz w:val="22"/>
        </w:rPr>
        <w:t>47 CFR §54.409</w:t>
      </w:r>
      <w:r>
        <w:rPr>
          <w:rFonts w:ascii="Times New Roman" w:hAnsi="Times New Roman"/>
          <w:b w:val="false"/>
          <w:i w:val="false"/>
          <w:color w:val="000000"/>
          <w:sz w:val="22"/>
        </w:rPr>
        <w:t>. A consumer may only receive one Lifeline service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subscriber eligibility. </w:t>
      </w:r>
      <w:r>
        <w:rPr>
          <w:rFonts w:ascii="Times New Roman" w:hAnsi="Times New Roman"/>
          <w:b w:val="false"/>
          <w:i w:val="false"/>
          <w:color w:val="000000"/>
          <w:sz w:val="22"/>
        </w:rPr>
        <w:t xml:space="preserve">ETCs shall ensure that their Lifeline subscribers are eligible to receive Lifeline services in accordance with </w:t>
      </w:r>
      <w:r>
        <w:rPr>
          <w:rFonts w:ascii="Times New Roman" w:hAnsi="Times New Roman"/>
          <w:b w:val="false"/>
          <w:i w:val="false"/>
          <w:color w:val="000000"/>
          <w:sz w:val="22"/>
        </w:rPr>
        <w:t>47 CFR §54.410</w:t>
      </w:r>
      <w:r>
        <w:rPr>
          <w:rFonts w:ascii="Times New Roman" w:hAnsi="Times New Roman"/>
          <w:b w:val="false"/>
          <w:i w:val="false"/>
          <w:color w:val="000000"/>
          <w:sz w:val="22"/>
        </w:rPr>
        <w:t>. ETCs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policies and procedures for ensuring that their Lifeline subscribers are eligible to receive Lifeline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 a subscriber’s income-based or program-based eligibility according to </w:t>
      </w:r>
      <w:r>
        <w:rPr>
          <w:rFonts w:ascii="Times New Roman" w:hAnsi="Times New Roman"/>
          <w:b w:val="false"/>
          <w:i w:val="false"/>
          <w:color w:val="000000"/>
          <w:sz w:val="22"/>
        </w:rPr>
        <w:t>47 CFR §54.410(b)</w:t>
      </w:r>
      <w:r>
        <w:rPr>
          <w:rFonts w:ascii="Times New Roman" w:hAnsi="Times New Roman"/>
          <w:b w:val="false"/>
          <w:i w:val="false"/>
          <w:color w:val="000000"/>
          <w:sz w:val="22"/>
        </w:rPr>
        <w:t xml:space="preserve"> or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prospective subscribers Lifeline certification forms that comply with </w:t>
      </w:r>
      <w:r>
        <w:rPr>
          <w:rFonts w:ascii="Times New Roman" w:hAnsi="Times New Roman"/>
          <w:b w:val="false"/>
          <w:i w:val="false"/>
          <w:color w:val="000000"/>
          <w:sz w:val="22"/>
        </w:rPr>
        <w:t>47 CFR §54.410(d)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Recertify all subscribers’ Lifeline eligibility in accordance with </w:t>
      </w:r>
      <w:r>
        <w:rPr>
          <w:rFonts w:ascii="Times New Roman" w:hAnsi="Times New Roman"/>
          <w:b w:val="false"/>
          <w:i w:val="false"/>
          <w:color w:val="000000"/>
          <w:sz w:val="22"/>
        </w:rPr>
        <w:t>47 CFR §54.410(f)</w:t>
      </w:r>
      <w:r>
        <w:rPr>
          <w:rFonts w:ascii="Times New Roman" w:hAnsi="Times New Roman"/>
          <w:b w:val="false"/>
          <w:i w:val="false"/>
          <w:color w:val="000000"/>
          <w:sz w:val="22"/>
        </w:rPr>
        <w:t xml:space="preserve"> and (g).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39.6(5)</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by ETCs. </w:t>
      </w:r>
      <w:r>
        <w:rPr>
          <w:rFonts w:ascii="Times New Roman" w:hAnsi="Times New Roman"/>
          <w:b w:val="false"/>
          <w:i w:val="false"/>
          <w:color w:val="000000"/>
          <w:sz w:val="22"/>
        </w:rPr>
        <w:t xml:space="preserve">ETCs shall make and submit to the USAC annual certifications relating to the Lifeline program as required by </w:t>
      </w:r>
      <w:r>
        <w:rPr>
          <w:rFonts w:ascii="Times New Roman" w:hAnsi="Times New Roman"/>
          <w:b w:val="false"/>
          <w:i w:val="false"/>
          <w:color w:val="000000"/>
          <w:sz w:val="22"/>
        </w:rPr>
        <w:t>47 CFR §54.416</w:t>
      </w:r>
      <w:r>
        <w:rPr>
          <w:rFonts w:ascii="Times New Roman" w:hAnsi="Times New Roman"/>
          <w:b w:val="false"/>
          <w:i w:val="false"/>
          <w:color w:val="000000"/>
          <w:sz w:val="22"/>
        </w:rPr>
        <w:t>. Upon request of the commission, ETCs shall file their annual Lifeline certifications with the commission and, if applicable, with the relevant tribal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39.6(6)</w:t>
      </w: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 xml:space="preserve">A telecommunications carrier receiving high-cost support on tribal lands that is offering the Tribal Link Up assistance program to eligible residents of tribal lands, as defined in </w:t>
      </w:r>
      <w:r>
        <w:rPr>
          <w:rFonts w:ascii="Times New Roman" w:hAnsi="Times New Roman"/>
          <w:b w:val="false"/>
          <w:i w:val="false"/>
          <w:color w:val="000000"/>
          <w:sz w:val="22"/>
        </w:rPr>
        <w:t>47 CFR §54.400(e)</w:t>
      </w:r>
      <w:r>
        <w:rPr>
          <w:rFonts w:ascii="Times New Roman" w:hAnsi="Times New Roman"/>
          <w:b w:val="false"/>
          <w:i w:val="false"/>
          <w:color w:val="000000"/>
          <w:sz w:val="22"/>
        </w:rPr>
        <w:t xml:space="preserve">, must provide (1) a 100 percent reduction of the customary connection charge for commencing service at a subscriber’s residence, and (2) a deferred schedule of interest-free payments for the connection charge, pursuant to </w:t>
      </w:r>
      <w:r>
        <w:rPr>
          <w:rFonts w:ascii="Times New Roman" w:hAnsi="Times New Roman"/>
          <w:b w:val="false"/>
          <w:i w:val="false"/>
          <w:color w:val="000000"/>
          <w:sz w:val="22"/>
        </w:rPr>
        <w:t>47 CFR §54.413</w:t>
      </w:r>
      <w:r>
        <w:rPr>
          <w:rFonts w:ascii="Times New Roman" w:hAnsi="Times New Roman"/>
          <w:b w:val="false"/>
          <w:i w:val="false"/>
          <w:color w:val="000000"/>
          <w:sz w:val="22"/>
        </w:rPr>
        <w:t xml:space="preserve">. Prior to enrolling an eligible resident of tribal lands in the Tribal Link Up program, an ETC must obtain from the resident a certification form that complies with </w:t>
      </w:r>
      <w:r>
        <w:rPr>
          <w:rFonts w:ascii="Times New Roman" w:hAnsi="Times New Roman"/>
          <w:b w:val="false"/>
          <w:i w:val="false"/>
          <w:color w:val="000000"/>
          <w:sz w:val="22"/>
        </w:rPr>
        <w:t>47 CFR §54.410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 xml:space="preserve">ETCs shall file with the commission finalized reports of audits involving the audited ETC’s operations in Iowa conducted pursuant to </w:t>
      </w:r>
      <w:r>
        <w:rPr>
          <w:rFonts w:ascii="Times New Roman" w:hAnsi="Times New Roman"/>
          <w:b w:val="false"/>
          <w:i w:val="false"/>
          <w:color w:val="000000"/>
          <w:sz w:val="22"/>
        </w:rPr>
        <w:t>47 CFR §54.420</w:t>
      </w:r>
      <w:r>
        <w:rPr>
          <w:rFonts w:ascii="Times New Roman" w:hAnsi="Times New Roman"/>
          <w:b w:val="false"/>
          <w:i w:val="false"/>
          <w:color w:val="000000"/>
          <w:sz w:val="22"/>
        </w:rPr>
        <w:t xml:space="preserve"> requiring low-income program audits. The audit reports will not be considered or deemed confidential. The audit reports shall be filed with the commission within 30 days of issuance of the final audit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199—39.7</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from carriers seeking to continue to receive high-cost support. </w:t>
      </w:r>
      <w:r>
        <w:rPr>
          <w:rFonts w:ascii="Times New Roman" w:hAnsi="Times New Roman"/>
          <w:b w:val="false"/>
          <w:i w:val="false"/>
          <w:color w:val="000000"/>
          <w:sz w:val="22"/>
        </w:rPr>
        <w:t>Any carrier seeking to continue to receive federal high-cost support shall file with the commission no later than July 1 of each year an affidavit titled “Certification of [Company Name].” The company name shall be the name used on the carrier’s initial application for ETC designation and its current name, if its name has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Contents of affidavit: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affidavit shall include the study area code (SAC) number associated with the company, as well as the carrier’s Company Number (CoNo) as granted by the Iowa utilities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affidavit shall be sworn and notarized and shall be executed by an authorized corporate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affidavit shall certify that the carrier has used all federal high-cost support provided in the preceding calendar year and will use all federal high-cost support provided to the carrier in the coming calendar year received pursuant to 47 CFR Subchapter B, Part 54, Subparts D, J, K, L, M, and O as defined in </w:t>
      </w:r>
      <w:r>
        <w:rPr>
          <w:rFonts w:ascii="Times New Roman" w:hAnsi="Times New Roman"/>
          <w:b w:val="false"/>
          <w:i w:val="false"/>
          <w:color w:val="000000"/>
          <w:sz w:val="22"/>
        </w:rPr>
        <w:t>47 CFR §54.5</w:t>
      </w:r>
      <w:r>
        <w:rPr>
          <w:rFonts w:ascii="Times New Roman" w:hAnsi="Times New Roman"/>
          <w:b w:val="false"/>
          <w:i w:val="false"/>
          <w:color w:val="000000"/>
          <w:sz w:val="22"/>
        </w:rPr>
        <w:t xml:space="preserve">, only for the provision, maintenance, and upgrading of facilities and services for which the support is intended.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affidavit shall certify to the following: as an eligible telecommunications carrier, the carrier agrees to provide timely responses to commission requests for information related to the status of local markets for supported services, including local markets for supported voice and broadband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certification filed by a carrier shall be subject to complaint or investigation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ETC’s certification shall be the basis of the commission’s certification to the FCC and USAC pursuant to </w:t>
      </w:r>
      <w:r>
        <w:rPr>
          <w:rFonts w:ascii="Times New Roman" w:hAnsi="Times New Roman"/>
          <w:b w:val="false"/>
          <w:i w:val="false"/>
          <w:color w:val="000000"/>
          <w:sz w:val="22"/>
        </w:rPr>
        <w:t>47 CFR §54.314</w:t>
      </w:r>
      <w:r>
        <w:rPr>
          <w:rFonts w:ascii="Times New Roman" w:hAnsi="Times New Roman"/>
          <w:b w:val="false"/>
          <w:i w:val="false"/>
          <w:color w:val="000000"/>
          <w:sz w:val="22"/>
        </w:rPr>
        <w:t xml:space="preserve"> that the ETC has used and will use the support for the purposes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The affidavit certifying compliance shall be filed using the commission’s electronic filing system in accordance with </w:t>
      </w:r>
      <w:hyperlink r:id="rId1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“Annual Eligible Telecommunications Carrier Reporting Requirements,” with a reference to the year for which the report is filed. The document title for the affidavit certifying compliance shall be “Carrier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199—39.8</w:t>
      </w:r>
      <w:r>
        <w:rPr>
          <w:rFonts w:ascii="Times New Roman" w:hAnsi="Times New Roman"/>
          <w:b/>
          <w:i w:val="false"/>
          <w:color w:val="000000"/>
          <w:sz w:val="22"/>
        </w:rPr>
        <w:t xml:space="preserve">(476) </w:t>
      </w:r>
      <w:r>
        <w:rPr>
          <w:rFonts w:ascii="Times New Roman" w:hAnsi="Times New Roman"/>
          <w:b/>
          <w:i w:val="false"/>
          <w:color w:val="000000"/>
          <w:sz w:val="22"/>
        </w:rPr>
        <w:t xml:space="preserve">Relinquishment of ETC designation. </w:t>
      </w:r>
      <w:r>
        <w:rPr>
          <w:rFonts w:ascii="Times New Roman" w:hAnsi="Times New Roman"/>
          <w:b w:val="false"/>
          <w:i w:val="false"/>
          <w:color w:val="000000"/>
          <w:sz w:val="22"/>
        </w:rPr>
        <w:t>The commission may permit an ETC to relinquish its designation as such a carrier in any area served by more than one ETC. An ETC that seeks to relinquish its designation for an area served by more than one ETC shall give 30 days’ advance notice to the commission of such relinquishment. A carrier that is granted ETC status in connection with a federal universal support program but that ultimately does not receive the support shall, within 30 days after the FCC issues a public notice regarding the award of support, file a notice of relinquishment of the carrier’s designation for any service areas where the carrier is not awarded funds and does not plan to offer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47 U.S.C. §214(e) and 254.</w:t>
      </w:r>
    </w:p>
    <w:p>
      <w:pPr>
        <w:spacing w:before="0" w:after="0"/>
        <w:ind w:left="120"/>
        <w:jc w:val="center"/>
      </w:pPr>
      <w:r>
        <w:rPr>
          <w:rFonts w:ascii="Times New Roman" w:hAnsi="Times New Roman"/>
          <w:b w:val="false"/>
          <w:i w:val="false"/>
          <w:color w:val="000000"/>
          <w:sz w:val="21"/>
        </w:rPr>
        <w:t>[Filed emergency 9/5/97—published 9/24/97, effective 9/5/97]</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1/8/98, Notice 9/24/97—published 1/28/98, effective 3/4/98]</w:t>
      </w:r>
    </w:p>
    <w:p>
      <w:pPr>
        <w:spacing w:before="0" w:after="0"/>
        <w:ind w:left="120"/>
        <w:jc w:val="center"/>
      </w:pPr>
      <w:r>
        <w:rPr>
          <w:rFonts w:ascii="Times New Roman" w:hAnsi="Times New Roman"/>
          <w:b w:val="false"/>
          <w:i w:val="false"/>
          <w:color w:val="000000"/>
          <w:sz w:val="21"/>
        </w:rPr>
        <w:t>[Filed emergency 12/19/01—published 1/9/02, effective 12/19/01]</w:t>
      </w:r>
    </w:p>
    <w:p>
      <w:pPr>
        <w:spacing w:before="0" w:after="0"/>
        <w:ind w:left="120"/>
        <w:jc w:val="center"/>
      </w:pPr>
      <w:r>
        <w:rPr>
          <w:rFonts w:ascii="Times New Roman" w:hAnsi="Times New Roman"/>
          <w:b w:val="false"/>
          <w:i w:val="false"/>
          <w:color w:val="000000"/>
          <w:sz w:val="21"/>
        </w:rPr>
        <w:t>[Filed 6/4/04, Notice 9/17/03—published 6/23/04, effective 7/28/04]</w:t>
      </w:r>
    </w:p>
    <w:p>
      <w:pPr>
        <w:spacing w:before="0" w:after="0"/>
        <w:ind w:left="120"/>
        <w:jc w:val="center"/>
      </w:pPr>
      <w:r>
        <w:rPr>
          <w:rFonts w:ascii="Times New Roman" w:hAnsi="Times New Roman"/>
          <w:b w:val="false"/>
          <w:i w:val="false"/>
          <w:color w:val="000000"/>
          <w:sz w:val="21"/>
        </w:rPr>
        <w:t>[Filed emergency 8/27/04—published 9/15/04, effective 8/27/04]</w:t>
      </w:r>
    </w:p>
    <w:p>
      <w:pPr>
        <w:spacing w:before="0" w:after="0"/>
        <w:ind w:left="120"/>
        <w:jc w:val="center"/>
      </w:pPr>
      <w:r>
        <w:rPr>
          <w:rFonts w:ascii="Times New Roman" w:hAnsi="Times New Roman"/>
          <w:b w:val="false"/>
          <w:i w:val="false"/>
          <w:color w:val="000000"/>
          <w:sz w:val="21"/>
        </w:rPr>
        <w:t>[Filed 4/22/05, Notice 3/2/05—published 5/11/05, effective 6/15/05]</w:t>
      </w:r>
    </w:p>
    <w:p>
      <w:pPr>
        <w:spacing w:before="0" w:after="0"/>
        <w:ind w:left="120"/>
        <w:jc w:val="center"/>
      </w:pPr>
      <w:r>
        <w:rPr>
          <w:rFonts w:ascii="Times New Roman" w:hAnsi="Times New Roman"/>
          <w:b w:val="false"/>
          <w:i w:val="false"/>
          <w:color w:val="000000"/>
          <w:sz w:val="21"/>
        </w:rPr>
        <w:t>[Filed 10/21/05, Notice 3/16/05—published 11/9/05, effective 12/14/05]</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4254C</w:t>
      </w:r>
      <w:r>
        <w:rPr>
          <w:rFonts w:ascii="Times New Roman" w:hAnsi="Times New Roman"/>
          <w:b w:val="false"/>
          <w:i w:val="false"/>
          <w:color w:val="000000"/>
          <w:sz w:val="21"/>
        </w:rPr>
        <w:t xml:space="preserve"> (Notice ARC 3753C, IAB 4/25/18)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8999C</w:t>
      </w:r>
      <w:r>
        <w:rPr>
          <w:rFonts w:ascii="Times New Roman" w:hAnsi="Times New Roman"/>
          <w:b w:val="false"/>
          <w:i w:val="false"/>
          <w:color w:val="000000"/>
          <w:sz w:val="21"/>
        </w:rPr>
        <w:t xml:space="preserve"> (Notice ARC 8277C, IAB 10/30/24)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476.2.pdf" Type="http://schemas.openxmlformats.org/officeDocument/2006/relationships/hyperlink" Id="rId6"/>
    <Relationship TargetMode="External" Target="https://www.legis.iowa.gov/docs/ico/chapter/476.15.pdf" Type="http://schemas.openxmlformats.org/officeDocument/2006/relationships/hyperlink" Id="rId7"/>
    <Relationship TargetMode="External" Target="https://www.legis.iowa.gov/docs/ico/chapter/476.102.pdf" Type="http://schemas.openxmlformats.org/officeDocument/2006/relationships/hyperlink" Id="rId8"/>
    <Relationship TargetMode="External" Target="https://www.legis.iowa.gov/docs/iac/chapter/199.1.pdf" Type="http://schemas.openxmlformats.org/officeDocument/2006/relationships/hyperlink" Id="rId9"/>
    <Relationship TargetMode="External" Target="https://www.legis.iowa.gov/docs/ico/chapter/477C.7.pdf" Type="http://schemas.openxmlformats.org/officeDocument/2006/relationships/hyperlink" Id="rId10"/>
    <Relationship TargetMode="External" Target="https://www.legis.iowa.gov/docs/iac/chapter/199.6.pdf" Type="http://schemas.openxmlformats.org/officeDocument/2006/relationships/hyperlink" Id="rId11"/>
    <Relationship TargetMode="External" Target="https://www.legis.iowa.gov/docs/iac/rule/199.39.3.pdf" Type="http://schemas.openxmlformats.org/officeDocument/2006/relationships/hyperlink" Id="rId12"/>
    <Relationship TargetMode="External" Target="https://www.legis.iowa.gov/docs/iac/rule/199.39.8.pdf" Type="http://schemas.openxmlformats.org/officeDocument/2006/relationships/hyperlink" Id="rId13"/>
    <Relationship TargetMode="External" Target="https://www.legis.iowa.gov/docs/iac/rule/199.39.8.pdf" Type="http://schemas.openxmlformats.org/officeDocument/2006/relationships/hyperlink" Id="rId14"/>
    <Relationship TargetMode="External" Target="https://www.legis.iowa.gov/docs/iac/rule/199.39.3.pdf" Type="http://schemas.openxmlformats.org/officeDocument/2006/relationships/hyperlink" Id="rId15"/>
    <Relationship TargetMode="External" Target="https://www.legis.iowa.gov/docs/iac/rule/199.39.3.pdf" Type="http://schemas.openxmlformats.org/officeDocument/2006/relationships/hyperlink" Id="rId16"/>
    <Relationship TargetMode="External" Target="https://www.legis.iowa.gov/docs/iac/rule/199.39.3.pdf" Type="http://schemas.openxmlformats.org/officeDocument/2006/relationships/hyperlink" Id="rId17"/>
    <Relationship TargetMode="External" Target="https://www.legis.iowa.gov/docs/iac/rule/199.39.3.pdf" Type="http://schemas.openxmlformats.org/officeDocument/2006/relationships/hyperlink" Id="rId18"/>
    <Relationship TargetMode="External" Target="https://www.legis.iowa.gov/docs/iac/chapter/199.14.pdf" Type="http://schemas.openxmlformats.org/officeDocument/2006/relationships/hyperlink" Id="rId19"/>
    <Relationship TargetMode="External" Target="https://www.legis.iowa.gov/docs/ico/chapter/476.2.pdf" Type="http://schemas.openxmlformats.org/officeDocument/2006/relationships/hyperlink" Id="rId20"/>
    <Relationship TargetMode="External" Target="https://www.legis.iowa.gov/docs/ico/chapter/476.95B.pdf" Type="http://schemas.openxmlformats.org/officeDocument/2006/relationships/hyperlink" Id="rId21"/>
    <Relationship TargetMode="External" Target="https://www.legis.iowa.gov/docs/ico/chapter/476.102.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