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38</w:t>
      </w:r>
    </w:p>
    <w:p>
      <w:pPr>
        <w:spacing w:before="0" w:after="0"/>
        <w:ind w:left="120"/>
        <w:jc w:val="center"/>
      </w:pPr>
      <w:r>
        <w:rPr>
          <w:rFonts w:ascii="Times New Roman" w:hAnsi="Times New Roman"/>
          <w:b w:val="false"/>
          <w:i w:val="false"/>
          <w:color w:val="000000"/>
          <w:sz w:val="21"/>
        </w:rPr>
        <w:t>LOCAL EXCHANGE COMPETITION</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4/9/30</w:t>
      </w:r>
    </w:p>
    <w:p>
      <w:pPr>
        <w:spacing w:before="0" w:after="0"/>
        <w:ind w:left="120"/>
        <w:jc w:val="both"/>
      </w:pPr>
      <w:r>
        <w:rPr>
          <w:rFonts w:ascii="Times New Roman" w:hAnsi="Times New Roman"/>
          <w:b/>
          <w:i w:val="false"/>
          <w:color w:val="000000"/>
          <w:sz w:val="22"/>
        </w:rPr>
        <w:t>199—38.1</w:t>
      </w:r>
      <w:r>
        <w:rPr>
          <w:rFonts w:ascii="Times New Roman" w:hAnsi="Times New Roman"/>
          <w:b/>
          <w:i w:val="false"/>
          <w:color w:val="000000"/>
          <w:sz w:val="22"/>
        </w:rPr>
        <w:t xml:space="preserve">(476) </w:t>
      </w:r>
      <w:r>
        <w:rPr>
          <w:rFonts w:ascii="Times New Roman" w:hAnsi="Times New Roman"/>
          <w:b/>
          <w:i w:val="false"/>
          <w:color w:val="000000"/>
          <w:sz w:val="22"/>
        </w:rPr>
        <w:t xml:space="preserve">General information.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38.1(1)</w:t>
      </w:r>
      <w:r>
        <w:rPr>
          <w:rFonts w:ascii="Times New Roman" w:hAnsi="Times New Roman"/>
          <w:b w:val="false"/>
          <w:i w:val="false"/>
          <w:color w:val="000000"/>
          <w:sz w:val="22"/>
        </w:rPr>
        <w:t> </w:t>
      </w:r>
      <w:r>
        <w:rPr>
          <w:rFonts w:ascii="Times New Roman" w:hAnsi="Times New Roman"/>
          <w:b w:val="false"/>
          <w:i/>
          <w:color w:val="000000"/>
          <w:sz w:val="22"/>
        </w:rPr>
        <w:t xml:space="preserve">Application and purpose of rules. </w:t>
      </w:r>
      <w:r>
        <w:rPr>
          <w:rFonts w:ascii="Times New Roman" w:hAnsi="Times New Roman"/>
          <w:b w:val="false"/>
          <w:i w:val="false"/>
          <w:color w:val="000000"/>
          <w:sz w:val="22"/>
        </w:rPr>
        <w:t>This chapter applies to local exchange carriers. The purpose of these rules is to further the development of competition in the local exchange services market.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38.1(2)</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For the administration and interpretation of this chapter, the following words and terms have the meaning indicated below, unless the context indicates otherwise: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“Act” </w:t>
      </w:r>
      <w:r>
        <w:rPr>
          <w:rFonts w:ascii="Times New Roman" w:hAnsi="Times New Roman"/>
          <w:b w:val="false"/>
          <w:i w:val="false"/>
          <w:color w:val="000000"/>
          <w:sz w:val="22"/>
        </w:rPr>
        <w:t>means the Telecommunications Act of 1996, effective April 9, 2025.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“Arbitration” </w:t>
      </w:r>
      <w:r>
        <w:rPr>
          <w:rFonts w:ascii="Times New Roman" w:hAnsi="Times New Roman"/>
          <w:b w:val="false"/>
          <w:i w:val="false"/>
          <w:color w:val="000000"/>
          <w:sz w:val="22"/>
        </w:rPr>
        <w:t>means the investigative process whereby a dispute is submitted to the commission for resolution.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“Bona fide request” </w:t>
      </w:r>
      <w:r>
        <w:rPr>
          <w:rFonts w:ascii="Times New Roman" w:hAnsi="Times New Roman"/>
          <w:b w:val="false"/>
          <w:i w:val="false"/>
          <w:color w:val="000000"/>
          <w:sz w:val="22"/>
        </w:rPr>
        <w:t>means a request to a local exchange carrier that demonstrates a good faith showing that the requesting party intends to purchase the services requested within six months of the date of the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“Competitive local exchange carrier” </w:t>
      </w:r>
      <w:r>
        <w:rPr>
          <w:rFonts w:ascii="Times New Roman" w:hAnsi="Times New Roman"/>
          <w:b w:val="false"/>
          <w:i w:val="false"/>
          <w:color w:val="000000"/>
          <w:sz w:val="22"/>
        </w:rPr>
        <w:t>means any local exchange carrier that is not an incumbent local exchange carrier.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“Incumbent local exchange carrier” </w:t>
      </w:r>
      <w:r>
        <w:rPr>
          <w:rFonts w:ascii="Times New Roman" w:hAnsi="Times New Roman"/>
          <w:b w:val="false"/>
          <w:i w:val="false"/>
          <w:color w:val="000000"/>
          <w:sz w:val="22"/>
        </w:rPr>
        <w:t>means a local exchange carrier, or its successor, that was the historical provider of local exchange service pursuant to an authorized certificate of public convenience and necessity within a specific geographic area described in maps filed with and approved by the commission as of September 30, 1992.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“Local exchange carrier” </w:t>
      </w:r>
      <w:r>
        <w:rPr>
          <w:rFonts w:ascii="Times New Roman" w:hAnsi="Times New Roman"/>
          <w:b w:val="false"/>
          <w:i w:val="false"/>
          <w:color w:val="000000"/>
          <w:sz w:val="22"/>
        </w:rPr>
        <w:t xml:space="preserve">means the same as defined at </w:t>
      </w:r>
      <w:hyperlink r:id="rId5">
        <w:r>
          <w:rPr>
            <w:rStyle w:val="Hyperlink"/>
            <w:rFonts w:ascii="Times New Roman" w:hAnsi="Times New Roman"/>
            <w:b w:val="false"/>
            <w:i w:val="false"/>
            <w:color w:val="000000"/>
            <w:sz w:val="22"/>
          </w:rPr>
          <w:t>199—Chapter 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“Mediation” </w:t>
      </w:r>
      <w:r>
        <w:rPr>
          <w:rFonts w:ascii="Times New Roman" w:hAnsi="Times New Roman"/>
          <w:b w:val="false"/>
          <w:i w:val="false"/>
          <w:color w:val="000000"/>
          <w:sz w:val="22"/>
        </w:rPr>
        <w:t>means the process in which a neutral party assists the parties in reaching their own settlement but does not have the authority to make a binding decision.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8998C</w:t>
      </w:r>
      <w:r>
        <w:rPr>
          <w:rFonts w:ascii="Times New Roman" w:hAnsi="Times New Roman"/>
          <w:b w:val="false"/>
          <w:i w:val="false"/>
          <w:color w:val="000000"/>
          <w:sz w:val="16"/>
        </w:rPr>
        <w:t>, IAB 3/5/25, effective 4/9/25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199—38.2</w:t>
      </w:r>
      <w:r>
        <w:rPr>
          <w:rFonts w:ascii="Times New Roman" w:hAnsi="Times New Roman"/>
          <w:b/>
          <w:i w:val="false"/>
          <w:color w:val="000000"/>
          <w:sz w:val="22"/>
        </w:rPr>
        <w:t xml:space="preserve">(476) </w:t>
      </w:r>
      <w:r>
        <w:rPr>
          <w:rFonts w:ascii="Times New Roman" w:hAnsi="Times New Roman"/>
          <w:b/>
          <w:i w:val="false"/>
          <w:color w:val="000000"/>
          <w:sz w:val="22"/>
        </w:rPr>
        <w:t xml:space="preserve">Interconnection requirements. </w:t>
      </w:r>
      <w:r>
        <w:rPr>
          <w:rFonts w:ascii="Times New Roman" w:hAnsi="Times New Roman"/>
          <w:b w:val="false"/>
          <w:i w:val="false"/>
          <w:color w:val="000000"/>
          <w:sz w:val="22"/>
        </w:rPr>
        <w:t>A local exchange carrier that originates local telecommunications traffic and desires to terminate that traffic on the network of another local exchange carrier may choose the point(s) of interconnection between the two networks for the exchange of that originating local telecommunications traffic at any technically feasible point within the terminating carrier’s network. Interconnection must be equal in quality to that provided by the local exchange carrier to itself, any affiliate, or any other party to which the local exchange carrier provides interconnection. Interconnection must be on rates, terms, and conditions that are just, reasonable, and nondiscriminatory.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8998C</w:t>
      </w:r>
      <w:r>
        <w:rPr>
          <w:rFonts w:ascii="Times New Roman" w:hAnsi="Times New Roman"/>
          <w:b w:val="false"/>
          <w:i w:val="false"/>
          <w:color w:val="000000"/>
          <w:sz w:val="16"/>
        </w:rPr>
        <w:t>, IAB 3/5/25, effective 4/9/25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199—38.3</w:t>
      </w:r>
      <w:r>
        <w:rPr>
          <w:rFonts w:ascii="Times New Roman" w:hAnsi="Times New Roman"/>
          <w:b/>
          <w:i w:val="false"/>
          <w:color w:val="000000"/>
          <w:sz w:val="22"/>
        </w:rPr>
        <w:t xml:space="preserve">(476) </w:t>
      </w:r>
      <w:r>
        <w:rPr>
          <w:rFonts w:ascii="Times New Roman" w:hAnsi="Times New Roman"/>
          <w:b/>
          <w:i w:val="false"/>
          <w:color w:val="000000"/>
          <w:sz w:val="22"/>
        </w:rPr>
        <w:t xml:space="preserve">Unbundled facilities, services, features, functions, and capabilities.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38.3(1)</w:t>
      </w:r>
      <w:r>
        <w:rPr>
          <w:rFonts w:ascii="Times New Roman" w:hAnsi="Times New Roman"/>
          <w:b w:val="false"/>
          <w:i w:val="false"/>
          <w:color w:val="000000"/>
          <w:sz w:val="22"/>
        </w:rPr>
        <w:t> </w:t>
      </w:r>
      <w:r>
        <w:rPr>
          <w:rFonts w:ascii="Times New Roman" w:hAnsi="Times New Roman"/>
          <w:b w:val="false"/>
          <w:i/>
          <w:color w:val="000000"/>
          <w:sz w:val="22"/>
        </w:rPr>
        <w:t xml:space="preserve">Tariff filings.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Filing schedule. </w:t>
      </w:r>
      <w:r>
        <w:rPr>
          <w:rFonts w:ascii="Times New Roman" w:hAnsi="Times New Roman"/>
          <w:b w:val="false"/>
          <w:i w:val="false"/>
          <w:color w:val="000000"/>
          <w:sz w:val="22"/>
        </w:rPr>
        <w:t xml:space="preserve">Each incumbent local exchange carrier shall file tariffs implementing unbundling for the facilities enumerated in paragraph </w:t>
      </w:r>
      <w:hyperlink r:id="rId6">
        <w:r>
          <w:rPr>
            <w:rStyle w:val="Hyperlink"/>
            <w:rFonts w:ascii="Times New Roman" w:hAnsi="Times New Roman"/>
            <w:b w:val="false"/>
            <w:i w:val="false"/>
            <w:color w:val="000000"/>
            <w:sz w:val="22"/>
          </w:rPr>
          <w:t>38.3(1)</w:t>
        </w:r>
      </w:hyperlink>
      <w:r>
        <w:rPr>
          <w:rFonts w:ascii="Times New Roman" w:hAnsi="Times New Roman"/>
          <w:b w:val="false"/>
          <w:i/>
          <w:color w:val="000000"/>
          <w:sz w:val="22"/>
        </w:rPr>
        <w:t>“b.”</w:t>
      </w:r>
      <w:r>
        <w:rPr>
          <w:rFonts w:ascii="Times New Roman" w:hAnsi="Times New Roman"/>
          <w:b w:val="false"/>
          <w:i w:val="false"/>
          <w:color w:val="000000"/>
          <w:sz w:val="22"/>
        </w:rPr>
        <w:t xml:space="preserve"> The obligation to file a tariff does not apply to a rural telephone company until the conditions specified in </w:t>
      </w:r>
      <w:r>
        <w:rPr>
          <w:rFonts w:ascii="Times New Roman" w:hAnsi="Times New Roman"/>
          <w:b w:val="false"/>
          <w:i w:val="false"/>
          <w:color w:val="000000"/>
          <w:sz w:val="22"/>
        </w:rPr>
        <w:t>47 U.S.C.</w:t>
      </w:r>
      <w:r>
        <w:rPr>
          <w:rFonts w:ascii="Times New Roman" w:hAnsi="Times New Roman"/>
          <w:b w:val="false"/>
          <w:i w:val="false"/>
          <w:color w:val="000000"/>
          <w:sz w:val="22"/>
        </w:rPr>
        <w:t xml:space="preserve"> Section 251(f)(1), effective April 9, 2025, have been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List of unbundled essential facilities. </w:t>
      </w:r>
      <w:r>
        <w:rPr>
          <w:rFonts w:ascii="Times New Roman" w:hAnsi="Times New Roman"/>
          <w:b w:val="false"/>
          <w:i w:val="false"/>
          <w:color w:val="000000"/>
          <w:sz w:val="22"/>
        </w:rPr>
        <w:t xml:space="preserve">Each incumbent local exchange carrier’s tariff filing shall, at a minimum, unbundle the following essential facilities, services, features, functions, and capabilities: loops, ports, signaling links, signal transfer points, facilities to interconnect unbundled links at the central office, interoffice transmission facilities, listings in the directory assistance database, inbound operator services including busy-line verification and call interrupt, interconnection to the 911 system, and interconnection to the tandem switch for routing to other carriers.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38.3(2)</w:t>
      </w:r>
      <w:r>
        <w:rPr>
          <w:rFonts w:ascii="Times New Roman" w:hAnsi="Times New Roman"/>
          <w:b w:val="false"/>
          <w:i w:val="false"/>
          <w:color w:val="000000"/>
          <w:sz w:val="22"/>
        </w:rPr>
        <w:t> </w:t>
      </w:r>
      <w:r>
        <w:rPr>
          <w:rFonts w:ascii="Times New Roman" w:hAnsi="Times New Roman"/>
          <w:b w:val="false"/>
          <w:i/>
          <w:color w:val="000000"/>
          <w:sz w:val="22"/>
        </w:rPr>
        <w:t xml:space="preserve">Requests for unbundled facilities. </w:t>
      </w:r>
      <w:r>
        <w:rPr>
          <w:rFonts w:ascii="Times New Roman" w:hAnsi="Times New Roman"/>
          <w:b w:val="false"/>
          <w:i w:val="false"/>
          <w:color w:val="000000"/>
          <w:sz w:val="22"/>
        </w:rPr>
        <w:t xml:space="preserve">Except as allowed in subrule </w:t>
      </w:r>
      <w:hyperlink r:id="rId7">
        <w:r>
          <w:rPr>
            <w:rStyle w:val="Hyperlink"/>
            <w:rFonts w:ascii="Times New Roman" w:hAnsi="Times New Roman"/>
            <w:b w:val="false"/>
            <w:i w:val="false"/>
            <w:color w:val="000000"/>
            <w:sz w:val="22"/>
          </w:rPr>
          <w:t>38.3(3)</w:t>
        </w:r>
      </w:hyperlink>
      <w:r>
        <w:rPr>
          <w:rFonts w:ascii="Times New Roman" w:hAnsi="Times New Roman"/>
          <w:b w:val="false"/>
          <w:i w:val="false"/>
          <w:color w:val="000000"/>
          <w:sz w:val="22"/>
        </w:rPr>
        <w:t>, requests to unbundle facilities, services, features, functions, and capabilities shall be processed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competitive local exchange carrier may make a bona fide request of an incumbent local exchange carrier to make additional unbundled essential facilities available. After receiving a request for additional unbundled essential facilities, the incumbent local exchange carrier shall respond within 30 days of the request either by agreeing to the request or by denying the request. If the incumbent local exchange carrier agrees to fulfill the request, the carrier shall file a tariff unbundling the essential facility within 60 days of the initial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incumbent local exchange carrier denies the request, a competitive local exchange carrier may petition the commission to classify the requested facility as essential, as defined by Iowa Code section </w:t>
      </w:r>
      <w:hyperlink r:id="rId8">
        <w:r>
          <w:rPr>
            <w:rStyle w:val="Hyperlink"/>
            <w:rFonts w:ascii="Times New Roman" w:hAnsi="Times New Roman"/>
            <w:b w:val="false"/>
            <w:i w:val="false"/>
            <w:color w:val="000000"/>
            <w:sz w:val="22"/>
          </w:rPr>
          <w:t>476.100(2)</w:t>
        </w:r>
      </w:hyperlink>
      <w:r>
        <w:rPr>
          <w:rFonts w:ascii="Times New Roman" w:hAnsi="Times New Roman"/>
          <w:b w:val="false"/>
          <w:i w:val="false"/>
          <w:color w:val="000000"/>
          <w:sz w:val="22"/>
        </w:rPr>
        <w:t xml:space="preserve">, and to require the incumbent local exchange carrier to make the requested facility available on an unbundled basis by filing a tariff. In such a petition, the competitive local exchange carrier shall provide information to the commission showing how the requested facility meets the definition of essential facility found in Iowa Code section </w:t>
      </w:r>
      <w:hyperlink r:id="rId9">
        <w:r>
          <w:rPr>
            <w:rStyle w:val="Hyperlink"/>
            <w:rFonts w:ascii="Times New Roman" w:hAnsi="Times New Roman"/>
            <w:b w:val="false"/>
            <w:i w:val="false"/>
            <w:color w:val="000000"/>
            <w:sz w:val="22"/>
          </w:rPr>
          <w:t>476.100(2)</w:t>
        </w:r>
      </w:hyperlink>
      <w:r>
        <w:rPr>
          <w:rFonts w:ascii="Times New Roman" w:hAnsi="Times New Roman"/>
          <w:b w:val="false"/>
          <w:i w:val="false"/>
          <w:color w:val="000000"/>
          <w:sz w:val="22"/>
        </w:rPr>
        <w:t>. The petitioning party under this subrule may state a preference for proceeding by rulemaking or contested case, but the commission will select the process to be used.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38.3(3)</w:t>
      </w:r>
      <w:r>
        <w:rPr>
          <w:rFonts w:ascii="Times New Roman" w:hAnsi="Times New Roman"/>
          <w:b w:val="false"/>
          <w:i w:val="false"/>
          <w:color w:val="000000"/>
          <w:sz w:val="22"/>
        </w:rPr>
        <w:t> </w:t>
      </w:r>
      <w:r>
        <w:rPr>
          <w:rFonts w:ascii="Times New Roman" w:hAnsi="Times New Roman"/>
          <w:b w:val="false"/>
          <w:i/>
          <w:color w:val="000000"/>
          <w:sz w:val="22"/>
        </w:rPr>
        <w:t xml:space="preserve">Alternative procedures. </w:t>
      </w:r>
      <w:r>
        <w:rPr>
          <w:rFonts w:ascii="Times New Roman" w:hAnsi="Times New Roman"/>
          <w:b w:val="false"/>
          <w:i w:val="false"/>
          <w:color w:val="000000"/>
          <w:sz w:val="22"/>
        </w:rPr>
        <w:t xml:space="preserve">As an alternative to the procedures in subrule </w:t>
      </w:r>
      <w:hyperlink r:id="rId10">
        <w:r>
          <w:rPr>
            <w:rStyle w:val="Hyperlink"/>
            <w:rFonts w:ascii="Times New Roman" w:hAnsi="Times New Roman"/>
            <w:b w:val="false"/>
            <w:i w:val="false"/>
            <w:color w:val="000000"/>
            <w:sz w:val="22"/>
          </w:rPr>
          <w:t>38.3(2)</w:t>
        </w:r>
      </w:hyperlink>
      <w:r>
        <w:rPr>
          <w:rFonts w:ascii="Times New Roman" w:hAnsi="Times New Roman"/>
          <w:b w:val="false"/>
          <w:i w:val="false"/>
          <w:color w:val="000000"/>
          <w:sz w:val="22"/>
        </w:rPr>
        <w:t xml:space="preserve">, a competitive local exchange carrier may elect the negotiation, mediation, and arbitration procedures available under </w:t>
      </w:r>
      <w:r>
        <w:rPr>
          <w:rFonts w:ascii="Times New Roman" w:hAnsi="Times New Roman"/>
          <w:b w:val="false"/>
          <w:i w:val="false"/>
          <w:color w:val="000000"/>
          <w:sz w:val="22"/>
        </w:rPr>
        <w:t>47 U.S.C.</w:t>
      </w:r>
      <w:r>
        <w:rPr>
          <w:rFonts w:ascii="Times New Roman" w:hAnsi="Times New Roman"/>
          <w:b w:val="false"/>
          <w:i w:val="false"/>
          <w:color w:val="000000"/>
          <w:sz w:val="22"/>
        </w:rPr>
        <w:t xml:space="preserve"> Section 252, effective April 9, 2025, by notifying the incumbent local exchange carrier and the commission in writing at the time additional unbundled facilities are requested.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38.3(4)</w:t>
      </w:r>
      <w:r>
        <w:rPr>
          <w:rFonts w:ascii="Times New Roman" w:hAnsi="Times New Roman"/>
          <w:b w:val="false"/>
          <w:i w:val="false"/>
          <w:color w:val="000000"/>
          <w:sz w:val="22"/>
        </w:rPr>
        <w:t> </w:t>
      </w:r>
      <w:r>
        <w:rPr>
          <w:rFonts w:ascii="Times New Roman" w:hAnsi="Times New Roman"/>
          <w:b w:val="false"/>
          <w:i/>
          <w:color w:val="000000"/>
          <w:sz w:val="22"/>
        </w:rPr>
        <w:t xml:space="preserve">Reclassifying essential facilities. </w:t>
      </w:r>
      <w:r>
        <w:rPr>
          <w:rFonts w:ascii="Times New Roman" w:hAnsi="Times New Roman"/>
          <w:b w:val="false"/>
          <w:i w:val="false"/>
          <w:color w:val="000000"/>
          <w:sz w:val="22"/>
        </w:rPr>
        <w:t xml:space="preserve">An incumbent local exchange carrier may, at any time, petition the commission with a request to reclassify a facility classified as essential. With its petition, the incumbent local exchange carrier shall provide information to the commission showing why the facility no longer meets the definition of essential found in Iowa Code section </w:t>
      </w:r>
      <w:hyperlink r:id="rId11">
        <w:r>
          <w:rPr>
            <w:rStyle w:val="Hyperlink"/>
            <w:rFonts w:ascii="Times New Roman" w:hAnsi="Times New Roman"/>
            <w:b w:val="false"/>
            <w:i w:val="false"/>
            <w:color w:val="000000"/>
            <w:sz w:val="22"/>
          </w:rPr>
          <w:t>476.100(2)</w:t>
        </w:r>
      </w:hyperlink>
      <w:r>
        <w:rPr>
          <w:rFonts w:ascii="Times New Roman" w:hAnsi="Times New Roman"/>
          <w:b w:val="false"/>
          <w:i w:val="false"/>
          <w:color w:val="000000"/>
          <w:sz w:val="22"/>
        </w:rPr>
        <w:t>. The commission will determine the procedure to be used in reviewing the petition.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38.3(5)</w:t>
      </w:r>
      <w:r>
        <w:rPr>
          <w:rFonts w:ascii="Times New Roman" w:hAnsi="Times New Roman"/>
          <w:b w:val="false"/>
          <w:i w:val="false"/>
          <w:color w:val="000000"/>
          <w:sz w:val="22"/>
        </w:rPr>
        <w:t> </w:t>
      </w:r>
      <w:r>
        <w:rPr>
          <w:rFonts w:ascii="Times New Roman" w:hAnsi="Times New Roman"/>
          <w:b w:val="false"/>
          <w:i/>
          <w:color w:val="000000"/>
          <w:sz w:val="22"/>
        </w:rPr>
        <w:t xml:space="preserve">Interconnection to essential facilities. </w:t>
      </w:r>
      <w:r>
        <w:rPr>
          <w:rFonts w:ascii="Times New Roman" w:hAnsi="Times New Roman"/>
          <w:b w:val="false"/>
          <w:i w:val="false"/>
          <w:color w:val="000000"/>
          <w:sz w:val="22"/>
        </w:rPr>
        <w:t>The terms and conditions under which competitive local exchange carriers shall be able to interconnect with an incumbent local exchange carrier’s unbundled facilities shall be technically and economically equivalent to those under which the incumbent local exchange carrier provides those facilities to itself or its affiliates. If it believes such terms and conditions are not technically or economically feasible, the incumbent local exchange carrier may petition the commission for a waiver of this provision.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8998C</w:t>
      </w:r>
      <w:r>
        <w:rPr>
          <w:rFonts w:ascii="Times New Roman" w:hAnsi="Times New Roman"/>
          <w:b w:val="false"/>
          <w:i w:val="false"/>
          <w:color w:val="000000"/>
          <w:sz w:val="16"/>
        </w:rPr>
        <w:t>, IAB 3/5/25, effective 4/9/25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199—38.4</w:t>
      </w:r>
      <w:r>
        <w:rPr>
          <w:rFonts w:ascii="Times New Roman" w:hAnsi="Times New Roman"/>
          <w:b/>
          <w:i w:val="false"/>
          <w:color w:val="000000"/>
          <w:sz w:val="22"/>
        </w:rPr>
        <w:t xml:space="preserve">(476) </w:t>
      </w:r>
      <w:r>
        <w:rPr>
          <w:rFonts w:ascii="Times New Roman" w:hAnsi="Times New Roman"/>
          <w:b/>
          <w:i w:val="false"/>
          <w:color w:val="000000"/>
          <w:sz w:val="22"/>
        </w:rPr>
        <w:t xml:space="preserve">Terminating access charge complaints. </w:t>
      </w:r>
      <w:r>
        <w:rPr>
          <w:rFonts w:ascii="Times New Roman" w:hAnsi="Times New Roman"/>
          <w:b w:val="false"/>
          <w:i w:val="false"/>
          <w:color w:val="000000"/>
          <w:sz w:val="22"/>
        </w:rPr>
        <w:t>No local exchange carrier shall deliver traffic to another local exchange carrier as local service or extended area service terminating traffic if the terminating traffic is long distance or some other type of traffic for which terminating switched access charges would otherwise have been payable. Any local exchange carrier may bring a complaint to the commission if another local exchange carrier has violated this requirement or taken insufficient measures to determine whether switched access charges would otherwise have been payable. The commission may order payment or refund of compensation withheld from or received by a local exchange carrier in violation of this rule, with appropriate interest or tariffed late payment penalties.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8998C</w:t>
      </w:r>
      <w:r>
        <w:rPr>
          <w:rFonts w:ascii="Times New Roman" w:hAnsi="Times New Roman"/>
          <w:b w:val="false"/>
          <w:i w:val="false"/>
          <w:color w:val="000000"/>
          <w:sz w:val="16"/>
        </w:rPr>
        <w:t>, IAB 3/5/25, effective 4/9/25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199—38.5</w:t>
      </w:r>
      <w:r>
        <w:rPr>
          <w:rFonts w:ascii="Times New Roman" w:hAnsi="Times New Roman"/>
          <w:b/>
          <w:i w:val="false"/>
          <w:color w:val="000000"/>
          <w:sz w:val="22"/>
        </w:rPr>
        <w:t xml:space="preserve">(476) </w:t>
      </w:r>
      <w:r>
        <w:rPr>
          <w:rFonts w:ascii="Times New Roman" w:hAnsi="Times New Roman"/>
          <w:b/>
          <w:i w:val="false"/>
          <w:color w:val="000000"/>
          <w:sz w:val="22"/>
        </w:rPr>
        <w:t xml:space="preserve">Mediation and arbitration. </w:t>
      </w:r>
      <w:r>
        <w:rPr>
          <w:rFonts w:ascii="Times New Roman" w:hAnsi="Times New Roman"/>
          <w:b w:val="false"/>
          <w:i w:val="false"/>
          <w:color w:val="000000"/>
          <w:sz w:val="22"/>
        </w:rPr>
        <w:t>This rule applies to all local exchange carriers, except for rural telephone companies as defined in Section 3(47) of the Telecommunications Act of 1996. The commission may make all or part of this rule applicable to a rural telephone company or companies in proceedings relating to Section 251(f) of the 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38.5(1)</w:t>
      </w:r>
      <w:r>
        <w:rPr>
          <w:rFonts w:ascii="Times New Roman" w:hAnsi="Times New Roman"/>
          <w:b w:val="false"/>
          <w:i w:val="false"/>
          <w:color w:val="000000"/>
          <w:sz w:val="22"/>
        </w:rPr>
        <w:t> </w:t>
      </w:r>
      <w:r>
        <w:rPr>
          <w:rFonts w:ascii="Times New Roman" w:hAnsi="Times New Roman"/>
          <w:b w:val="false"/>
          <w:i/>
          <w:color w:val="000000"/>
          <w:sz w:val="22"/>
        </w:rPr>
        <w:t xml:space="preserve">Voluntary negotiations.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Initiation of negotiations. </w:t>
      </w:r>
      <w:r>
        <w:rPr>
          <w:rFonts w:ascii="Times New Roman" w:hAnsi="Times New Roman"/>
          <w:b w:val="false"/>
          <w:i w:val="false"/>
          <w:color w:val="000000"/>
          <w:sz w:val="22"/>
        </w:rPr>
        <w:t>A telecommunications carrier initiates the negotiation process by requesting interconnection, services, or network elements as defined in the Act from an incumbent local exchange carrier pursuant to Section 252(a)(1) of the Act. The day the request is received by the incumbent local exchange carrier is day one of the schedule set for resolution of all issues. Within five days of receipt of the request, the incumbent local exchange carrier shall file with the commission a copy of the request and a statement of the date the request was received.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Duty to negotiate. </w:t>
      </w:r>
      <w:r>
        <w:rPr>
          <w:rFonts w:ascii="Times New Roman" w:hAnsi="Times New Roman"/>
          <w:b w:val="false"/>
          <w:i w:val="false"/>
          <w:color w:val="000000"/>
          <w:sz w:val="22"/>
        </w:rPr>
        <w:t>All negotiations shall be made in good faith for the requested interconnection, services, or network elements. Good faith negotiations require that the parties meet and confer at reasonable times and places, remain open to the arguments and proposals, and work toward the goal of reaching agreement on terms and conditions for the requested interconnections and services. Refusal of any party to give information about its costs or other pertinent data upon request of another party may be considered by the commission as a failure to negotiate in good faith.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38.5(2)</w:t>
      </w:r>
      <w:r>
        <w:rPr>
          <w:rFonts w:ascii="Times New Roman" w:hAnsi="Times New Roman"/>
          <w:b w:val="false"/>
          <w:i w:val="false"/>
          <w:color w:val="000000"/>
          <w:sz w:val="22"/>
        </w:rPr>
        <w:t> </w:t>
      </w:r>
      <w:r>
        <w:rPr>
          <w:rFonts w:ascii="Times New Roman" w:hAnsi="Times New Roman"/>
          <w:b w:val="false"/>
          <w:i/>
          <w:color w:val="000000"/>
          <w:sz w:val="22"/>
        </w:rPr>
        <w:t xml:space="preserve">Mediation.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Initiation of mediation. </w:t>
      </w:r>
      <w:r>
        <w:rPr>
          <w:rFonts w:ascii="Times New Roman" w:hAnsi="Times New Roman"/>
          <w:b w:val="false"/>
          <w:i w:val="false"/>
          <w:color w:val="000000"/>
          <w:sz w:val="22"/>
        </w:rPr>
        <w:t>At any time during the negotiations, any party to the negotiations may request mediation. The request shall be filed with the commission and simultaneously served on the other parties. Alternatively, parties may file a joint request for mediation with the commission. A request for mediation shall contain a brief statement of the nature of the dispute and the names, addresses, and telephone and fax numbers of the parties or their representatives.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Appointment of mediator. </w:t>
      </w:r>
      <w:r>
        <w:rPr>
          <w:rFonts w:ascii="Times New Roman" w:hAnsi="Times New Roman"/>
          <w:b w:val="false"/>
          <w:i w:val="false"/>
          <w:color w:val="000000"/>
          <w:sz w:val="22"/>
        </w:rPr>
        <w:t>The commission may appoint any competent, impartial person of character and ability to act as mediator. The commission will immediately convene a meeting of the parties to discuss appointment of a mutually acceptable mediator.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Parties. </w:t>
      </w:r>
      <w:r>
        <w:rPr>
          <w:rFonts w:ascii="Times New Roman" w:hAnsi="Times New Roman"/>
          <w:b w:val="false"/>
          <w:i w:val="false"/>
          <w:color w:val="000000"/>
          <w:sz w:val="22"/>
        </w:rPr>
        <w:t>Only parties to the negotiations will be permitted to participate as parties to the mediation.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Assessment of costs. </w:t>
      </w:r>
      <w:r>
        <w:rPr>
          <w:rFonts w:ascii="Times New Roman" w:hAnsi="Times New Roman"/>
          <w:b w:val="false"/>
          <w:i w:val="false"/>
          <w:color w:val="000000"/>
          <w:sz w:val="22"/>
        </w:rPr>
        <w:t>The cost of mediation shall be shared equally by the parties and paid directly to the mediator.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38.5(3)</w:t>
      </w:r>
      <w:r>
        <w:rPr>
          <w:rFonts w:ascii="Times New Roman" w:hAnsi="Times New Roman"/>
          <w:b w:val="false"/>
          <w:i w:val="false"/>
          <w:color w:val="000000"/>
          <w:sz w:val="22"/>
        </w:rPr>
        <w:t> </w:t>
      </w:r>
      <w:r>
        <w:rPr>
          <w:rFonts w:ascii="Times New Roman" w:hAnsi="Times New Roman"/>
          <w:b w:val="false"/>
          <w:i/>
          <w:color w:val="000000"/>
          <w:sz w:val="22"/>
        </w:rPr>
        <w:t xml:space="preserve">Arbitration.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Initiation of arbitration. </w:t>
      </w:r>
      <w:r>
        <w:rPr>
          <w:rFonts w:ascii="Times New Roman" w:hAnsi="Times New Roman"/>
          <w:b w:val="false"/>
          <w:i w:val="false"/>
          <w:color w:val="000000"/>
          <w:sz w:val="22"/>
        </w:rPr>
        <w:t>Any party to the negotiation may petition the commission to arbitrate all open issues. The petition requesting arbitration must be filed during the period from the 135th day through the 160th day after the date on which the request for negotiation was received by the local exchange carrier. Simultaneously with filing the petition with the commission, the petitioning party shall provide a copy of the petition and accompanying documentation to the other parties.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Supporting documentation. </w:t>
      </w:r>
      <w:r>
        <w:rPr>
          <w:rFonts w:ascii="Times New Roman" w:hAnsi="Times New Roman"/>
          <w:b w:val="false"/>
          <w:i w:val="false"/>
          <w:color w:val="000000"/>
          <w:sz w:val="22"/>
        </w:rPr>
        <w:t>On the same day of the filing of the request for arbitration, the petitioning party shall provide to the commission the date upon which the request for negotiation for the interconnection, services, or network elements in dispute was made to the local exchange carrier, a list of unresolved issues, the position of each party on each of the unresolved issues, how the parties’ positions meet or fail to meet the requirements of Section 251 of the Act or other regulations, any supporting documents for positions taken by the parties on unresolved issues including all relevant cost studies where prices are in dispute, whether a hearing is requested, a list of issues discussed and resolved prior to the petition for arbitration, any requests for confidentiality, and any other documents relevant to the dispute.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Response to the request for arbitration. </w:t>
      </w:r>
      <w:r>
        <w:rPr>
          <w:rFonts w:ascii="Times New Roman" w:hAnsi="Times New Roman"/>
          <w:b w:val="false"/>
          <w:i w:val="false"/>
          <w:color w:val="000000"/>
          <w:sz w:val="22"/>
        </w:rPr>
        <w:t>A nonpetitioning party to the negotiation may respond to the petitioning party’s position and provide additional information within 25 days after the petition for arbitration was received by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Parties. </w:t>
      </w:r>
      <w:r>
        <w:rPr>
          <w:rFonts w:ascii="Times New Roman" w:hAnsi="Times New Roman"/>
          <w:b w:val="false"/>
          <w:i w:val="false"/>
          <w:color w:val="000000"/>
          <w:sz w:val="22"/>
        </w:rPr>
        <w:t>Only parties to the negotiations will be permitted to participate as parties to the arbitration, unless the commission consolidates proceedings. However, the office of consumer advocate will also be considered a party to the arbitration proceeding.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Docketing of the arbitration request. </w:t>
      </w:r>
      <w:r>
        <w:rPr>
          <w:rFonts w:ascii="Times New Roman" w:hAnsi="Times New Roman"/>
          <w:b w:val="false"/>
          <w:i w:val="false"/>
          <w:color w:val="000000"/>
          <w:sz w:val="22"/>
        </w:rPr>
        <w:t>Upon receipt of a timely and complete petition for arbitration, the commission shall docket the request for consideration by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Arbitration schedule and procedures. </w:t>
      </w:r>
      <w:r>
        <w:rPr>
          <w:rFonts w:ascii="Times New Roman" w:hAnsi="Times New Roman"/>
          <w:b w:val="false"/>
          <w:i w:val="false"/>
          <w:color w:val="000000"/>
          <w:sz w:val="22"/>
        </w:rPr>
        <w:t>Within 15 days of the receipt of the petition for arbitration, the commission will schedule a conference in order to plan an arbitration hearing date, clarify the issues to be resolved, identify additional information needed to reach a decision on the issues, schedule production of documents and other information, discuss or rule on any other procedural matters, and consider any other matters that will expedite the arbitration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Decision. </w:t>
      </w:r>
      <w:r>
        <w:rPr>
          <w:rFonts w:ascii="Times New Roman" w:hAnsi="Times New Roman"/>
          <w:b w:val="false"/>
          <w:i w:val="false"/>
          <w:color w:val="000000"/>
          <w:sz w:val="22"/>
        </w:rPr>
        <w:t>Following the hearing, the commission will issue its preliminary written decision on the unresolved issues. All exceptions to the decision must be filed by the parties within ten days of issuance of the preliminary decisions. All replies to exceptions shall be filed within five days of the filing of the exceptions. A final written decision regarding all issues offered in arbitration shall be issued by the commission within the nine-month deadline in the 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38.5(4)</w:t>
      </w:r>
      <w:r>
        <w:rPr>
          <w:rFonts w:ascii="Times New Roman" w:hAnsi="Times New Roman"/>
          <w:b w:val="false"/>
          <w:i w:val="false"/>
          <w:color w:val="000000"/>
          <w:sz w:val="22"/>
        </w:rPr>
        <w:t> </w:t>
      </w:r>
      <w:r>
        <w:rPr>
          <w:rFonts w:ascii="Times New Roman" w:hAnsi="Times New Roman"/>
          <w:b w:val="false"/>
          <w:i/>
          <w:color w:val="000000"/>
          <w:sz w:val="22"/>
        </w:rPr>
        <w:t xml:space="preserve">Commission review of agreements.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Filing of agreements. </w:t>
      </w:r>
      <w:r>
        <w:rPr>
          <w:rFonts w:ascii="Times New Roman" w:hAnsi="Times New Roman"/>
          <w:b w:val="false"/>
          <w:i w:val="false"/>
          <w:color w:val="000000"/>
          <w:sz w:val="22"/>
        </w:rPr>
        <w:t>All interconnection agreements shall be filed with the commission for approval within 15 days after the issuance of a final decision on the arbitrated issues, or, in the case of negotiated agreements, after the execution of the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Comments on arbitrated agreements. </w:t>
      </w:r>
      <w:r>
        <w:rPr>
          <w:rFonts w:ascii="Times New Roman" w:hAnsi="Times New Roman"/>
          <w:b w:val="false"/>
          <w:i w:val="false"/>
          <w:color w:val="000000"/>
          <w:sz w:val="22"/>
        </w:rPr>
        <w:t>Within ten days following the filing of the arbitrated agreement with the commission for review, the parties involved in the arbitration, and any other interested party, may submit written comments to the commission supporting either approval or rejection of the agreement. If the commission does not approve or reject the agreement within 30 days after submission by the parties of an agreement adopted by arbitration, the agreement shall be deemed approved.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Comments on negotiated agreements and amendments to agreements. </w:t>
      </w:r>
      <w:r>
        <w:rPr>
          <w:rFonts w:ascii="Times New Roman" w:hAnsi="Times New Roman"/>
          <w:b w:val="false"/>
          <w:i w:val="false"/>
          <w:color w:val="000000"/>
          <w:sz w:val="22"/>
        </w:rPr>
        <w:t>Within 30 days of the filing date of the negotiated agreement or amendment, the parties involved in the negotiations and any other interested party may submit written comments with the commission supporting either acceptance or rejection of the agreement or amendment. If the commission does not issue a decision within 90 days after the filing date, the agreement or amendment shall be deemed approved.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Comments on adoption of agreements. </w:t>
      </w:r>
      <w:r>
        <w:rPr>
          <w:rFonts w:ascii="Times New Roman" w:hAnsi="Times New Roman"/>
          <w:b w:val="false"/>
          <w:i w:val="false"/>
          <w:color w:val="000000"/>
          <w:sz w:val="22"/>
        </w:rPr>
        <w:t xml:space="preserve">No commission approval is necessary when there is an adoption of the terms, conditions, and rates from an approved interconnection agreement. The adoption is effective upon filing. If there are terms, conditions, or rates in the filing that are not from an adopted agreement, then the filing is subject to the provisions of paragraph </w:t>
      </w:r>
      <w:hyperlink r:id="rId12">
        <w:r>
          <w:rPr>
            <w:rStyle w:val="Hyperlink"/>
            <w:rFonts w:ascii="Times New Roman" w:hAnsi="Times New Roman"/>
            <w:b w:val="false"/>
            <w:i w:val="false"/>
            <w:color w:val="000000"/>
            <w:sz w:val="22"/>
          </w:rPr>
          <w:t>38.5(4)</w:t>
        </w:r>
      </w:hyperlink>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Indefinite terms, conditions, or rates. </w:t>
      </w:r>
      <w:r>
        <w:rPr>
          <w:rFonts w:ascii="Times New Roman" w:hAnsi="Times New Roman"/>
          <w:b w:val="false"/>
          <w:i w:val="false"/>
          <w:color w:val="000000"/>
          <w:sz w:val="22"/>
        </w:rPr>
        <w:t>When the agreement or amendment contains terms, conditions, or rates that are not yet agreed to, the parties shall file an amendment to the agreement once they have reached agreement on the terms, conditions, or rates.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8998C</w:t>
      </w:r>
      <w:r>
        <w:rPr>
          <w:rFonts w:ascii="Times New Roman" w:hAnsi="Times New Roman"/>
          <w:b w:val="false"/>
          <w:i w:val="false"/>
          <w:color w:val="000000"/>
          <w:sz w:val="16"/>
        </w:rPr>
        <w:t>, IAB 3/5/25, effective 4/9/25</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w:t>
      </w:r>
      <w:r>
        <w:rPr>
          <w:rFonts w:ascii="Times New Roman" w:hAnsi="Times New Roman"/>
          <w:b w:val="false"/>
          <w:i w:val="false"/>
          <w:color w:val="000000"/>
          <w:sz w:val="22"/>
        </w:rPr>
        <w:t>47 U.S.C.</w:t>
      </w:r>
      <w:r>
        <w:rPr>
          <w:rFonts w:ascii="Times New Roman" w:hAnsi="Times New Roman"/>
          <w:b w:val="false"/>
          <w:i w:val="false"/>
          <w:color w:val="000000"/>
          <w:sz w:val="22"/>
        </w:rPr>
        <w:t xml:space="preserve"> Sections 251 and 252 and Iowa Code section </w:t>
      </w:r>
      <w:hyperlink r:id="rId13">
        <w:r>
          <w:rPr>
            <w:rStyle w:val="Hyperlink"/>
            <w:rFonts w:ascii="Times New Roman" w:hAnsi="Times New Roman"/>
            <w:b w:val="false"/>
            <w:i w:val="false"/>
            <w:color w:val="000000"/>
            <w:sz w:val="22"/>
          </w:rPr>
          <w:t>476.100</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4/5/96, Notice 9/27/95—published 4/24/96, effective 5/29/96]</w:t>
      </w:r>
    </w:p>
    <w:p>
      <w:pPr>
        <w:spacing w:before="0" w:after="0"/>
        <w:ind w:left="120"/>
        <w:jc w:val="center"/>
      </w:pPr>
      <w:r>
        <w:rPr>
          <w:rFonts w:ascii="Times New Roman" w:hAnsi="Times New Roman"/>
          <w:b w:val="false"/>
          <w:i w:val="false"/>
          <w:color w:val="000000"/>
          <w:sz w:val="21"/>
        </w:rPr>
        <w:t>[Filed emergency 8/2/96—published 8/28/96, effective 8/2/96]</w:t>
      </w:r>
    </w:p>
    <w:p>
      <w:pPr>
        <w:spacing w:before="0" w:after="0"/>
        <w:ind w:left="120"/>
        <w:jc w:val="center"/>
      </w:pPr>
      <w:r>
        <w:rPr>
          <w:rFonts w:ascii="Times New Roman" w:hAnsi="Times New Roman"/>
          <w:b w:val="false"/>
          <w:i w:val="false"/>
          <w:color w:val="000000"/>
          <w:sz w:val="21"/>
        </w:rPr>
        <w:t>[Filed 12/6/96, Notices 9/27/95, 4/24/96—published 1/1/97, effective 2/5/97]</w:t>
      </w:r>
    </w:p>
    <w:p>
      <w:pPr>
        <w:spacing w:before="0" w:after="0"/>
        <w:ind w:left="120"/>
        <w:jc w:val="center"/>
      </w:pPr>
      <w:r>
        <w:rPr>
          <w:rFonts w:ascii="Times New Roman" w:hAnsi="Times New Roman"/>
          <w:b w:val="false"/>
          <w:i w:val="false"/>
          <w:color w:val="000000"/>
          <w:sz w:val="21"/>
        </w:rPr>
        <w:t>[Filed 7/25/97, Notice 5/21/97—published 8/13/97, effective 9/17/97]</w:t>
      </w:r>
    </w:p>
    <w:p>
      <w:pPr>
        <w:spacing w:before="0" w:after="0"/>
        <w:ind w:left="120"/>
        <w:jc w:val="center"/>
      </w:pPr>
      <w:r>
        <w:rPr>
          <w:rFonts w:ascii="Times New Roman" w:hAnsi="Times New Roman"/>
          <w:b w:val="false"/>
          <w:i w:val="false"/>
          <w:color w:val="000000"/>
          <w:sz w:val="21"/>
        </w:rPr>
        <w:t>[Filed emergency 12/11/97 after Notice 10/8/97—published 12/31/97, effective 1/1/98]</w:t>
      </w:r>
    </w:p>
    <w:p>
      <w:pPr>
        <w:spacing w:before="0" w:after="0"/>
        <w:ind w:left="120"/>
        <w:jc w:val="center"/>
      </w:pPr>
      <w:r>
        <w:rPr>
          <w:rFonts w:ascii="Times New Roman" w:hAnsi="Times New Roman"/>
          <w:b w:val="false"/>
          <w:i w:val="false"/>
          <w:color w:val="000000"/>
          <w:sz w:val="21"/>
        </w:rPr>
        <w:t>[Filed 3/15/01, Notice 11/29/00—published 4/4/01, effective 5/9/01]</w:t>
      </w:r>
    </w:p>
    <w:p>
      <w:pPr>
        <w:spacing w:before="0" w:after="0"/>
        <w:ind w:left="120"/>
        <w:jc w:val="center"/>
      </w:pPr>
      <w:r>
        <w:rPr>
          <w:rFonts w:ascii="Times New Roman" w:hAnsi="Times New Roman"/>
          <w:b w:val="false"/>
          <w:i w:val="false"/>
          <w:color w:val="000000"/>
          <w:sz w:val="21"/>
        </w:rPr>
        <w:t>[Filed ARC 4120C</w:t>
      </w:r>
      <w:r>
        <w:rPr>
          <w:rFonts w:ascii="Times New Roman" w:hAnsi="Times New Roman"/>
          <w:b w:val="false"/>
          <w:i w:val="false"/>
          <w:color w:val="000000"/>
          <w:sz w:val="21"/>
        </w:rPr>
        <w:t xml:space="preserve"> (Notice ARC 3752C, IAB 4/25/18)</w:t>
      </w:r>
      <w:r>
        <w:rPr>
          <w:rFonts w:ascii="Times New Roman" w:hAnsi="Times New Roman"/>
          <w:b w:val="false"/>
          <w:i w:val="false"/>
          <w:color w:val="000000"/>
          <w:sz w:val="21"/>
        </w:rPr>
        <w:t>, IAB 11/7/18, effective 12/12/18]</w:t>
      </w:r>
    </w:p>
    <w:p>
      <w:pPr>
        <w:spacing w:before="0" w:after="0"/>
        <w:ind w:left="120"/>
        <w:jc w:val="center"/>
      </w:pPr>
      <w:r>
        <w:rPr>
          <w:rFonts w:ascii="Times New Roman" w:hAnsi="Times New Roman"/>
          <w:b w:val="false"/>
          <w:i w:val="false"/>
          <w:color w:val="000000"/>
          <w:sz w:val="21"/>
        </w:rPr>
        <w:t>[Filed ARC 6035C</w:t>
      </w:r>
      <w:r>
        <w:rPr>
          <w:rFonts w:ascii="Times New Roman" w:hAnsi="Times New Roman"/>
          <w:b w:val="false"/>
          <w:i w:val="false"/>
          <w:color w:val="000000"/>
          <w:sz w:val="21"/>
        </w:rPr>
        <w:t xml:space="preserve"> (Notice ARC 5813C, IAB 7/28/21)</w:t>
      </w:r>
      <w:r>
        <w:rPr>
          <w:rFonts w:ascii="Times New Roman" w:hAnsi="Times New Roman"/>
          <w:b w:val="false"/>
          <w:i w:val="false"/>
          <w:color w:val="000000"/>
          <w:sz w:val="21"/>
        </w:rPr>
        <w:t>, IAB 11/17/21, effective 12/22/21]</w:t>
      </w:r>
    </w:p>
    <w:p>
      <w:pPr>
        <w:spacing w:before="0" w:after="0"/>
        <w:ind w:left="120"/>
        <w:jc w:val="center"/>
      </w:pPr>
      <w:r>
        <w:rPr>
          <w:rFonts w:ascii="Times New Roman" w:hAnsi="Times New Roman"/>
          <w:b w:val="false"/>
          <w:i w:val="false"/>
          <w:color w:val="000000"/>
          <w:sz w:val="21"/>
        </w:rPr>
        <w:t>[Editorial change: IAC Supplement 7/24/24]</w:t>
      </w:r>
    </w:p>
    <w:p>
      <w:pPr>
        <w:spacing w:before="0" w:after="0"/>
        <w:ind w:left="120"/>
        <w:jc w:val="center"/>
      </w:pPr>
      <w:r>
        <w:rPr>
          <w:rFonts w:ascii="Times New Roman" w:hAnsi="Times New Roman"/>
          <w:b w:val="false"/>
          <w:i w:val="false"/>
          <w:color w:val="000000"/>
          <w:sz w:val="21"/>
        </w:rPr>
        <w:t>[Filed ARC 8998C</w:t>
      </w:r>
      <w:r>
        <w:rPr>
          <w:rFonts w:ascii="Times New Roman" w:hAnsi="Times New Roman"/>
          <w:b w:val="false"/>
          <w:i w:val="false"/>
          <w:color w:val="000000"/>
          <w:sz w:val="21"/>
        </w:rPr>
        <w:t xml:space="preserve"> (Notice ARC 8317C, IAB 10/30/24)</w:t>
      </w:r>
      <w:r>
        <w:rPr>
          <w:rFonts w:ascii="Times New Roman" w:hAnsi="Times New Roman"/>
          <w:b w:val="false"/>
          <w:i w:val="false"/>
          <w:color w:val="000000"/>
          <w:sz w:val="21"/>
        </w:rPr>
        <w:t>, IAB 3/5/25, effective 4/9/25]</w:t>
      </w:r>
    </w:p>
    <w:sectPr>
      <w:pgSz w:w="11907" w:h="16839" w:code="9"/>
      <w:pgMar w:top="1440" w:right="1440" w:bottom="1440" w:left="1440"/>
    </w:sectPr>
  </w:body>
</w:document>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chapter/199.22.pdf" Type="http://schemas.openxmlformats.org/officeDocument/2006/relationships/hyperlink" Id="rId5"/>
    <Relationship TargetMode="External" Target="https://www.legis.iowa.gov/docs/iac/rule/199.38.3.pdf" Type="http://schemas.openxmlformats.org/officeDocument/2006/relationships/hyperlink" Id="rId6"/>
    <Relationship TargetMode="External" Target="https://www.legis.iowa.gov/docs/iac/rule/199.38.3.pdf" Type="http://schemas.openxmlformats.org/officeDocument/2006/relationships/hyperlink" Id="rId7"/>
    <Relationship TargetMode="External" Target="https://www.legis.iowa.gov/docs/ico/chapter/476.100.pdf" Type="http://schemas.openxmlformats.org/officeDocument/2006/relationships/hyperlink" Id="rId8"/>
    <Relationship TargetMode="External" Target="https://www.legis.iowa.gov/docs/ico/chapter/476.100.pdf" Type="http://schemas.openxmlformats.org/officeDocument/2006/relationships/hyperlink" Id="rId9"/>
    <Relationship TargetMode="External" Target="https://www.legis.iowa.gov/docs/iac/rule/199.38.3.pdf" Type="http://schemas.openxmlformats.org/officeDocument/2006/relationships/hyperlink" Id="rId10"/>
    <Relationship TargetMode="External" Target="https://www.legis.iowa.gov/docs/ico/chapter/476.100.pdf" Type="http://schemas.openxmlformats.org/officeDocument/2006/relationships/hyperlink" Id="rId11"/>
    <Relationship TargetMode="External" Target="https://www.legis.iowa.gov/docs/iac/rule/199.38.5.pdf" Type="http://schemas.openxmlformats.org/officeDocument/2006/relationships/hyperlink" Id="rId12"/>
    <Relationship TargetMode="External" Target="https://www.legis.iowa.gov/docs/ico/chapter/476.100.pdf" Type="http://schemas.openxmlformats.org/officeDocument/2006/relationships/hyperlink" Id="rId1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