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EQUIPMENT DISTRIBUTION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199—37.1</w:t>
      </w:r>
      <w:r>
        <w:rPr>
          <w:rFonts w:ascii="Times New Roman" w:hAnsi="Times New Roman"/>
          <w:b/>
          <w:i w:val="false"/>
          <w:color w:val="000000"/>
          <w:sz w:val="22"/>
        </w:rPr>
        <w:t xml:space="preserve">(477C)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commission’s program established pursuant to Iowa Code section </w:t>
      </w:r>
      <w:hyperlink r:id="rId5">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 xml:space="preserve"> to secure, finance, and distribute telecommunications devices. The commission’s equipment distribution program serves eligible individuals who are deaf or hard of hearing or who have difficulty with speech.</w:t>
      </w:r>
    </w:p>
    <w:p>
      <w:pPr>
        <w:spacing w:before="0" w:after="0"/>
        <w:ind w:left="120"/>
        <w:jc w:val="both"/>
      </w:pPr>
      <w:r>
        <w:rPr>
          <w:rFonts w:ascii="Times New Roman" w:hAnsi="Times New Roman"/>
          <w:b w:val="false"/>
          <w:i w:val="false"/>
          <w:color w:val="000000"/>
          <w:sz w:val="22"/>
        </w:rPr>
        <w:t>The equipment distribution program will be limited by revenue considerations and annual budget amounts set by the commission, with the advice of the deaf services commission. When the budgeted amounts for a period are committed or expended, no further vouchers for equipment will be issued until the next period when the commission budgets additional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199—37.2</w:t>
      </w:r>
      <w:r>
        <w:rPr>
          <w:rFonts w:ascii="Times New Roman" w:hAnsi="Times New Roman"/>
          <w:b/>
          <w:i w:val="false"/>
          <w:color w:val="000000"/>
          <w:sz w:val="22"/>
        </w:rPr>
        <w:t xml:space="preserve">(477C) </w:t>
      </w:r>
      <w:r>
        <w:rPr>
          <w:rFonts w:ascii="Times New Roman" w:hAnsi="Times New Roman"/>
          <w:b/>
          <w:i w:val="false"/>
          <w:color w:val="000000"/>
          <w:sz w:val="22"/>
        </w:rPr>
        <w:t xml:space="preserve">Program structure. </w:t>
      </w:r>
      <w:r>
        <w:rPr>
          <w:rFonts w:ascii="Times New Roman" w:hAnsi="Times New Roman"/>
          <w:b w:val="false"/>
          <w:i w:val="false"/>
          <w:color w:val="000000"/>
          <w:sz w:val="22"/>
        </w:rPr>
        <w:t>The equipment distribution program may be conducted by a program administrator chosen by the commission. Distribution of equipment will be made through a voucher system utilizing private vendors for equipment purchases. Vouchers to pay part or, depending upon the price, all of the cost of equipment will be issued by the program administrator to eligible recipients. After purchase using a voucher, the recipient will be the permanent owner of the equipment and responsible for enforcement of any warranties and for any repairs.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199—37.3</w:t>
      </w:r>
      <w:r>
        <w:rPr>
          <w:rFonts w:ascii="Times New Roman" w:hAnsi="Times New Roman"/>
          <w:b/>
          <w:i w:val="false"/>
          <w:color w:val="000000"/>
          <w:sz w:val="22"/>
        </w:rPr>
        <w:t xml:space="preserve">(477C) </w:t>
      </w:r>
      <w:r>
        <w:rPr>
          <w:rFonts w:ascii="Times New Roman" w:hAnsi="Times New Roman"/>
          <w:b/>
          <w:i w:val="false"/>
          <w:color w:val="000000"/>
          <w:sz w:val="22"/>
        </w:rPr>
        <w:t xml:space="preserve">Equipment. </w:t>
      </w:r>
      <w:r>
        <w:rPr>
          <w:rFonts w:ascii="Times New Roman" w:hAnsi="Times New Roman"/>
          <w:b w:val="false"/>
          <w:i w:val="false"/>
          <w:color w:val="000000"/>
          <w:sz w:val="22"/>
        </w:rPr>
        <w:t>The commission will authorize and maintain a list of the types of equipment to be distributed through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199—37.4</w:t>
      </w:r>
      <w:r>
        <w:rPr>
          <w:rFonts w:ascii="Times New Roman" w:hAnsi="Times New Roman"/>
          <w:b/>
          <w:i w:val="false"/>
          <w:color w:val="000000"/>
          <w:sz w:val="22"/>
        </w:rPr>
        <w:t xml:space="preserve">(477C) </w:t>
      </w:r>
      <w:r>
        <w:rPr>
          <w:rFonts w:ascii="Times New Roman" w:hAnsi="Times New Roman"/>
          <w:b/>
          <w:i w:val="false"/>
          <w:color w:val="000000"/>
          <w:sz w:val="22"/>
        </w:rPr>
        <w:t xml:space="preserve">Application process and eligibility. </w:t>
      </w:r>
      <w:r>
        <w:rPr>
          <w:rFonts w:ascii="Times New Roman" w:hAnsi="Times New Roman"/>
          <w:b w:val="false"/>
          <w:i w:val="false"/>
          <w:color w:val="000000"/>
          <w:sz w:val="22"/>
        </w:rPr>
        <w:t>Applications will be processed in queue. Additional vouchers will not be issued during a period if unpaid vouchers are outstanding for the remaining funds budgeted for the period. By signing the application form or otherwise averring to the accuracy of the information contained in the application, an applicant or the applicant’s power of attorney certifies that the information provided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No person is entitled to equipment at a particular time merely because the person meets the eligibility requirements. An eligible applicant will be limited to a voucher for one type of equipment or equipment package. A person is eligible for equipment under the program if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equipment need is verified by an appropriate professional, which may include a licensed physician; certified teacher in the fields of hearing, speech, or visual impairment; licensed and certified sign language interpreter; speech pathologist; audiologist or hearing aid specialist; or appropriate state or federal agency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or has applied for, access to the service that will allow the applicant to use the requested equipment. Access to Internet service may be provided through a public wireless network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an individual and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at least five years of age or demonstrates an ability to use the equipment requested. No demonstration is necessary for those five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agrees to cooperate with studies to evaluate the effectiveness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applicant’s gross annual family income is equal to or less than $76,000 for a family of two. Family sizes above or below two will increase or decrease that amount in $10,000 increments per family member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Prior voucher recipients may reapply through the program to replace existing equipment or to obtain new equipment, as appropriate. Reapplication will be limited by a three-year waiting period. The reapplication period may be shortened by the commission’s equipment distribution program project manager in an individual case for good cause shown. At the time of reapplication for equipment, it is not necessary for the applicant’s need for the equipment to be reverified by an appropriate professional. The program administrator will verify that the applicant reapplying for equipment previously qualified for and continues to qualify for a voucher.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199—37.5</w:t>
      </w:r>
      <w:r>
        <w:rPr>
          <w:rFonts w:ascii="Times New Roman" w:hAnsi="Times New Roman"/>
          <w:b/>
          <w:i w:val="false"/>
          <w:color w:val="000000"/>
          <w:sz w:val="22"/>
        </w:rPr>
        <w:t xml:space="preserve">(477C) </w:t>
      </w:r>
      <w:r>
        <w:rPr>
          <w:rFonts w:ascii="Times New Roman" w:hAnsi="Times New Roman"/>
          <w:b/>
          <w:i w:val="false"/>
          <w:color w:val="000000"/>
          <w:sz w:val="22"/>
        </w:rPr>
        <w:t xml:space="preserve">Voucher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voucher will state a standard amount for a particular piece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determined and updated periodically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95 percent of the average retail market price for the piece of equipment unless the retail market price is more than $1,000, in which case the standard amount is 99 percent of the average retail market price. The standard amount may be increased to 100 percent if a person demonstrates to the program administrator that the person is unable to pay the matching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Voucher use. </w:t>
      </w:r>
      <w:r>
        <w:rPr>
          <w:rFonts w:ascii="Times New Roman" w:hAnsi="Times New Roman"/>
          <w:b w:val="false"/>
          <w:i w:val="false"/>
          <w:color w:val="000000"/>
          <w:sz w:val="22"/>
        </w:rPr>
        <w:t>The recipient of a voucher may purchase equipment from any vendor that will accept the voucher and may apply the voucher amount toward purchase of the brand and model of indicated equipment as the recipient chooses. The program will not reimburse for equipment purchased by an applicant prior to the issuance of a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voucher provides for a 40-day period for the voucher recipient to redeem the voucher with the recipient’s chosen vendor. The vendor, upon presentation of the voucher, shall have 60 days to complete the sale and delivery of the equipment and to return the voucher to the commission. The program administrator, for good cause shown, may extend either the 40- or 60-day deadline, provided the voucher is submitted to the commission for payment within 120 days from the issuance of the voucher. The program administrator may authorize reimbursement for a voucher issued more than 120 days before the voucher is sent to the commission for payment if the program administrator determines good cause exists for extending the 120-day deadline and provides supporting documentation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voucher is not a negotiable instrument. Upon presentation of documentation by the vendor as determined by the commission, including but not limited to an invoice showing an amount due no greater than the voucher amount, the vendor will be issued a state warrant for the amount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199—37.6</w:t>
      </w:r>
      <w:r>
        <w:rPr>
          <w:rFonts w:ascii="Times New Roman" w:hAnsi="Times New Roman"/>
          <w:b/>
          <w:i w:val="false"/>
          <w:color w:val="000000"/>
          <w:sz w:val="22"/>
        </w:rPr>
        <w:t xml:space="preserve">(477C) </w:t>
      </w:r>
      <w:r>
        <w:rPr>
          <w:rFonts w:ascii="Times New Roman" w:hAnsi="Times New Roman"/>
          <w:b/>
          <w:i w:val="false"/>
          <w:color w:val="000000"/>
          <w:sz w:val="22"/>
        </w:rPr>
        <w:t xml:space="preserve">Complaints. </w:t>
      </w:r>
      <w:r>
        <w:rPr>
          <w:rFonts w:ascii="Times New Roman" w:hAnsi="Times New Roman"/>
          <w:b w:val="false"/>
          <w:i w:val="false"/>
          <w:color w:val="000000"/>
          <w:sz w:val="22"/>
        </w:rPr>
        <w:t>All complaints concerning the equipment distribution program will be resolved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will make determinations concerning matters such as eligibility, type of equipment for particular applicants, or reimbursement of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after requiring interested persons to state verbally or in writing any complaint or dispute arising under the equipment distribution program, will attempt to settle the matter informally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37.6(3)</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the informal dispute resolution process fail, the complainant may submit the complaint to the commission for processing by the commission’s equipment distribution program project manager as provided in </w:t>
      </w:r>
      <w:hyperlink r:id="rId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The project manager will provide a copy of the complaint to the program administrator and the consumer advocate. The project manager will issue a proposed resolution that describes the facts involved in the dispute, clearly states the proposed resolution, and gives notice that any interested person dissatisfied with the proposed resolution has 14 days after the proposed resolution is issued to file a written request for formal complaint proceedings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37.6(4)</w:t>
      </w:r>
      <w:r>
        <w:rPr>
          <w:rFonts w:ascii="Times New Roman" w:hAnsi="Times New Roman"/>
          <w:b w:val="false"/>
          <w:i w:val="false"/>
          <w:color w:val="000000"/>
          <w:sz w:val="22"/>
        </w:rPr>
        <w:t> </w:t>
      </w:r>
      <w:r>
        <w:rPr>
          <w:rFonts w:ascii="Times New Roman" w:hAnsi="Times New Roman"/>
          <w:b w:val="false"/>
          <w:i w:val="false"/>
          <w:color w:val="000000"/>
          <w:sz w:val="22"/>
        </w:rPr>
        <w:t>If no timely request for formal complaint proceedings is filed, the proposed resolution shall be deemed binding on all interested persons served with the proposed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process requests for formal complaint proceedings as provided in rule </w:t>
      </w:r>
      <w:hyperlink r:id="rId7">
        <w:r>
          <w:rPr>
            <w:rStyle w:val="Hyperlink"/>
            <w:rFonts w:ascii="Times New Roman" w:hAnsi="Times New Roman"/>
            <w:b w:val="false"/>
            <w:i w:val="false"/>
            <w:color w:val="000000"/>
            <w:sz w:val="22"/>
          </w:rPr>
          <w:t>199—6.5</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10/7/94—published 10/26/94, effective 10/7/94]</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4/14/00, Notice 2/9/00—published 5/3/00, effective 6/7/00]</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3665C</w:t>
      </w:r>
      <w:r>
        <w:rPr>
          <w:rFonts w:ascii="Times New Roman" w:hAnsi="Times New Roman"/>
          <w:b w:val="false"/>
          <w:i w:val="false"/>
          <w:color w:val="000000"/>
          <w:sz w:val="21"/>
        </w:rPr>
        <w:t xml:space="preserve"> (Notice ARC 3119C, IAB 6/21/17)</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6925C</w:t>
      </w:r>
      <w:r>
        <w:rPr>
          <w:rFonts w:ascii="Times New Roman" w:hAnsi="Times New Roman"/>
          <w:b w:val="false"/>
          <w:i w:val="false"/>
          <w:color w:val="000000"/>
          <w:sz w:val="21"/>
        </w:rPr>
        <w:t xml:space="preserve"> (Notice ARC 6596C, IAB 10/19/22)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8997C</w:t>
      </w:r>
      <w:r>
        <w:rPr>
          <w:rFonts w:ascii="Times New Roman" w:hAnsi="Times New Roman"/>
          <w:b w:val="false"/>
          <w:i w:val="false"/>
          <w:color w:val="000000"/>
          <w:sz w:val="21"/>
        </w:rPr>
        <w:t xml:space="preserve"> (Notice ARC 8431C,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C.4.pdf" Type="http://schemas.openxmlformats.org/officeDocument/2006/relationships/hyperlink" Id="rId5"/>
    <Relationship TargetMode="External" Target="https://www.legis.iowa.gov/docs/iac/chapter/199.6.pdf" Type="http://schemas.openxmlformats.org/officeDocument/2006/relationships/hyperlink" Id="rId6"/>
    <Relationship TargetMode="External" Target="https://www.legis.iowa.gov/docs/iac/rule/199.6.5.pdf" Type="http://schemas.openxmlformats.org/officeDocument/2006/relationships/hyperlink" Id="rId7"/>
    <Relationship TargetMode="External" Target="https://www.legis.iowa.gov/docs/ico/chapter/477C.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