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REORGANIZATION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199—32.1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definition of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any person who intends to acquire, sell, lease, or otherwise dispose directly or indirectly of the whole or any substantial part of a public utility’s assets; or purchase, acquire, sell, or otherwise dispose of the controlling capital stock of any public utility, either directly or indirectly. For utilities with more than one regulated line of business, the utility revenue limit shall be calculated using the revenue of the specific line of utility business involved in the transaction, not the combined utility revenues.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transfers or removals of a public utility’s assets that are made specifically pursuant to a commission deregulation order, as long as those transfers or removals occur within 12 months of the commission’s approval of an accounting separation plan, or to transactions where commission approval is otherwise required in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199—32.2</w:t>
      </w:r>
      <w:r>
        <w:rPr>
          <w:rFonts w:ascii="Times New Roman" w:hAnsi="Times New Roman"/>
          <w:b/>
          <w:i w:val="false"/>
          <w:color w:val="000000"/>
          <w:sz w:val="22"/>
        </w:rPr>
        <w:t xml:space="preserve">(476) </w:t>
      </w:r>
      <w:r>
        <w:rPr>
          <w:rFonts w:ascii="Times New Roman" w:hAnsi="Times New Roman"/>
          <w:b/>
          <w:i w:val="false"/>
          <w:color w:val="000000"/>
          <w:sz w:val="22"/>
        </w:rPr>
        <w:t xml:space="preserve">Substantial part of a public utility’s assets.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val="false"/>
          <w:color w:val="000000"/>
          <w:sz w:val="22"/>
        </w:rPr>
        <w:t xml:space="preserve">No public utility shall acquire or lease assets, directly or indirectly, with a value in excess of 3 percent of the utility’s Iowa jurisdictional utility revenue during the immediately preceding calendar year or $5 million, whichever is greater, without prior approval from the commission pursuant to Iowa Code section </w:t>
      </w:r>
      <w:hyperlink r:id="rId5">
        <w:r>
          <w:rPr>
            <w:rStyle w:val="Hyperlink"/>
            <w:rFonts w:ascii="Times New Roman" w:hAnsi="Times New Roman"/>
            <w:b w:val="false"/>
            <w:i w:val="false"/>
            <w:color w:val="000000"/>
            <w:sz w:val="22"/>
          </w:rPr>
          <w:t>476.77</w:t>
        </w:r>
      </w:hyperlink>
      <w:r>
        <w:rPr>
          <w:rFonts w:ascii="Times New Roman" w:hAnsi="Times New Roman"/>
          <w:b w:val="false"/>
          <w:i w:val="false"/>
          <w:color w:val="000000"/>
          <w:sz w:val="22"/>
        </w:rPr>
        <w:t xml:space="preserve">. For purposes of this subrule and subrule </w:t>
      </w:r>
      <w:hyperlink r:id="rId6">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“value” means the greater of market value or book value.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val="false"/>
          <w:color w:val="000000"/>
          <w:sz w:val="22"/>
        </w:rPr>
        <w:t xml:space="preserve">No public utility shall sell or otherwise dispose of assets, directly or indirectly, with a value in excess of 3 percent of the utility’s Iowa jurisdictional utility revenue during the immediately preceding calendar year or $5 million, whichever is greater, without prior approval from the commission pursuant to Iowa Code section </w:t>
      </w:r>
      <w:hyperlink r:id="rId7">
        <w:r>
          <w:rPr>
            <w:rStyle w:val="Hyperlink"/>
            <w:rFonts w:ascii="Times New Roman" w:hAnsi="Times New Roman"/>
            <w:b w:val="false"/>
            <w:i w:val="false"/>
            <w:color w:val="000000"/>
            <w:sz w:val="22"/>
          </w:rPr>
          <w:t>476.77</w:t>
        </w:r>
      </w:hyperlink>
      <w:r>
        <w:rPr>
          <w:rFonts w:ascii="Times New Roman" w:hAnsi="Times New Roman"/>
          <w:b w:val="false"/>
          <w:i w:val="false"/>
          <w:color w:val="000000"/>
          <w:sz w:val="22"/>
        </w:rPr>
        <w:t>. However, for utilities for which the 3 percent limit is greater than $5 million, if the assets being sold or otherwise disposed of are used in the generation or delivery of utility services to Iowa consumers, an application or a waiver is required if the assets have a value in excess of $10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val="false"/>
          <w:color w:val="000000"/>
          <w:sz w:val="22"/>
        </w:rPr>
        <w:t>Commission approval of the following types of transactions is not necessary: fuel purchases, energy and capacity purchases and sales, gas purchases, sale of accounts receivables, sale of bonds, claim and litigation payments, tax payments and credit transfers, regulatory fees and assessments, insurance premiums, payroll, stock dividends, financings, routine financial transactions, operation and maintenance expense, construction expense, or similar transactions that occur in the ordinary course of business. Any transaction involving more than 10 percent of a public utility’s gross utility assets less depreciation, or any transaction outside the ordinary course of business, is not exempt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199—32.3</w:t>
      </w:r>
      <w:r>
        <w:rPr>
          <w:rFonts w:ascii="Times New Roman" w:hAnsi="Times New Roman"/>
          <w:b/>
          <w:i w:val="false"/>
          <w:color w:val="000000"/>
          <w:sz w:val="22"/>
        </w:rPr>
        <w:t xml:space="preserve">(476) </w:t>
      </w:r>
      <w:r>
        <w:rPr>
          <w:rFonts w:ascii="Times New Roman" w:hAnsi="Times New Roman"/>
          <w:b/>
          <w:i w:val="false"/>
          <w:color w:val="000000"/>
          <w:sz w:val="22"/>
        </w:rPr>
        <w:t xml:space="preserve">Proposal for reorganization—filing requirements. </w:t>
      </w:r>
      <w:r>
        <w:rPr>
          <w:rFonts w:ascii="Times New Roman" w:hAnsi="Times New Roman"/>
          <w:b w:val="false"/>
          <w:i w:val="false"/>
          <w:color w:val="000000"/>
          <w:sz w:val="22"/>
        </w:rPr>
        <w:t>Any person who intends to accomplish a reorganization shall file supporting testimony and evidence with its proposal for reorganization, including but not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val="false"/>
          <w:color w:val="000000"/>
          <w:sz w:val="22"/>
        </w:rPr>
        <w:t>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purposes of the reorganization and a description of the events that led to the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analysis of the alternatives to the proposed reorganization that were considered and their impact on rates and services,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val="false"/>
          <w:color w:val="000000"/>
          <w:sz w:val="22"/>
        </w:rPr>
        <w:t>Reorganization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accounting policies and procedures for the subsequent operation, including the type of system of accounts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situs of the books and records of the public utility after reorganization and their availability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accounting to be utilized in any transfer of assets necessary to accomplish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proposed method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Accounting for and allocating officers’ time between the public utility and any affiliates,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Compliance with the commission’s rules on affiliate transactions and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contracts that directly relate to the reorganization and a summary of any unwritten contracts or arrangements verified by an officer of the operating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Before and after organizational charts for the affected public utility and affiliates, including staffing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of any proposed physical removal of assets from the commission’s jurisdiction to another jurisdiction or removal or transfer of assets from a regulated to a nonregulated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32.3(3)</w:t>
      </w:r>
      <w:r>
        <w:rPr>
          <w:rFonts w:ascii="Times New Roman" w:hAnsi="Times New Roman"/>
          <w:b w:val="false"/>
          <w:i w:val="false"/>
          <w:color w:val="000000"/>
          <w:sz w:val="22"/>
        </w:rPr>
        <w:t> </w:t>
      </w:r>
      <w:r>
        <w:rPr>
          <w:rFonts w:ascii="Times New Roman" w:hAnsi="Times New Roman"/>
          <w:b w:val="false"/>
          <w:i w:val="false"/>
          <w:color w:val="000000"/>
          <w:sz w:val="22"/>
        </w:rPr>
        <w:t>Financial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analysis of whether the affected public utility’s ability to attract capital on reasonable terms, including the maintenance of a reasonable capital structure and corporate financial integrity, is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financing components of the proposed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the funding provided to any new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and proposed reorganization balance sheets and capital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Stockholder annual reports for two years preceding the year of filing for all affected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Stockholder quarterly reports for the two quarters just prior to the date of the filing and any subsequent reports as they become available during the proceeding, for all affected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major credit rating agencies’ reports for two years preceding the filing date of the merger and updates as they become available during the proceeding, for all affected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proxy statement to the stockholders regarding the proposed reorganization. If such is not available at time of filing, a preliminary statement will be filed, followed by the final statement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32.3(4)</w:t>
      </w:r>
      <w:r>
        <w:rPr>
          <w:rFonts w:ascii="Times New Roman" w:hAnsi="Times New Roman"/>
          <w:b w:val="false"/>
          <w:i w:val="false"/>
          <w:color w:val="000000"/>
          <w:sz w:val="22"/>
        </w:rPr>
        <w:t> </w:t>
      </w:r>
      <w:r>
        <w:rPr>
          <w:rFonts w:ascii="Times New Roman" w:hAnsi="Times New Roman"/>
          <w:b w:val="false"/>
          <w:i w:val="false"/>
          <w:color w:val="000000"/>
          <w:sz w:val="22"/>
        </w:rPr>
        <w:t>Impact of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cost-benefit analysis that describes the projected benefits and costs of reorganizing, including identification of source data. The benefits and costs should be quantified in terms of present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analysis of the projected financial impact of the proposed reorganization on the ratepayers of the affected public utilities for the first five years after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analysis of the effect on the public interest. “Public interest” means the interest of the public at large, separate and distinct from the interest of the public utility’s ratepayers. The analysis should include a discussion of the reorganization’s impact on the economy of the state and the communities where the utility is located.</w:t>
      </w:r>
    </w:p>
    <w:p>
      <w:pPr>
        <w:spacing w:before="0" w:after="0"/>
        <w:ind w:left="120"/>
        <w:jc w:val="both"/>
      </w:pPr>
      <w:r>
        <w:rPr>
          <w:rFonts w:ascii="Times New Roman" w:hAnsi="Times New Roman"/>
          <w:b w:val="false"/>
          <w:i w:val="false"/>
          <w:color w:val="000000"/>
          <w:sz w:val="22"/>
        </w:rPr>
        <w:t>If more than one public utility is involved in a reorganization, an analysis shall be submitted for all public utilities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32.3(5)</w:t>
      </w:r>
      <w:r>
        <w:rPr>
          <w:rFonts w:ascii="Times New Roman" w:hAnsi="Times New Roman"/>
          <w:b w:val="false"/>
          <w:i w:val="false"/>
          <w:color w:val="000000"/>
          <w:sz w:val="22"/>
        </w:rPr>
        <w:t> </w:t>
      </w:r>
      <w:r>
        <w:rPr>
          <w:rFonts w:ascii="Times New Roman" w:hAnsi="Times New Roman"/>
          <w:b w:val="false"/>
          <w:i w:val="false"/>
          <w:color w:val="000000"/>
          <w:sz w:val="22"/>
        </w:rPr>
        <w:t>Effect on service and reliability.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report on quality of service and reliability levels of utility services for each of the five years prior to the year of filing, for all affected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statement on how the proposed reorganized entity will maintain or enhance service and reliability, including any investment or operational plans that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32.3(6)</w:t>
      </w:r>
      <w:r>
        <w:rPr>
          <w:rFonts w:ascii="Times New Roman" w:hAnsi="Times New Roman"/>
          <w:b w:val="false"/>
          <w:i w:val="false"/>
          <w:color w:val="000000"/>
          <w:sz w:val="22"/>
        </w:rPr>
        <w:t> </w:t>
      </w:r>
      <w:r>
        <w:rPr>
          <w:rFonts w:ascii="Times New Roman" w:hAnsi="Times New Roman"/>
          <w:b w:val="false"/>
          <w:i w:val="false"/>
          <w:color w:val="000000"/>
          <w:sz w:val="22"/>
        </w:rPr>
        <w:t>If any information required by these subrules is not applicable to the type of reorganization being proposed, the applicant shall state the reason(s) why the particular information is not applicable to the proposal.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199—32.4</w:t>
      </w:r>
      <w:r>
        <w:rPr>
          <w:rFonts w:ascii="Times New Roman" w:hAnsi="Times New Roman"/>
          <w:b/>
          <w:i w:val="false"/>
          <w:color w:val="000000"/>
          <w:sz w:val="22"/>
        </w:rPr>
        <w:t xml:space="preserve">(476) </w:t>
      </w:r>
      <w:r>
        <w:rPr>
          <w:rFonts w:ascii="Times New Roman" w:hAnsi="Times New Roman"/>
          <w:b/>
          <w:i w:val="false"/>
          <w:color w:val="000000"/>
          <w:sz w:val="22"/>
        </w:rPr>
        <w:t xml:space="preserve">Insufficient filing. </w:t>
      </w:r>
      <w:r>
        <w:rPr>
          <w:rFonts w:ascii="Times New Roman" w:hAnsi="Times New Roman"/>
          <w:b w:val="false"/>
          <w:i w:val="false"/>
          <w:color w:val="000000"/>
          <w:sz w:val="22"/>
        </w:rPr>
        <w:t>The commission may reject within 30 days any proposal for reorganization that does not contain sufficient information for the commission to evaluate the proposal for reorganization. The commission shall fully describe any deficiencies in a reorganization plan that is rejected.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199—32.5</w:t>
      </w:r>
      <w:r>
        <w:rPr>
          <w:rFonts w:ascii="Times New Roman" w:hAnsi="Times New Roman"/>
          <w:b/>
          <w:i w:val="false"/>
          <w:color w:val="000000"/>
          <w:sz w:val="22"/>
        </w:rPr>
        <w:t xml:space="preserve">(476) </w:t>
      </w:r>
      <w:r>
        <w:rPr>
          <w:rFonts w:ascii="Times New Roman" w:hAnsi="Times New Roman"/>
          <w:b/>
          <w:i w:val="false"/>
          <w:color w:val="000000"/>
          <w:sz w:val="22"/>
        </w:rPr>
        <w:t xml:space="preserve">Procedural matters. </w:t>
      </w:r>
      <w:r>
        <w:rPr>
          <w:rFonts w:ascii="Times New Roman" w:hAnsi="Times New Roman"/>
          <w:b w:val="false"/>
          <w:i w:val="false"/>
          <w:color w:val="000000"/>
          <w:sz w:val="22"/>
        </w:rPr>
        <w:t xml:space="preserve">Because of statutory time limitations set forth in Iowa Code section </w:t>
      </w:r>
      <w:hyperlink r:id="rId8">
        <w:r>
          <w:rPr>
            <w:rStyle w:val="Hyperlink"/>
            <w:rFonts w:ascii="Times New Roman" w:hAnsi="Times New Roman"/>
            <w:b w:val="false"/>
            <w:i w:val="false"/>
            <w:color w:val="000000"/>
            <w:sz w:val="22"/>
          </w:rPr>
          <w:t>476.77(2)</w:t>
        </w:r>
      </w:hyperlink>
      <w:r>
        <w:rPr>
          <w:rFonts w:ascii="Times New Roman" w:hAnsi="Times New Roman"/>
          <w:b w:val="false"/>
          <w:i w:val="false"/>
          <w:color w:val="000000"/>
          <w:sz w:val="22"/>
        </w:rPr>
        <w:t>, an expedited procedural schedule shall be utilized for proposals for reorganization. The commission may order additional specific procedures as needed for the expedited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w:t>
      </w:r>
      <w:r>
        <w:rPr>
          <w:rFonts w:ascii="Times New Roman" w:hAnsi="Times New Roman"/>
          <w:b w:val="false"/>
          <w:i w:val="false"/>
          <w:color w:val="000000"/>
          <w:sz w:val="22"/>
        </w:rPr>
        <w:t> </w:t>
      </w:r>
      <w:r>
        <w:rPr>
          <w:rFonts w:ascii="Times New Roman" w:hAnsi="Times New Roman"/>
          <w:b w:val="false"/>
          <w:i w:val="false"/>
          <w:color w:val="000000"/>
          <w:sz w:val="22"/>
        </w:rPr>
        <w:t>Within 40 days after a proposal for reorganization and supporting testimony is filed, the consumer advocate and any intervenors may file any written testimony and exhibits. This will allow the commission an opportunity to consider the testimony and exhibits prior to the 50-day deadline for issuing a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32.5(2)</w:t>
      </w:r>
      <w:r>
        <w:rPr>
          <w:rFonts w:ascii="Times New Roman" w:hAnsi="Times New Roman"/>
          <w:b w:val="false"/>
          <w:i w:val="false"/>
          <w:color w:val="000000"/>
          <w:sz w:val="22"/>
        </w:rPr>
        <w:t> </w:t>
      </w:r>
      <w:r>
        <w:rPr>
          <w:rFonts w:ascii="Times New Roman" w:hAnsi="Times New Roman"/>
          <w:b w:val="false"/>
          <w:i w:val="false"/>
          <w:color w:val="000000"/>
          <w:sz w:val="22"/>
        </w:rPr>
        <w:t>Responses to data requests shall be made within five days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w:t>
      </w:r>
      <w:r>
        <w:rPr>
          <w:rFonts w:ascii="Times New Roman" w:hAnsi="Times New Roman"/>
          <w:b w:val="false"/>
          <w:i w:val="false"/>
          <w:color w:val="000000"/>
          <w:sz w:val="22"/>
        </w:rPr>
        <w:t> </w:t>
      </w:r>
      <w:r>
        <w:rPr>
          <w:rFonts w:ascii="Times New Roman" w:hAnsi="Times New Roman"/>
          <w:b w:val="false"/>
          <w:i w:val="false"/>
          <w:color w:val="000000"/>
          <w:sz w:val="22"/>
        </w:rPr>
        <w:t>When a hearing on the proposed reorganization is scheduled, the applicant, consumer advocate, and any intervenors file a joint statement of the issues at least ten days prior to the date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199—32.6</w:t>
      </w:r>
      <w:r>
        <w:rPr>
          <w:rFonts w:ascii="Times New Roman" w:hAnsi="Times New Roman"/>
          <w:b/>
          <w:i w:val="false"/>
          <w:color w:val="000000"/>
          <w:sz w:val="22"/>
        </w:rPr>
        <w:t xml:space="preserve">(388) </w:t>
      </w:r>
      <w:r>
        <w:rPr>
          <w:rFonts w:ascii="Times New Roman" w:hAnsi="Times New Roman"/>
          <w:b/>
          <w:i w:val="false"/>
          <w:color w:val="000000"/>
          <w:sz w:val="22"/>
        </w:rPr>
        <w:t xml:space="preserve">Approval of appraiser for municipal utilities. </w:t>
      </w:r>
      <w:r>
        <w:rPr>
          <w:rFonts w:ascii="Times New Roman" w:hAnsi="Times New Roman"/>
          <w:b w:val="false"/>
          <w:i w:val="false"/>
          <w:color w:val="000000"/>
          <w:sz w:val="22"/>
        </w:rPr>
        <w:t>The procedures for requesting commission approval of an appraiser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color w:val="000000"/>
          <w:sz w:val="22"/>
        </w:rPr>
        <w:t xml:space="preserve">Making a request. </w:t>
      </w:r>
      <w:r>
        <w:rPr>
          <w:rFonts w:ascii="Times New Roman" w:hAnsi="Times New Roman"/>
          <w:b w:val="false"/>
          <w:i w:val="false"/>
          <w:color w:val="000000"/>
          <w:sz w:val="22"/>
        </w:rPr>
        <w:t>To request commission approval of an appraiser to appraise a city utility, the governing body of the city utility shall file a request in the commission’s electronic filing system. The request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city and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utility service provided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number of customers served by the utility and the number of customers served by class,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assets owned by the utility;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city or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request. </w:t>
      </w:r>
      <w:r>
        <w:rPr>
          <w:rFonts w:ascii="Times New Roman" w:hAnsi="Times New Roman"/>
          <w:b w:val="false"/>
          <w:i w:val="false"/>
          <w:color w:val="000000"/>
          <w:sz w:val="22"/>
        </w:rPr>
        <w:t>When a request for approval of an appraiser is received by the commission, commission staff reviews the request and provides the commission with a recommendation or a list of appraisers for the commission to consider approving. The commission may delegate approval authority to the commission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approved appraiser. </w:t>
      </w:r>
      <w:r>
        <w:rPr>
          <w:rFonts w:ascii="Times New Roman" w:hAnsi="Times New Roman"/>
          <w:b w:val="false"/>
          <w:i w:val="false"/>
          <w:color w:val="000000"/>
          <w:sz w:val="22"/>
        </w:rPr>
        <w:t>Within 30 calendar days following the city’s or city utility’s filing to request commission approval of an appraiser, the commission shall notify the city and governing body of the city utility of an approved appraiser. If the city and governing body of the city utility are unable to agree to terms with an approved appraiser, the city and governing body of the city utility may file a letter with the commission requesting approval of another appraiser and identifying the reasons they are requesting the commission to approve another appraiser.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10">
        <w:r>
          <w:rPr>
            <w:rStyle w:val="Hyperlink"/>
            <w:rFonts w:ascii="Times New Roman" w:hAnsi="Times New Roman"/>
            <w:b w:val="false"/>
            <w:i w:val="false"/>
            <w:color w:val="000000"/>
            <w:sz w:val="22"/>
          </w:rPr>
          <w:t>476.76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476.77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11/9/90, Notice 4/18/90—published 11/28/90, effective 1/2/91]</w:t>
      </w:r>
    </w:p>
    <w:p>
      <w:pPr>
        <w:spacing w:before="0" w:after="0"/>
        <w:ind w:left="120"/>
        <w:jc w:val="center"/>
      </w:pPr>
      <w:r>
        <w:rPr>
          <w:rFonts w:ascii="Times New Roman" w:hAnsi="Times New Roman"/>
          <w:b w:val="false"/>
          <w:i w:val="false"/>
          <w:color w:val="000000"/>
          <w:sz w:val="21"/>
        </w:rPr>
        <w:t>[Filed 8/16/91, Notice 6/26/91—published 9/4/91, effective 9/25/91]</w:t>
      </w:r>
    </w:p>
    <w:p>
      <w:pPr>
        <w:spacing w:before="0" w:after="0"/>
        <w:ind w:left="120"/>
        <w:jc w:val="center"/>
      </w:pPr>
      <w:r>
        <w:rPr>
          <w:rFonts w:ascii="Times New Roman" w:hAnsi="Times New Roman"/>
          <w:b w:val="false"/>
          <w:i w:val="false"/>
          <w:color w:val="000000"/>
          <w:sz w:val="21"/>
        </w:rPr>
        <w:t>[Filed 5/6/92, Notice 2/19/92—published 5/27/92, effective 7/1/92]</w:t>
      </w:r>
    </w:p>
    <w:p>
      <w:pPr>
        <w:spacing w:before="0" w:after="0"/>
        <w:ind w:left="120"/>
        <w:jc w:val="center"/>
      </w:pPr>
      <w:r>
        <w:rPr>
          <w:rFonts w:ascii="Times New Roman" w:hAnsi="Times New Roman"/>
          <w:b w:val="false"/>
          <w:i w:val="false"/>
          <w:color w:val="000000"/>
          <w:sz w:val="21"/>
        </w:rPr>
        <w:t>[Filed 6/27/96, Notice 4/24/96—published 7/17/96, effective 8/21/96]</w:t>
      </w:r>
    </w:p>
    <w:p>
      <w:pPr>
        <w:spacing w:before="0" w:after="0"/>
        <w:ind w:left="120"/>
        <w:jc w:val="center"/>
      </w:pPr>
      <w:r>
        <w:rPr>
          <w:rFonts w:ascii="Times New Roman" w:hAnsi="Times New Roman"/>
          <w:b w:val="false"/>
          <w:i w:val="false"/>
          <w:color w:val="000000"/>
          <w:sz w:val="21"/>
        </w:rPr>
        <w:t>[Filed 8/21/97, Notice 3/26/97—published 9/10/97, effective 10/15/97]</w:t>
      </w:r>
    </w:p>
    <w:p>
      <w:pPr>
        <w:spacing w:before="0" w:after="0"/>
        <w:ind w:left="120"/>
        <w:jc w:val="center"/>
      </w:pPr>
      <w:r>
        <w:rPr>
          <w:rFonts w:ascii="Times New Roman" w:hAnsi="Times New Roman"/>
          <w:b w:val="false"/>
          <w:i w:val="false"/>
          <w:color w:val="000000"/>
          <w:sz w:val="21"/>
        </w:rPr>
        <w:t>[Filed 1/18/01, Notice 11/29/00—published 2/7/01, effective 3/14/01]</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5/7/04, Notice 3/17/04—published 5/26/04, effective 6/30/04]</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ARC 3317C</w:t>
      </w:r>
      <w:r>
        <w:rPr>
          <w:rFonts w:ascii="Times New Roman" w:hAnsi="Times New Roman"/>
          <w:b w:val="false"/>
          <w:i w:val="false"/>
          <w:color w:val="000000"/>
          <w:sz w:val="21"/>
        </w:rPr>
        <w:t xml:space="preserve"> (Notice ARC 3120C, IAB 6/21/17)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[Filed ARC 4465C</w:t>
      </w:r>
      <w:r>
        <w:rPr>
          <w:rFonts w:ascii="Times New Roman" w:hAnsi="Times New Roman"/>
          <w:b w:val="false"/>
          <w:i w:val="false"/>
          <w:color w:val="000000"/>
          <w:sz w:val="21"/>
        </w:rPr>
        <w:t xml:space="preserve"> (Notice ARC 4315C, IAB 2/27/19)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8063C</w:t>
      </w:r>
      <w:r>
        <w:rPr>
          <w:rFonts w:ascii="Times New Roman" w:hAnsi="Times New Roman"/>
          <w:b w:val="false"/>
          <w:i w:val="false"/>
          <w:color w:val="000000"/>
          <w:sz w:val="21"/>
        </w:rPr>
        <w:t xml:space="preserve"> (Notice ARC 7743C,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77.pdf" Type="http://schemas.openxmlformats.org/officeDocument/2006/relationships/hyperlink" Id="rId5"/>
    <Relationship TargetMode="External" Target="https://www.legis.iowa.gov/docs/iac/rule/199.32.2.pdf" Type="http://schemas.openxmlformats.org/officeDocument/2006/relationships/hyperlink" Id="rId6"/>
    <Relationship TargetMode="External" Target="https://www.legis.iowa.gov/docs/ico/chapter/476.77.pdf" Type="http://schemas.openxmlformats.org/officeDocument/2006/relationships/hyperlink" Id="rId7"/>
    <Relationship TargetMode="External" Target="https://www.legis.iowa.gov/docs/ico/chapter/476.77.pdf" Type="http://schemas.openxmlformats.org/officeDocument/2006/relationships/hyperlink" Id="rId8"/>
    <Relationship TargetMode="External" Target="https://www.legis.iowa.gov/docs/ico/chapter/388.2A.pdf" Type="http://schemas.openxmlformats.org/officeDocument/2006/relationships/hyperlink" Id="rId9"/>
    <Relationship TargetMode="External" Target="https://www.legis.iowa.gov/docs/ico/chapter/476.76.pdf" Type="http://schemas.openxmlformats.org/officeDocument/2006/relationships/hyperlink" Id="rId10"/>
    <Relationship TargetMode="External" Target="https://www.legis.iowa.gov/docs/ico/chapter/476.77.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