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2506</w:t>
      </w:r>
    </w:p>
    <w:p>
      <w:pPr>
        <w:spacing w:before="0" w:after="0"/>
        <w:ind w:left="120"/>
        <w:jc w:val="center"/>
      </w:pPr>
      <w:r>
        <w:rPr>
          <w:rFonts w:ascii="Times New Roman" w:hAnsi="Times New Roman"/>
          <w:b w:val="false"/>
          <w:i w:val="false"/>
          <w:color w:val="000000"/>
          <w:sz w:val="21"/>
        </w:rPr>
        <w:t>CONTESTED CASES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6/1/31</w:t>
      </w:r>
    </w:p>
    <w:p>
      <w:pPr>
        <w:spacing w:before="0" w:after="0"/>
        <w:ind w:left="120"/>
        <w:jc w:val="both"/>
      </w:pPr>
      <w:r>
        <w:rPr>
          <w:rFonts w:ascii="Times New Roman" w:hAnsi="Times New Roman"/>
          <w:b w:val="false"/>
          <w:i w:val="false"/>
          <w:color w:val="000000"/>
          <w:sz w:val="22"/>
        </w:rPr>
        <w:t xml:space="preserve">The Uniform Rules on Agency Procedure, 7—Chapters </w:t>
      </w:r>
      <w:hyperlink r:id="rId5">
        <w:r>
          <w:rPr>
            <w:rStyle w:val="Hyperlink"/>
            <w:rFonts w:ascii="Times New Roman" w:hAnsi="Times New Roman"/>
            <w:b w:val="false"/>
            <w:i w:val="false"/>
            <w:color w:val="000000"/>
            <w:sz w:val="22"/>
          </w:rPr>
          <w:t>2500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2506</w:t>
        </w:r>
      </w:hyperlink>
      <w:r>
        <w:rPr>
          <w:rFonts w:ascii="Times New Roman" w:hAnsi="Times New Roman"/>
          <w:b w:val="false"/>
          <w:i w:val="false"/>
          <w:color w:val="000000"/>
          <w:sz w:val="22"/>
        </w:rPr>
        <w:t xml:space="preserve">, are rules generally applicable to agencies pursuant to Iowa Code section </w:t>
      </w:r>
      <w:hyperlink r:id="rId7">
        <w:r>
          <w:rPr>
            <w:rStyle w:val="Hyperlink"/>
            <w:rFonts w:ascii="Times New Roman" w:hAnsi="Times New Roman"/>
            <w:b w:val="false"/>
            <w:i w:val="false"/>
            <w:color w:val="000000"/>
            <w:sz w:val="22"/>
          </w:rPr>
          <w:t>17A.24</w:t>
        </w:r>
      </w:hyperlink>
      <w:r>
        <w:rPr>
          <w:rFonts w:ascii="Times New Roman" w:hAnsi="Times New Roman"/>
          <w:b w:val="false"/>
          <w:i w:val="false"/>
          <w:color w:val="000000"/>
          <w:sz w:val="22"/>
        </w:rPr>
        <w:t xml:space="preserve">. The commission adopts this chapter as an exception in full to </w:t>
      </w:r>
      <w:hyperlink r:id="rId8">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199—2506.1</w:t>
      </w:r>
      <w:r>
        <w:rPr>
          <w:rFonts w:ascii="Times New Roman" w:hAnsi="Times New Roman"/>
          <w:b/>
          <w:i w:val="false"/>
          <w:color w:val="000000"/>
          <w:sz w:val="22"/>
        </w:rPr>
        <w:t xml:space="preserve">(17A,474,476) </w:t>
      </w:r>
      <w:r>
        <w:rPr>
          <w:rFonts w:ascii="Times New Roman" w:hAnsi="Times New Roman"/>
          <w:b/>
          <w:i w:val="false"/>
          <w:color w:val="000000"/>
          <w:sz w:val="22"/>
        </w:rPr>
        <w:t xml:space="preserve">Scope and 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applies to contested case proceedings, investigations, and other proceedings conducted by the commission or a presiding officer unless the proceedings have specific procedures established in commission rules. If there are no other applicable procedural rules, this chapter applies to other types of agency action unless the commission or presiding officer orders otherwise. The rules in this chapter regarding the content and format of pleadings, testimony, workpapers, and other supporting documents apply to both paper filings and electronic filings made pursuant to </w:t>
      </w:r>
      <w:hyperlink r:id="rId9">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The rules in this chapter regarding filing, service, and the necessary number of copies apply to paper filings. The filing and service of electronically filed documents are governed by </w:t>
      </w:r>
      <w:hyperlink r:id="rId10">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The commission has established additional procedural requirements in other chapters as described in subrules </w:t>
      </w:r>
      <w:hyperlink r:id="rId11">
        <w:r>
          <w:rPr>
            <w:rStyle w:val="Hyperlink"/>
            <w:rFonts w:ascii="Times New Roman" w:hAnsi="Times New Roman"/>
            <w:b w:val="false"/>
            <w:i w:val="false"/>
            <w:color w:val="000000"/>
            <w:sz w:val="22"/>
          </w:rPr>
          <w:t>2506.1(2)</w:t>
        </w:r>
      </w:hyperlink>
      <w:r>
        <w:rPr>
          <w:rFonts w:ascii="Times New Roman" w:hAnsi="Times New Roman"/>
          <w:b w:val="false"/>
          <w:i w:val="false"/>
          <w:color w:val="000000"/>
          <w:sz w:val="22"/>
        </w:rPr>
        <w:t xml:space="preserve"> through </w:t>
      </w:r>
      <w:hyperlink r:id="rId12">
        <w:r>
          <w:rPr>
            <w:rStyle w:val="Hyperlink"/>
            <w:rFonts w:ascii="Times New Roman" w:hAnsi="Times New Roman"/>
            <w:b w:val="false"/>
            <w:i w:val="false"/>
            <w:color w:val="000000"/>
            <w:sz w:val="22"/>
          </w:rPr>
          <w:t>2506.1(5)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rules applicable only to rate cases, tariff filings, and rate regulation election by rural electric cooperatives are contained in </w:t>
      </w:r>
      <w:hyperlink r:id="rId13">
        <w:r>
          <w:rPr>
            <w:rStyle w:val="Hyperlink"/>
            <w:rFonts w:ascii="Times New Roman" w:hAnsi="Times New Roman"/>
            <w:b w:val="false"/>
            <w:i w:val="false"/>
            <w:color w:val="000000"/>
            <w:sz w:val="22"/>
          </w:rPr>
          <w:t>199—Chapter 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w:t>
      </w:r>
      <w:r>
        <w:rPr>
          <w:rFonts w:ascii="Times New Roman" w:hAnsi="Times New Roman"/>
          <w:b w:val="false"/>
          <w:i w:val="false"/>
          <w:color w:val="000000"/>
          <w:sz w:val="22"/>
        </w:rPr>
        <w:t> </w:t>
      </w:r>
      <w:r>
        <w:rPr>
          <w:rFonts w:ascii="Times New Roman" w:hAnsi="Times New Roman"/>
          <w:b w:val="false"/>
          <w:i w:val="false"/>
          <w:color w:val="000000"/>
          <w:sz w:val="22"/>
        </w:rPr>
        <w:t>Notice of inquiry dockets and investigations. The commission may issue a notice of inquiry or open an investigation and establish a docket through which the inquiry or investigation can be processed. The procedural rules in this chapter apply to these dockets unless otherwise ordered by the commission or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2506.1(4)</w:t>
      </w:r>
      <w:r>
        <w:rPr>
          <w:rFonts w:ascii="Times New Roman" w:hAnsi="Times New Roman"/>
          <w:b w:val="false"/>
          <w:i w:val="false"/>
          <w:color w:val="000000"/>
          <w:sz w:val="22"/>
        </w:rPr>
        <w:t> </w:t>
      </w:r>
      <w:r>
        <w:rPr>
          <w:rFonts w:ascii="Times New Roman" w:hAnsi="Times New Roman"/>
          <w:b w:val="false"/>
          <w:i w:val="false"/>
          <w:color w:val="000000"/>
          <w:sz w:val="22"/>
        </w:rPr>
        <w:t xml:space="preserve">Reorganizations. Procedural rules applicable to reorganizations are included in rule </w:t>
      </w:r>
      <w:hyperlink r:id="rId14">
        <w:r>
          <w:rPr>
            <w:rStyle w:val="Hyperlink"/>
            <w:rFonts w:ascii="Times New Roman" w:hAnsi="Times New Roman"/>
            <w:b w:val="false"/>
            <w:i w:val="false"/>
            <w:color w:val="000000"/>
            <w:sz w:val="22"/>
          </w:rPr>
          <w:t>199—32.5</w:t>
        </w:r>
      </w:hyperlink>
      <w:r>
        <w:rPr>
          <w:rFonts w:ascii="Times New Roman" w:hAnsi="Times New Roman"/>
          <w:b w:val="false"/>
          <w:i w:val="false"/>
          <w:color w:val="000000"/>
          <w:sz w:val="22"/>
        </w:rPr>
        <w:t xml:space="preserve">(476). In the event the requirements in rule </w:t>
      </w:r>
      <w:hyperlink r:id="rId15">
        <w:r>
          <w:rPr>
            <w:rStyle w:val="Hyperlink"/>
            <w:rFonts w:ascii="Times New Roman" w:hAnsi="Times New Roman"/>
            <w:b w:val="false"/>
            <w:i w:val="false"/>
            <w:color w:val="000000"/>
            <w:sz w:val="22"/>
          </w:rPr>
          <w:t>199—32.5</w:t>
        </w:r>
      </w:hyperlink>
      <w:r>
        <w:rPr>
          <w:rFonts w:ascii="Times New Roman" w:hAnsi="Times New Roman"/>
          <w:b w:val="false"/>
          <w:i w:val="false"/>
          <w:color w:val="000000"/>
          <w:sz w:val="22"/>
        </w:rPr>
        <w:t xml:space="preserve">(476) conflict with the requirements in this chapter, the requirements in rule </w:t>
      </w:r>
      <w:hyperlink r:id="rId16">
        <w:r>
          <w:rPr>
            <w:rStyle w:val="Hyperlink"/>
            <w:rFonts w:ascii="Times New Roman" w:hAnsi="Times New Roman"/>
            <w:b w:val="false"/>
            <w:i w:val="false"/>
            <w:color w:val="000000"/>
            <w:sz w:val="22"/>
          </w:rPr>
          <w:t>199—32.5</w:t>
        </w:r>
      </w:hyperlink>
      <w:r>
        <w:rPr>
          <w:rFonts w:ascii="Times New Roman" w:hAnsi="Times New Roman"/>
          <w:b w:val="false"/>
          <w:i w:val="false"/>
          <w:color w:val="000000"/>
          <w:sz w:val="22"/>
        </w:rPr>
        <w:t>(476) are controlling.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2506.1(5)</w:t>
      </w:r>
      <w:r>
        <w:rPr>
          <w:rFonts w:ascii="Times New Roman" w:hAnsi="Times New Roman"/>
          <w:b w:val="false"/>
          <w:i w:val="false"/>
          <w:color w:val="000000"/>
          <w:sz w:val="22"/>
        </w:rPr>
        <w:t> </w:t>
      </w:r>
      <w:r>
        <w:rPr>
          <w:rFonts w:ascii="Times New Roman" w:hAnsi="Times New Roman"/>
          <w:b w:val="false"/>
          <w:i w:val="false"/>
          <w:color w:val="000000"/>
          <w:sz w:val="22"/>
        </w:rPr>
        <w:t xml:space="preserve">Discontinuance of service incident to utility property transfer. This subrule does not apply to telecommunications service providers registered with the commission pursuant to Iowa Code section </w:t>
      </w:r>
      <w:hyperlink r:id="rId17">
        <w:r>
          <w:rPr>
            <w:rStyle w:val="Hyperlink"/>
            <w:rFonts w:ascii="Times New Roman" w:hAnsi="Times New Roman"/>
            <w:b w:val="false"/>
            <w:i w:val="false"/>
            <w:color w:val="000000"/>
            <w:sz w:val="22"/>
          </w:rPr>
          <w:t>476.95A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This rule applies to discontinuance of utility service pursuant to Iowa Code section </w:t>
      </w:r>
      <w:hyperlink r:id="rId18">
        <w:r>
          <w:rPr>
            <w:rStyle w:val="Hyperlink"/>
            <w:rFonts w:ascii="Times New Roman" w:hAnsi="Times New Roman"/>
            <w:b w:val="false"/>
            <w:i w:val="false"/>
            <w:color w:val="000000"/>
            <w:sz w:val="22"/>
          </w:rPr>
          <w:t>476.20(1)</w:t>
        </w:r>
      </w:hyperlink>
      <w:r>
        <w:rPr>
          <w:rFonts w:ascii="Times New Roman" w:hAnsi="Times New Roman"/>
          <w:b w:val="false"/>
          <w:i w:val="false"/>
          <w:color w:val="000000"/>
          <w:sz w:val="22"/>
        </w:rPr>
        <w:t>, which includes the termination or transfer of the right and duty to provide utility service to a community or part of a community incident to the transfer, by sale or otherwise, except a stock transfer incident to corporate reorganization.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 application for permission to discontinue service should include a summary of the relevant facts and the grounds upon which the application should be granted. When the discontinuance of service is incident to the transfer of utility property, a joint application will be filed by the transferor utility and the transferee.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Within 30 days after an application is filed, the commission will approve the application or docket the application for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 xml:space="preserve">Contested cases under paragraph </w:t>
      </w:r>
      <w:hyperlink r:id="rId19">
        <w:r>
          <w:rPr>
            <w:rStyle w:val="Hyperlink"/>
            <w:rFonts w:ascii="Times New Roman" w:hAnsi="Times New Roman"/>
            <w:b w:val="false"/>
            <w:i w:val="false"/>
            <w:color w:val="000000"/>
            <w:sz w:val="22"/>
          </w:rPr>
          <w:t>2506.1(5)</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completed within four months after the date of docketing.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Criteria. </w:t>
      </w:r>
      <w:r>
        <w:rPr>
          <w:rFonts w:ascii="Times New Roman" w:hAnsi="Times New Roman"/>
          <w:b w:val="false"/>
          <w:i w:val="false"/>
          <w:color w:val="000000"/>
          <w:sz w:val="22"/>
        </w:rPr>
        <w:t>The application will be granted if the commission finds the utility service is no longer necessary or if the commission finds the transferee is ready, willing, and able to provide comparable utility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2506.1(6)</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purpose of these rules is to facilitate the transaction of business before the commission and to promote the just resolution of controversies. Consistent with this purpose, the application of any of these rules, unless otherwise prescribed by law, may be waived by the commission or presiding officer pursuant to </w:t>
      </w:r>
      <w:hyperlink r:id="rId20">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2506.1(7)</w:t>
      </w:r>
      <w:r>
        <w:rPr>
          <w:rFonts w:ascii="Times New Roman" w:hAnsi="Times New Roman"/>
          <w:b w:val="false"/>
          <w:i w:val="false"/>
          <w:color w:val="000000"/>
          <w:sz w:val="22"/>
        </w:rPr>
        <w:t> </w:t>
      </w:r>
      <w:r>
        <w:rPr>
          <w:rFonts w:ascii="Times New Roman" w:hAnsi="Times New Roman"/>
          <w:b w:val="false"/>
          <w:i w:val="false"/>
          <w:color w:val="000000"/>
          <w:sz w:val="22"/>
        </w:rPr>
        <w:t>Procedural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Authority to issue procedural orders in all proceedings, including contested case proceedings, investigations, and all other dockets and matters before the commission when a majority of the commission is not available due to emergency, or for the efficient and reasonable conduct of proceedings, is granted to a single commission member. If no member of the commission is available to issue a procedural order due to emergency, or for the efficient and reasonable conduct of proceedings, the procedural order may be issued by a presiding officer designated by the commission. If a presiding officer is not available to issue a procedural order due to an emergency, or for the efficient and reasonable conduct of proceedings, a procedural order may be issued by the general counsel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Procedural orders under this subrule will be issued only upon the showing of good cause and when the prejudice to a nonmoving party is not great. The procedural order under this subrule will state that it is issued pursuant to the delegation authority established in this subrule and that the procedural order so issued is subject to review by the commission upon its own motion or upon motion by any party or other interested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199—2506.2</w:t>
      </w:r>
      <w:r>
        <w:rPr>
          <w:rFonts w:ascii="Times New Roman" w:hAnsi="Times New Roman"/>
          <w:b/>
          <w:i w:val="false"/>
          <w:color w:val="000000"/>
          <w:sz w:val="22"/>
        </w:rPr>
        <w:t xml:space="preserve">(17A,476)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means the Iowa utilities commission or a majority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“Complainants”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persons who complain to the commission of any act or thing done or omitted to be done in violation, or claimed to be in violation, of any provision of Iowa Code chapters </w:t>
      </w:r>
      <w:hyperlink r:id="rId21">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through </w:t>
      </w:r>
      <w:hyperlink r:id="rId22">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477</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477A</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477C</w:t>
        </w:r>
      </w:hyperlink>
      <w:r>
        <w:rPr>
          <w:rFonts w:ascii="Times New Roman" w:hAnsi="Times New Roman"/>
          <w:b w:val="false"/>
          <w:i w:val="false"/>
          <w:color w:val="000000"/>
          <w:sz w:val="22"/>
        </w:rPr>
        <w:t xml:space="preserve"> through </w:t>
      </w:r>
      <w:hyperlink r:id="rId26">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 xml:space="preserve"> or of any order or rule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“Consumer advocate”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office of consumer advocate, a division of the Iowa department of justice, referred to in Iowa Code chapter </w:t>
      </w:r>
      <w:hyperlink r:id="rId27">
        <w:r>
          <w:rPr>
            <w:rStyle w:val="Hyperlink"/>
            <w:rFonts w:ascii="Times New Roman" w:hAnsi="Times New Roman"/>
            <w:b w:val="false"/>
            <w:i w:val="false"/>
            <w:color w:val="000000"/>
            <w:sz w:val="22"/>
          </w:rPr>
          <w:t>475A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“Contested case”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proceeding defined by Iowa Code section </w:t>
      </w:r>
      <w:hyperlink r:id="rId28">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29">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“Data request”</w:t>
      </w:r>
      <w:r>
        <w:rPr>
          <w:rFonts w:ascii="Times New Roman" w:hAnsi="Times New Roman"/>
          <w:b w:val="false"/>
          <w:i w:val="false"/>
          <w:color w:val="000000"/>
          <w:sz w:val="22"/>
        </w:rPr>
        <w:t> </w:t>
      </w:r>
      <w:r>
        <w:rPr>
          <w:rFonts w:ascii="Times New Roman" w:hAnsi="Times New Roman"/>
          <w:b w:val="false"/>
          <w:i w:val="false"/>
          <w:color w:val="000000"/>
          <w:sz w:val="22"/>
        </w:rPr>
        <w:t>means a discovery procedure in which the requesting party asks another person for specified information or requests the production of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“Expedited proceeding”</w:t>
      </w:r>
      <w:r>
        <w:rPr>
          <w:rFonts w:ascii="Times New Roman" w:hAnsi="Times New Roman"/>
          <w:b w:val="false"/>
          <w:i w:val="false"/>
          <w:color w:val="000000"/>
          <w:sz w:val="22"/>
        </w:rPr>
        <w:t> </w:t>
      </w:r>
      <w:r>
        <w:rPr>
          <w:rFonts w:ascii="Times New Roman" w:hAnsi="Times New Roman"/>
          <w:b w:val="false"/>
          <w:i w:val="false"/>
          <w:color w:val="000000"/>
          <w:sz w:val="22"/>
        </w:rPr>
        <w:t>means a proceeding before the commission in which a statutory or other provision of law directs the commission to render a decision in the proceeding in six months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“Filed”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“accepted for filing” by the commission as defined in rule </w:t>
      </w:r>
      <w:hyperlink r:id="rId30">
        <w:r>
          <w:rPr>
            <w:rStyle w:val="Hyperlink"/>
            <w:rFonts w:ascii="Times New Roman" w:hAnsi="Times New Roman"/>
            <w:b w:val="false"/>
            <w:i w:val="false"/>
            <w:color w:val="000000"/>
            <w:sz w:val="22"/>
          </w:rPr>
          <w:t>199—14.3</w:t>
        </w:r>
      </w:hyperlink>
      <w:r>
        <w:rPr>
          <w:rFonts w:ascii="Times New Roman" w:hAnsi="Times New Roman"/>
          <w:b w:val="false"/>
          <w:i w:val="false"/>
          <w:color w:val="000000"/>
          <w:sz w:val="22"/>
        </w:rPr>
        <w:t>(17A,476).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“Intervenor”</w:t>
      </w:r>
      <w:r>
        <w:rPr>
          <w:rFonts w:ascii="Times New Roman" w:hAnsi="Times New Roman"/>
          <w:b w:val="false"/>
          <w:i w:val="false"/>
          <w:color w:val="000000"/>
          <w:sz w:val="22"/>
        </w:rPr>
        <w:t> </w:t>
      </w:r>
      <w:r>
        <w:rPr>
          <w:rFonts w:ascii="Times New Roman" w:hAnsi="Times New Roman"/>
          <w:b w:val="false"/>
          <w:i w:val="false"/>
          <w:color w:val="000000"/>
          <w:sz w:val="22"/>
        </w:rPr>
        <w:t>means any person who, upon written petition, is permitted to intervene as a party in a specific proceeding before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“Issuance”</w:t>
      </w:r>
      <w:r>
        <w:rPr>
          <w:rFonts w:ascii="Times New Roman" w:hAnsi="Times New Roman"/>
          <w:b w:val="false"/>
          <w:i w:val="false"/>
          <w:color w:val="000000"/>
          <w:sz w:val="22"/>
        </w:rPr>
        <w:t> </w:t>
      </w:r>
      <w:r>
        <w:rPr>
          <w:rFonts w:ascii="Times New Roman" w:hAnsi="Times New Roman"/>
          <w:b w:val="false"/>
          <w:i w:val="false"/>
          <w:color w:val="000000"/>
          <w:sz w:val="22"/>
        </w:rPr>
        <w:t>means the date on which an order is uploaded into the commission’s electronic filing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“Party”</w:t>
      </w:r>
      <w:r>
        <w:rPr>
          <w:rFonts w:ascii="Times New Roman" w:hAnsi="Times New Roman"/>
          <w:b w:val="false"/>
          <w:i w:val="false"/>
          <w:color w:val="000000"/>
          <w:sz w:val="22"/>
        </w:rPr>
        <w:t> </w:t>
      </w:r>
      <w:r>
        <w:rPr>
          <w:rFonts w:ascii="Times New Roman" w:hAnsi="Times New Roman"/>
          <w:b w:val="false"/>
          <w:i w:val="false"/>
          <w:color w:val="000000"/>
          <w:sz w:val="22"/>
        </w:rPr>
        <w:t>means each person named or admitted as a party in a proceeding before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31">
        <w:r>
          <w:rPr>
            <w:rStyle w:val="Hyperlink"/>
            <w:rFonts w:ascii="Times New Roman" w:hAnsi="Times New Roman"/>
            <w:b w:val="false"/>
            <w:i w:val="false"/>
            <w:color w:val="000000"/>
            <w:sz w:val="22"/>
          </w:rPr>
          <w:t>4.1(20)</w:t>
        </w:r>
      </w:hyperlink>
      <w:r>
        <w:rPr>
          <w:rFonts w:ascii="Times New Roman" w:hAnsi="Times New Roman"/>
          <w:b w:val="false"/>
          <w:i w:val="false"/>
          <w:color w:val="000000"/>
          <w:sz w:val="22"/>
        </w:rPr>
        <w:t xml:space="preserve"> and includes individuals and all forms of legal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“Petitioner”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any party who, by written petition, application, or other filing, applies for or seeks relief from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“Presiding officer”</w:t>
      </w:r>
      <w:r>
        <w:rPr>
          <w:rFonts w:ascii="Times New Roman" w:hAnsi="Times New Roman"/>
          <w:b w:val="false"/>
          <w:i w:val="false"/>
          <w:color w:val="000000"/>
          <w:sz w:val="22"/>
        </w:rPr>
        <w:t> </w:t>
      </w:r>
      <w:r>
        <w:rPr>
          <w:rFonts w:ascii="Times New Roman" w:hAnsi="Times New Roman"/>
          <w:b w:val="false"/>
          <w:i w:val="false"/>
          <w:color w:val="000000"/>
          <w:sz w:val="22"/>
        </w:rPr>
        <w:t>means one commission member or another person designated by the commission with the authority to preside over a particular proceeding or matter before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“Proposed decision”</w:t>
      </w:r>
      <w:r>
        <w:rPr>
          <w:rFonts w:ascii="Times New Roman" w:hAnsi="Times New Roman"/>
          <w:b w:val="false"/>
          <w:i w:val="false"/>
          <w:color w:val="000000"/>
          <w:sz w:val="22"/>
        </w:rPr>
        <w:t> </w:t>
      </w:r>
      <w:r>
        <w:rPr>
          <w:rFonts w:ascii="Times New Roman" w:hAnsi="Times New Roman"/>
          <w:b w:val="false"/>
          <w:i w:val="false"/>
          <w:color w:val="000000"/>
          <w:sz w:val="22"/>
        </w:rPr>
        <w:t>means the presiding officer’s recommended findings of fact, conclusions of law, decision, and order in a proceeding that has been assigned by the commission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service as prescribed in </w:t>
      </w:r>
      <w:hyperlink r:id="rId32">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199—2506.3</w:t>
      </w:r>
      <w:r>
        <w:rPr>
          <w:rFonts w:ascii="Times New Roman" w:hAnsi="Times New Roman"/>
          <w:b/>
          <w:i w:val="false"/>
          <w:color w:val="000000"/>
          <w:sz w:val="22"/>
        </w:rPr>
        <w:t xml:space="preserve">(17A,476) </w:t>
      </w:r>
      <w:r>
        <w:rPr>
          <w:rFonts w:ascii="Times New Roman" w:hAnsi="Times New Roman"/>
          <w:b/>
          <w:i w:val="false"/>
          <w:color w:val="000000"/>
          <w:sz w:val="22"/>
        </w:rPr>
        <w:t xml:space="preserve">Presiding officers. </w:t>
      </w:r>
      <w:r>
        <w:rPr>
          <w:rFonts w:ascii="Times New Roman" w:hAnsi="Times New Roman"/>
          <w:b w:val="false"/>
          <w:i w:val="false"/>
          <w:color w:val="000000"/>
          <w:sz w:val="22"/>
        </w:rPr>
        <w:t>Presiding officers may be designated by the commission to preside over contested cases or other proceedings and conduct hearings and have the following authority unless otherwise ordered by the commission: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regulate the course of hearings;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To administer oaths and affirmations;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To rule upon the admissibility of evidence and offers of proof;</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To take or cause depositions to be taken;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To dispose of procedural matters, discovery disputes, motions to dismiss, and other motions that may involve final determination of proceedings, subject to review by the commission on its own motion or upon application by any party;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To certify any question to the commission, in the discretion of the presiding officer or upon direction of the commission;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To permit and schedule the filing of written briefs;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To hold appropriate conferences before, during, or after hearings;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To render a proposed decision and order in a contested case proceeding, or other proceeding, subject to review by the commission on its own motion or upon appeal by any party; and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To take any other action necessary or appropriate to the discharge of duties vested in the presiding officer, consistent with law and with the rules and orders of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199—2506.4</w:t>
      </w:r>
      <w:r>
        <w:rPr>
          <w:rFonts w:ascii="Times New Roman" w:hAnsi="Times New Roman"/>
          <w:b/>
          <w:i w:val="false"/>
          <w:color w:val="000000"/>
          <w:sz w:val="22"/>
        </w:rPr>
        <w:t xml:space="preserve">(17A,474,476)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2506.4(1)</w:t>
      </w:r>
      <w:r>
        <w:rPr>
          <w:rFonts w:ascii="Times New Roman" w:hAnsi="Times New Roman"/>
          <w:b w:val="false"/>
          <w:i w:val="false"/>
          <w:color w:val="000000"/>
          <w:sz w:val="22"/>
        </w:rPr>
        <w:t> </w:t>
      </w:r>
      <w:r>
        <w:rPr>
          <w:rFonts w:ascii="Times New Roman" w:hAnsi="Times New Roman"/>
          <w:b w:val="false"/>
          <w:i/>
          <w:color w:val="000000"/>
          <w:sz w:val="22"/>
        </w:rPr>
        <w:t xml:space="preserve">Orders. </w:t>
      </w:r>
      <w:r>
        <w:rPr>
          <w:rFonts w:ascii="Times New Roman" w:hAnsi="Times New Roman"/>
          <w:b w:val="false"/>
          <w:i w:val="false"/>
          <w:color w:val="000000"/>
          <w:sz w:val="22"/>
        </w:rPr>
        <w:t>All orders will be issued and uploaded into the commission’s electronic filing system. Orders are effective upon acceptance into the electronic filing system unless otherwise provided in the order. Orders and other filings in dockets may be viewed in the specific docket accessed through the commission’s electronic filing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2506.4(2)</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Electronic communications. </w:t>
      </w:r>
      <w:r>
        <w:rPr>
          <w:rFonts w:ascii="Times New Roman" w:hAnsi="Times New Roman"/>
          <w:b w:val="false"/>
          <w:i w:val="false"/>
          <w:color w:val="000000"/>
          <w:sz w:val="22"/>
        </w:rPr>
        <w:t xml:space="preserve">Unless otherwise specifically provided, all electronic communications and documents are officially filed when they are accepted for filing as defined in rule </w:t>
      </w:r>
      <w:hyperlink r:id="rId33">
        <w:r>
          <w:rPr>
            <w:rStyle w:val="Hyperlink"/>
            <w:rFonts w:ascii="Times New Roman" w:hAnsi="Times New Roman"/>
            <w:b w:val="false"/>
            <w:i w:val="false"/>
            <w:color w:val="000000"/>
            <w:sz w:val="22"/>
          </w:rPr>
          <w:t>199―14.3(17A,476)</w:t>
        </w:r>
      </w:hyperlink>
      <w:r>
        <w:rPr>
          <w:rFonts w:ascii="Times New Roman" w:hAnsi="Times New Roman"/>
          <w:b w:val="false"/>
          <w:i w:val="false"/>
          <w:color w:val="000000"/>
          <w:sz w:val="22"/>
        </w:rPr>
        <w:t xml:space="preserve">. The electronic service provisions in the “electronic service” rule in </w:t>
      </w:r>
      <w:hyperlink r:id="rId34">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Paper filings. </w:t>
      </w:r>
      <w:r>
        <w:rPr>
          <w:rFonts w:ascii="Times New Roman" w:hAnsi="Times New Roman"/>
          <w:b w:val="false"/>
          <w:i w:val="false"/>
          <w:color w:val="000000"/>
          <w:sz w:val="22"/>
        </w:rPr>
        <w:t xml:space="preserve">Paper filings may only be made with commission approval, except for filings made pursuant to the exceptions in rule </w:t>
      </w:r>
      <w:hyperlink r:id="rId35">
        <w:r>
          <w:rPr>
            <w:rStyle w:val="Hyperlink"/>
            <w:rFonts w:ascii="Times New Roman" w:hAnsi="Times New Roman"/>
            <w:b w:val="false"/>
            <w:i w:val="false"/>
            <w:color w:val="000000"/>
            <w:sz w:val="22"/>
          </w:rPr>
          <w:t>199—14.4</w:t>
        </w:r>
      </w:hyperlink>
      <w:r>
        <w:rPr>
          <w:rFonts w:ascii="Times New Roman" w:hAnsi="Times New Roman"/>
          <w:b w:val="false"/>
          <w:i w:val="false"/>
          <w:color w:val="000000"/>
          <w:sz w:val="22"/>
        </w:rPr>
        <w:t>(17A,476).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2506.4(3)</w:t>
      </w:r>
      <w:r>
        <w:rPr>
          <w:rFonts w:ascii="Times New Roman" w:hAnsi="Times New Roman"/>
          <w:b w:val="false"/>
          <w:i w:val="false"/>
          <w:color w:val="000000"/>
          <w:sz w:val="22"/>
        </w:rPr>
        <w:t> </w:t>
      </w:r>
      <w:r>
        <w:rPr>
          <w:rFonts w:ascii="Times New Roman" w:hAnsi="Times New Roman"/>
          <w:b w:val="false"/>
          <w:i/>
          <w:color w:val="000000"/>
          <w:sz w:val="22"/>
        </w:rPr>
        <w:t xml:space="preserve">Reference to docket number. </w:t>
      </w:r>
      <w:r>
        <w:rPr>
          <w:rFonts w:ascii="Times New Roman" w:hAnsi="Times New Roman"/>
          <w:b w:val="false"/>
          <w:i w:val="false"/>
          <w:color w:val="000000"/>
          <w:sz w:val="22"/>
        </w:rPr>
        <w:t>The applicable docket number(s) should be included on the first page of all filings.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2506.4(4)</w:t>
      </w:r>
      <w:r>
        <w:rPr>
          <w:rFonts w:ascii="Times New Roman" w:hAnsi="Times New Roman"/>
          <w:b w:val="false"/>
          <w:i w:val="false"/>
          <w:color w:val="000000"/>
          <w:sz w:val="22"/>
        </w:rPr>
        <w:t> </w:t>
      </w:r>
      <w:r>
        <w:rPr>
          <w:rFonts w:ascii="Times New Roman" w:hAnsi="Times New Roman"/>
          <w:b w:val="false"/>
          <w:i/>
          <w:color w:val="000000"/>
          <w:sz w:val="22"/>
        </w:rPr>
        <w:t xml:space="preserve">Defective filings. </w:t>
      </w:r>
      <w:r>
        <w:rPr>
          <w:rFonts w:ascii="Times New Roman" w:hAnsi="Times New Roman"/>
          <w:b w:val="false"/>
          <w:i w:val="false"/>
          <w:color w:val="000000"/>
          <w:sz w:val="22"/>
        </w:rPr>
        <w:t>Only submissions that conform to the requirements of the applicable rule, statute, or order of the commission or presiding officer will be accepted for filing, and submissions that fail to substantially conform with the applicable requirements will be considered defective and may be rejected unless waiver of the relevant requirement has been granted by the commission or presiding officer prior to filing. The commission or presiding officer may reject a filing even though commission employees have file-stamped or otherwise acknowledged receipt of the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2506.4(5)</w:t>
      </w:r>
      <w:r>
        <w:rPr>
          <w:rFonts w:ascii="Times New Roman" w:hAnsi="Times New Roman"/>
          <w:b w:val="false"/>
          <w:i w:val="false"/>
          <w:color w:val="000000"/>
          <w:sz w:val="22"/>
        </w:rPr>
        <w:t> </w:t>
      </w:r>
      <w:r>
        <w:rPr>
          <w:rFonts w:ascii="Times New Roman" w:hAnsi="Times New Roman"/>
          <w:b w:val="false"/>
          <w:i/>
          <w:color w:val="000000"/>
          <w:sz w:val="22"/>
        </w:rPr>
        <w:t xml:space="preserve">Service of documents.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Paper service. Paper service of filings is only necessary on those parties, or persons, whom the commission has approved to receive paper service. All filings served by paper are to be filed electronically pursuant to the “electronic service” rule in </w:t>
      </w:r>
      <w:hyperlink r:id="rId36">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in the appropriate docket in the electronic filing system, include a certificate of service, and be served on the consumer advocate.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Electronic service. The commission’s rule regarding electronic service is the “electronic service” rule in </w:t>
      </w:r>
      <w:hyperlink r:id="rId37">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of documents containing confidential information. Parties may condition the service of unredacted documents containing confidential information on the execution of a confidentiality agreement. If the parties are unable to agree on a confidentiality agreement, they may ask the commission or presiding officer to issue an appropriate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Date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Paper service. Unless otherwise ordered by the commission or presiding officer, the date of service is the day when the document served is deposited in the United States mail or overnight delivery, is delivered in person, or otherwise as the parties may agree. Although service is effective, the document is not deemed filed with the commission until it is received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commission’s rule regarding electronic service is the “electronic service” rule in </w:t>
      </w:r>
      <w:hyperlink r:id="rId38">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upon attorneys. </w:t>
      </w:r>
      <w:r>
        <w:rPr>
          <w:rFonts w:ascii="Times New Roman" w:hAnsi="Times New Roman"/>
          <w:b w:val="false"/>
          <w:i w:val="false"/>
          <w:color w:val="000000"/>
          <w:sz w:val="22"/>
        </w:rPr>
        <w:t>When a party has appeared by attorney, service upon the attorney is deemed proper service upon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2506.4(6)</w:t>
      </w:r>
      <w:r>
        <w:rPr>
          <w:rFonts w:ascii="Times New Roman" w:hAnsi="Times New Roman"/>
          <w:b w:val="false"/>
          <w:i w:val="false"/>
          <w:color w:val="000000"/>
          <w:sz w:val="22"/>
        </w:rPr>
        <w:t> </w:t>
      </w:r>
      <w:r>
        <w:rPr>
          <w:rFonts w:ascii="Times New Roman" w:hAnsi="Times New Roman"/>
          <w:b w:val="false"/>
          <w:i/>
          <w:color w:val="000000"/>
          <w:sz w:val="22"/>
        </w:rPr>
        <w:t xml:space="preserve">Appearance. </w:t>
      </w:r>
      <w:r>
        <w:rPr>
          <w:rFonts w:ascii="Times New Roman" w:hAnsi="Times New Roman"/>
          <w:b w:val="false"/>
          <w:i w:val="false"/>
          <w:color w:val="000000"/>
          <w:sz w:val="22"/>
        </w:rPr>
        <w:t>Each party to a proceeding is to file a written appearance in the docket that identifies one person upon whom the commission may electronically serve all orders, correspondence, or other documents. If a party has previously designated a person to be served on the party’s behalf in all matters, filing the appearance will not change this designation unless the party directs that the designated person be changed in the appearance. If a person files an application, petition, or other initial pleading, or an answer or other responsive pleading on behalf of a party, containing the person’s contact information, the filing of a separate appearance is not necessary. The appearance may be filed with the party’s initial filing in the proceeding or may be filed after the proceeding has been docketed.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2506.4(7)</w:t>
      </w:r>
      <w:r>
        <w:rPr>
          <w:rFonts w:ascii="Times New Roman" w:hAnsi="Times New Roman"/>
          <w:b w:val="false"/>
          <w:i w:val="false"/>
          <w:color w:val="000000"/>
          <w:sz w:val="22"/>
        </w:rPr>
        <w:t> </w:t>
      </w:r>
      <w:r>
        <w:rPr>
          <w:rFonts w:ascii="Times New Roman" w:hAnsi="Times New Roman"/>
          <w:b w:val="false"/>
          <w:i/>
          <w:color w:val="000000"/>
          <w:sz w:val="22"/>
        </w:rPr>
        <w:t xml:space="preserve">Representation by attorney.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party to a proceeding before the commission or a presiding officer may appear and be heard through a licensed attorney. If the attorney is not licensed by the state of Iowa, the attorney is to apply for admission pro hac vice pursuant to and abide by the provisions of </w:t>
      </w:r>
      <w:r>
        <w:rPr>
          <w:rFonts w:ascii="Times New Roman" w:hAnsi="Times New Roman"/>
          <w:b w:val="false"/>
          <w:i w:val="false"/>
          <w:color w:val="000000"/>
          <w:sz w:val="22"/>
        </w:rPr>
        <w:t>Iowa Court Rule 31.14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corporation or association may appear and present evidence by an officer or employee. However, only licensed attorneys may represent a party before the commission or a presiding officer in any matter involving the exercise of legal skill or knowledge, except with the consent of the commission or presiding officer. All persons appearing in proceedings before the commission or a presiding officer shall conform to the standard of ethical conduct applicable to attorneys appearing before the courts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2506.4(8)</w:t>
      </w:r>
      <w:r>
        <w:rPr>
          <w:rFonts w:ascii="Times New Roman" w:hAnsi="Times New Roman"/>
          <w:b w:val="false"/>
          <w:i w:val="false"/>
          <w:color w:val="000000"/>
          <w:sz w:val="22"/>
        </w:rPr>
        <w:t> </w:t>
      </w:r>
      <w:r>
        <w:rPr>
          <w:rFonts w:ascii="Times New Roman" w:hAnsi="Times New Roman"/>
          <w:b w:val="false"/>
          <w:i/>
          <w:color w:val="000000"/>
          <w:sz w:val="22"/>
        </w:rPr>
        <w:t xml:space="preserve">Expedited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person claims that a provision of law imposes an obligation on the commission to render a decision in a contested case in six months or less, the person will include the phrase “expedited proceedings” in the caption of the first pleading filed by the person in the proceeding and set the basis for the claim in the body of the pleading. If the phrase is not so included in the caption, the commission or presiding officer may find and order that the proceeding did not commence for time calculation purposes until the date on which the first pleading containing the “expedited proceedings” phrase is filed or such other date that the commission or presiding officer finds is just and reasonable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Shortened time limits applicable to expedited proceedings are contained in rules </w:t>
      </w:r>
      <w:hyperlink r:id="rId39">
        <w:r>
          <w:rPr>
            <w:rStyle w:val="Hyperlink"/>
            <w:rFonts w:ascii="Times New Roman" w:hAnsi="Times New Roman"/>
            <w:b w:val="false"/>
            <w:i w:val="false"/>
            <w:color w:val="000000"/>
            <w:sz w:val="22"/>
          </w:rPr>
          <w:t>199—2506.9</w:t>
        </w:r>
      </w:hyperlink>
      <w:r>
        <w:rPr>
          <w:rFonts w:ascii="Times New Roman" w:hAnsi="Times New Roman"/>
          <w:b w:val="false"/>
          <w:i w:val="false"/>
          <w:color w:val="000000"/>
          <w:sz w:val="22"/>
        </w:rPr>
        <w:t xml:space="preserve">(17A,476) (pleadings and answers), </w:t>
      </w:r>
      <w:hyperlink r:id="rId40">
        <w:r>
          <w:rPr>
            <w:rStyle w:val="Hyperlink"/>
            <w:rFonts w:ascii="Times New Roman" w:hAnsi="Times New Roman"/>
            <w:b w:val="false"/>
            <w:i w:val="false"/>
            <w:color w:val="000000"/>
            <w:sz w:val="22"/>
          </w:rPr>
          <w:t>199—2506.12</w:t>
        </w:r>
      </w:hyperlink>
      <w:r>
        <w:rPr>
          <w:rFonts w:ascii="Times New Roman" w:hAnsi="Times New Roman"/>
          <w:b w:val="false"/>
          <w:i w:val="false"/>
          <w:color w:val="000000"/>
          <w:sz w:val="22"/>
        </w:rPr>
        <w:t xml:space="preserve">(17A,476) (motions), </w:t>
      </w:r>
      <w:hyperlink r:id="rId41">
        <w:r>
          <w:rPr>
            <w:rStyle w:val="Hyperlink"/>
            <w:rFonts w:ascii="Times New Roman" w:hAnsi="Times New Roman"/>
            <w:b w:val="false"/>
            <w:i w:val="false"/>
            <w:color w:val="000000"/>
            <w:sz w:val="22"/>
          </w:rPr>
          <w:t>199—2506.13</w:t>
        </w:r>
      </w:hyperlink>
      <w:r>
        <w:rPr>
          <w:rFonts w:ascii="Times New Roman" w:hAnsi="Times New Roman"/>
          <w:b w:val="false"/>
          <w:i w:val="false"/>
          <w:color w:val="000000"/>
          <w:sz w:val="22"/>
        </w:rPr>
        <w:t xml:space="preserve">(17A,476) (intervention), </w:t>
      </w:r>
      <w:hyperlink r:id="rId42">
        <w:r>
          <w:rPr>
            <w:rStyle w:val="Hyperlink"/>
            <w:rFonts w:ascii="Times New Roman" w:hAnsi="Times New Roman"/>
            <w:b w:val="false"/>
            <w:i w:val="false"/>
            <w:color w:val="000000"/>
            <w:sz w:val="22"/>
          </w:rPr>
          <w:t>199—2506.15</w:t>
        </w:r>
      </w:hyperlink>
      <w:r>
        <w:rPr>
          <w:rFonts w:ascii="Times New Roman" w:hAnsi="Times New Roman"/>
          <w:b w:val="false"/>
          <w:i w:val="false"/>
          <w:color w:val="000000"/>
          <w:sz w:val="22"/>
        </w:rPr>
        <w:t xml:space="preserve">(17A,476) (discovery), and </w:t>
      </w:r>
      <w:hyperlink r:id="rId43">
        <w:r>
          <w:rPr>
            <w:rStyle w:val="Hyperlink"/>
            <w:rFonts w:ascii="Times New Roman" w:hAnsi="Times New Roman"/>
            <w:b w:val="false"/>
            <w:i w:val="false"/>
            <w:color w:val="000000"/>
            <w:sz w:val="22"/>
          </w:rPr>
          <w:t>199—2506.26</w:t>
        </w:r>
      </w:hyperlink>
      <w:r>
        <w:rPr>
          <w:rFonts w:ascii="Times New Roman" w:hAnsi="Times New Roman"/>
          <w:b w:val="false"/>
          <w:i w:val="false"/>
          <w:color w:val="000000"/>
          <w:sz w:val="22"/>
        </w:rPr>
        <w:t xml:space="preserve">(17A,476) (appeals from proposed decisions). An additional service requirement applicable to expedited proceedings is contained in subrule </w:t>
      </w:r>
      <w:hyperlink r:id="rId44">
        <w:r>
          <w:rPr>
            <w:rStyle w:val="Hyperlink"/>
            <w:rFonts w:ascii="Times New Roman" w:hAnsi="Times New Roman"/>
            <w:b w:val="false"/>
            <w:i w:val="false"/>
            <w:color w:val="000000"/>
            <w:sz w:val="22"/>
          </w:rPr>
          <w:t>2506.4(5)</w:t>
        </w:r>
      </w:hyperlink>
      <w:r>
        <w:rPr>
          <w:rFonts w:ascii="Times New Roman" w:hAnsi="Times New Roman"/>
          <w:b w:val="false"/>
          <w:i w:val="false"/>
          <w:color w:val="000000"/>
          <w:sz w:val="22"/>
        </w:rPr>
        <w:t xml:space="preserve"> (service of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party may file a motion that proceedings be expedited even though such treatment is not mandated by statute or other provision of law. Such voluntary expedited treatment may be granted at the commission’s or presiding officer’s discretion in appropriate circumstances considering the needs of the parties and the interests of justice. In these voluntary expedited proceedings, the commission or presiding officer may shorten the filing dates or other procedures established in this chapter. The shortened time limits and additional service requirement applicable to expedited proceedings established in this chapter and listed in subrule </w:t>
      </w:r>
      <w:hyperlink r:id="rId45">
        <w:r>
          <w:rPr>
            <w:rStyle w:val="Hyperlink"/>
            <w:rFonts w:ascii="Times New Roman" w:hAnsi="Times New Roman"/>
            <w:b w:val="false"/>
            <w:i w:val="false"/>
            <w:color w:val="000000"/>
            <w:sz w:val="22"/>
          </w:rPr>
          <w:t>2506.4(8)</w:t>
        </w:r>
      </w:hyperlink>
      <w:r>
        <w:rPr>
          <w:rFonts w:ascii="Times New Roman" w:hAnsi="Times New Roman"/>
          <w:b w:val="false"/>
          <w:i w:val="false"/>
          <w:color w:val="000000"/>
          <w:sz w:val="22"/>
        </w:rPr>
        <w:t xml:space="preserve"> do not apply to voluntary expedited proceedings under this paragraph unless ordered by the commission or presiding officer. If a party requests an expedited proceeding pursuant to this paragraph, the party will include “Expedited Proceedings” in the title.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199—2506.5</w:t>
      </w:r>
      <w:r>
        <w:rPr>
          <w:rFonts w:ascii="Times New Roman" w:hAnsi="Times New Roman"/>
          <w:b/>
          <w:i w:val="false"/>
          <w:color w:val="000000"/>
          <w:sz w:val="22"/>
        </w:rPr>
        <w:t xml:space="preserve">(17A,476)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is computed as provided in Iowa Code section </w:t>
      </w:r>
      <w:hyperlink r:id="rId46">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2506.5(2)</w:t>
      </w:r>
      <w:r>
        <w:rPr>
          <w:rFonts w:ascii="Times New Roman" w:hAnsi="Times New Roman"/>
          <w:b w:val="false"/>
          <w:i w:val="false"/>
          <w:color w:val="000000"/>
          <w:sz w:val="22"/>
        </w:rPr>
        <w:t> </w:t>
      </w:r>
      <w:r>
        <w:rPr>
          <w:rFonts w:ascii="Times New Roman" w:hAnsi="Times New Roman"/>
          <w:b w:val="false"/>
          <w:i w:val="false"/>
          <w:color w:val="000000"/>
          <w:sz w:val="22"/>
        </w:rPr>
        <w:t>In response to a request or on its own motion, for good cause, the commission or presiding officer may extend or shorten the time to take any action, except as precluded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199—2506.6</w:t>
      </w:r>
      <w:r>
        <w:rPr>
          <w:rFonts w:ascii="Times New Roman" w:hAnsi="Times New Roman"/>
          <w:b/>
          <w:i w:val="false"/>
          <w:color w:val="000000"/>
          <w:sz w:val="22"/>
        </w:rPr>
        <w:t xml:space="preserve">(17A,476) </w:t>
      </w:r>
      <w:r>
        <w:rPr>
          <w:rFonts w:ascii="Times New Roman" w:hAnsi="Times New Roman"/>
          <w:b/>
          <w:i w:val="false"/>
          <w:color w:val="000000"/>
          <w:sz w:val="22"/>
        </w:rPr>
        <w:t xml:space="preserve">Electronic proceedings. </w:t>
      </w:r>
      <w:r>
        <w:rPr>
          <w:rFonts w:ascii="Times New Roman" w:hAnsi="Times New Roman"/>
          <w:b w:val="false"/>
          <w:i w:val="false"/>
          <w:color w:val="000000"/>
          <w:sz w:val="22"/>
        </w:rPr>
        <w:t>The commission or presiding officer may hold proceedings by telephone conference call or other electronic means, such as a webinar service, in which all parties have an opportunity to participate. The commission or presiding officer will determine the location of the parties and witnesses for electronic proceedings. The convenience of the witnesses or parties, as well as the nature of the case, will be considered when locations are determined.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199—2506.7</w:t>
      </w:r>
      <w:r>
        <w:rPr>
          <w:rFonts w:ascii="Times New Roman" w:hAnsi="Times New Roman"/>
          <w:b/>
          <w:i w:val="false"/>
          <w:color w:val="000000"/>
          <w:sz w:val="22"/>
        </w:rPr>
        <w:t xml:space="preserve">(17A,476) </w:t>
      </w:r>
      <w:r>
        <w:rPr>
          <w:rFonts w:ascii="Times New Roman" w:hAnsi="Times New Roman"/>
          <w:b/>
          <w:i w:val="false"/>
          <w:color w:val="000000"/>
          <w:sz w:val="22"/>
        </w:rPr>
        <w:t xml:space="preserve">Electronic information. </w:t>
      </w:r>
      <w:r>
        <w:rPr>
          <w:rFonts w:ascii="Times New Roman" w:hAnsi="Times New Roman"/>
          <w:b w:val="false"/>
          <w:i w:val="false"/>
          <w:color w:val="000000"/>
          <w:sz w:val="22"/>
        </w:rPr>
        <w:t xml:space="preserve">Filing of electronic information shall comply with the commission’s rules on electronic filing in </w:t>
      </w:r>
      <w:hyperlink r:id="rId47">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and the commission’s published standards for electronic information, available on the commission’s website at </w:t>
      </w:r>
      <w:hyperlink r:id="rId48">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 or from the commission’s customer service center.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199—2506.8</w:t>
      </w:r>
      <w:r>
        <w:rPr>
          <w:rFonts w:ascii="Times New Roman" w:hAnsi="Times New Roman"/>
          <w:b/>
          <w:i w:val="false"/>
          <w:color w:val="000000"/>
          <w:sz w:val="22"/>
        </w:rPr>
        <w:t xml:space="preserve">(17A,476) </w:t>
      </w:r>
      <w:r>
        <w:rPr>
          <w:rFonts w:ascii="Times New Roman" w:hAnsi="Times New Roman"/>
          <w:b/>
          <w:i w:val="false"/>
          <w:color w:val="000000"/>
          <w:sz w:val="22"/>
        </w:rPr>
        <w:t xml:space="preserve">Delivery of notice of hearing. </w:t>
      </w:r>
      <w:r>
        <w:rPr>
          <w:rFonts w:ascii="Times New Roman" w:hAnsi="Times New Roman"/>
          <w:b w:val="false"/>
          <w:i w:val="false"/>
          <w:color w:val="000000"/>
          <w:sz w:val="22"/>
        </w:rPr>
        <w:t>When the commission or presiding officer issues an order containing a notice of hearing, delivery of the order will be by electronic notice through the electronic filing system, and to those persons who have been approved to receive paper documents unless otherwise ordered.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199—2506.9</w:t>
      </w:r>
      <w:r>
        <w:rPr>
          <w:rFonts w:ascii="Times New Roman" w:hAnsi="Times New Roman"/>
          <w:b/>
          <w:i w:val="false"/>
          <w:color w:val="000000"/>
          <w:sz w:val="22"/>
        </w:rPr>
        <w:t xml:space="preserve">(17A,476) </w:t>
      </w:r>
      <w:r>
        <w:rPr>
          <w:rFonts w:ascii="Times New Roman" w:hAnsi="Times New Roman"/>
          <w:b/>
          <w:i w:val="false"/>
          <w:color w:val="000000"/>
          <w:sz w:val="22"/>
        </w:rPr>
        <w:t xml:space="preserve">Pleadings and answers.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2506.9(1)</w:t>
      </w:r>
      <w:r>
        <w:rPr>
          <w:rFonts w:ascii="Times New Roman" w:hAnsi="Times New Roman"/>
          <w:b w:val="false"/>
          <w:i w:val="false"/>
          <w:color w:val="000000"/>
          <w:sz w:val="22"/>
        </w:rPr>
        <w:t> </w:t>
      </w:r>
      <w:r>
        <w:rPr>
          <w:rFonts w:ascii="Times New Roman" w:hAnsi="Times New Roman"/>
          <w:b w:val="false"/>
          <w:i/>
          <w:color w:val="000000"/>
          <w:sz w:val="22"/>
        </w:rPr>
        <w:t xml:space="preserve">Pleadings. </w:t>
      </w:r>
      <w:r>
        <w:rPr>
          <w:rFonts w:ascii="Times New Roman" w:hAnsi="Times New Roman"/>
          <w:b w:val="false"/>
          <w:i w:val="false"/>
          <w:color w:val="000000"/>
          <w:sz w:val="22"/>
        </w:rPr>
        <w:t>Pleadings may be filed pursuant to statute, rule, or order or filed to initiate a docket.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2506.9(2)</w:t>
      </w:r>
      <w:r>
        <w:rPr>
          <w:rFonts w:ascii="Times New Roman" w:hAnsi="Times New Roman"/>
          <w:b w:val="false"/>
          <w:i w:val="false"/>
          <w:color w:val="000000"/>
          <w:sz w:val="22"/>
        </w:rPr>
        <w:t> </w:t>
      </w:r>
      <w:r>
        <w:rPr>
          <w:rFonts w:ascii="Times New Roman" w:hAnsi="Times New Roman"/>
          <w:b w:val="false"/>
          <w:i/>
          <w:color w:val="000000"/>
          <w:sz w:val="22"/>
        </w:rPr>
        <w:t xml:space="preserve">Answers.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otherwise ordered by the commission or presiding officer, answers to complaints, petitions, applications, or other pleadings shall be filed with the commission within 20 days after the day on which the pleading being answered was filed in the commission’s electronic filing system and served upon the respondent or other party. However, when a provision of law requires that the commission issue a decision in the case in six months or less, the answer shall be filed with the commission within ten days of service of the pleading being answered unless otherwise ordered by the commission or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answer will specifically admit, deny, or otherwise answer all material allegations of the pleadings and also briefly set forth the affirmative grounds relied upon to support each answer.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party who deems the complaint, petition, application, or other pleading insufficient to show a breach of legal duty or grounds for relief may move to dismiss instead of, or in addition to, answering.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party may apply for a more definitive and detailed statement instead of, or in addition to, answering,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2506.9(3)</w:t>
      </w:r>
      <w:r>
        <w:rPr>
          <w:rFonts w:ascii="Times New Roman" w:hAnsi="Times New Roman"/>
          <w:b w:val="false"/>
          <w:i w:val="false"/>
          <w:color w:val="000000"/>
          <w:sz w:val="22"/>
        </w:rPr>
        <w:t> </w:t>
      </w:r>
      <w:r>
        <w:rPr>
          <w:rFonts w:ascii="Times New Roman" w:hAnsi="Times New Roman"/>
          <w:b w:val="false"/>
          <w:i/>
          <w:color w:val="000000"/>
          <w:sz w:val="22"/>
        </w:rPr>
        <w:t xml:space="preserve">Amendments to pleadings. </w:t>
      </w:r>
      <w:r>
        <w:rPr>
          <w:rFonts w:ascii="Times New Roman" w:hAnsi="Times New Roman"/>
          <w:b w:val="false"/>
          <w:i w:val="false"/>
          <w:color w:val="000000"/>
          <w:sz w:val="22"/>
        </w:rPr>
        <w:t>Amendments to pleadings may be allowed upon proper motion at any time during the pendency of the proceeding upon such terms as are just and reasonable.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199—2506.10</w:t>
      </w:r>
      <w:r>
        <w:rPr>
          <w:rFonts w:ascii="Times New Roman" w:hAnsi="Times New Roman"/>
          <w:b/>
          <w:i w:val="false"/>
          <w:color w:val="000000"/>
          <w:sz w:val="22"/>
        </w:rPr>
        <w:t xml:space="preserve">(17A,476) </w:t>
      </w:r>
      <w:r>
        <w:rPr>
          <w:rFonts w:ascii="Times New Roman" w:hAnsi="Times New Roman"/>
          <w:b/>
          <w:i w:val="false"/>
          <w:color w:val="000000"/>
          <w:sz w:val="22"/>
        </w:rPr>
        <w:t xml:space="preserve">Prefiled testimony and exhibits.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2506.10(1)</w:t>
      </w:r>
      <w:r>
        <w:rPr>
          <w:rFonts w:ascii="Times New Roman" w:hAnsi="Times New Roman"/>
          <w:b w:val="false"/>
          <w:i w:val="false"/>
          <w:color w:val="000000"/>
          <w:sz w:val="22"/>
        </w:rPr>
        <w:t> </w:t>
      </w:r>
      <w:r>
        <w:rPr>
          <w:rFonts w:ascii="Times New Roman" w:hAnsi="Times New Roman"/>
          <w:b w:val="false"/>
          <w:i w:val="false"/>
          <w:color w:val="000000"/>
          <w:sz w:val="22"/>
        </w:rPr>
        <w:t>The commission or presiding officer may order the parties to file prefiled testimony and exhibits prior to the hearing. The use of prefiled testimony is the standard method for providing testimony in contested cases and other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2506.10(2)</w:t>
      </w:r>
      <w:r>
        <w:rPr>
          <w:rFonts w:ascii="Times New Roman" w:hAnsi="Times New Roman"/>
          <w:b w:val="false"/>
          <w:i w:val="false"/>
          <w:color w:val="000000"/>
          <w:sz w:val="22"/>
        </w:rPr>
        <w:t> </w:t>
      </w:r>
      <w:r>
        <w:rPr>
          <w:rFonts w:ascii="Times New Roman" w:hAnsi="Times New Roman"/>
          <w:b w:val="false"/>
          <w:i w:val="false"/>
          <w:color w:val="000000"/>
          <w:sz w:val="22"/>
        </w:rPr>
        <w:t>Prefiled testimony contains all statements that a witness intends to give under oath at the hearing, set forth in question and answer form. If possible, each line should be separately numbered. When a witness who has submitted prefiled testimony takes the stand, the witness does not ordinarily repeat the written testimony or give new testimony. Instead, the witness is cross-examined by the other parties concerning the statements already made in writing. However, the witness may be permitted to correct or update prefiled testimony on the stand and, in appropriate circumstances and with the approval of the commission or presiding officer, may give a summary of the prefiled testimony. If the witness has more than three substantive corrections to make to the prefiled testimony or exhibits, then the corrected testimony or exhibits shall be filed in the appropriate docket in the commission’s electronic filing system at least three days prior to the hearing. The prefiled testimony and any exhibits are to be marked and identified in conformance with the commission’s approved naming convention provided on the commission’s electronic filing system website or as directed in a commission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2506.10(3)</w:t>
      </w:r>
      <w:r>
        <w:rPr>
          <w:rFonts w:ascii="Times New Roman" w:hAnsi="Times New Roman"/>
          <w:b w:val="false"/>
          <w:i w:val="false"/>
          <w:color w:val="000000"/>
          <w:sz w:val="22"/>
        </w:rPr>
        <w:t> </w:t>
      </w:r>
      <w:r>
        <w:rPr>
          <w:rFonts w:ascii="Times New Roman" w:hAnsi="Times New Roman"/>
          <w:b w:val="false"/>
          <w:i w:val="false"/>
          <w:color w:val="000000"/>
          <w:sz w:val="22"/>
        </w:rPr>
        <w:t>Prefiled testimony and exhibits are to be accompanied by an affidavit in substantially the following form: “I, [person’s name], being first duly sworn on oath, state that I am the same [person’s name] identified in the testimony being filed with this affidavit, that I have caused the testimony [and exhibits] to be prepared and am familiar with its contents, and that the testimony [and exhibits] is true and correct to the best of my knowledge and belief as of the date of this affidavit.”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2506.10(4)</w:t>
      </w:r>
      <w:r>
        <w:rPr>
          <w:rFonts w:ascii="Times New Roman" w:hAnsi="Times New Roman"/>
          <w:b w:val="false"/>
          <w:i w:val="false"/>
          <w:color w:val="000000"/>
          <w:sz w:val="22"/>
        </w:rPr>
        <w:t> </w:t>
      </w:r>
      <w:r>
        <w:rPr>
          <w:rFonts w:ascii="Times New Roman" w:hAnsi="Times New Roman"/>
          <w:b w:val="false"/>
          <w:i w:val="false"/>
          <w:color w:val="000000"/>
          <w:sz w:val="22"/>
        </w:rPr>
        <w:t>Prefiled testimony, exhibits, and supporting documents shall be filed in the commission’s electronic filing system in conformance with this rule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supporting workpapers.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commission’s standards for electronic information, which are available on the commission’s website or from the commission’s customer service center, govern the filing of electronic workpapers in native electronic formats.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Workpapers’ underlying analyses and data presented in exhibits should be explicitly referenced within the exhibit, including the name and other identifiers (e.g., cell coordinates) for electronic workpapers and volume, tab, and page numbers for other workpapers.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source of any number used in a workpaper that was not generated by that workpaper will be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derivation or source of all numbers used in either testimony or exhibits that were not generated by workpapers.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any specific studies or financial literature relied upon or complete citations for them if publicly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Electronic copies, in native electronic format, of all computer-generated exhibits that comply with the commission’s standards for electronic information, which are available on the commission’s website or from the commission’s customer service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commission’s standards for electronic information, which are available on the commission’s website or from the commission’s customer service center, and the electronic filing rules in </w:t>
      </w:r>
      <w:hyperlink r:id="rId49">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govern the filing of prefiled testimony and exhibits.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2506.10(6)</w:t>
      </w:r>
      <w:r>
        <w:rPr>
          <w:rFonts w:ascii="Times New Roman" w:hAnsi="Times New Roman"/>
          <w:b w:val="false"/>
          <w:i w:val="false"/>
          <w:color w:val="000000"/>
          <w:sz w:val="22"/>
        </w:rPr>
        <w:t> </w:t>
      </w:r>
      <w:r>
        <w:rPr>
          <w:rFonts w:ascii="Times New Roman" w:hAnsi="Times New Roman"/>
          <w:b w:val="false"/>
          <w:i w:val="false"/>
          <w:color w:val="000000"/>
          <w:sz w:val="22"/>
        </w:rPr>
        <w:t>If a party has filed part or all of its prefiled testimony and exhibits as confidential and then later withdraws the claim of confidentiality for part or all of the testimony and exhibits, or if the commission denies the request to hold the testimony and exhibits confidential, the party shall refile the testimony and exhibits with the information made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199—2506.11</w:t>
      </w:r>
      <w:r>
        <w:rPr>
          <w:rFonts w:ascii="Times New Roman" w:hAnsi="Times New Roman"/>
          <w:b/>
          <w:i w:val="false"/>
          <w:color w:val="000000"/>
          <w:sz w:val="22"/>
        </w:rPr>
        <w:t xml:space="preserve">(17A,476) </w:t>
      </w:r>
      <w:r>
        <w:rPr>
          <w:rFonts w:ascii="Times New Roman" w:hAnsi="Times New Roman"/>
          <w:b/>
          <w:i w:val="false"/>
          <w:color w:val="000000"/>
          <w:sz w:val="22"/>
        </w:rPr>
        <w:t xml:space="preserve">Documentary evidence in books and materials. </w:t>
      </w:r>
      <w:r>
        <w:rPr>
          <w:rFonts w:ascii="Times New Roman" w:hAnsi="Times New Roman"/>
          <w:b w:val="false"/>
          <w:i w:val="false"/>
          <w:color w:val="000000"/>
          <w:sz w:val="22"/>
        </w:rPr>
        <w:t>When documentary evidence being offered is contained in a book, report, or other document, the offering party will file only the material, relevant portions in an exhibit.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199—2506.12</w:t>
      </w:r>
      <w:r>
        <w:rPr>
          <w:rFonts w:ascii="Times New Roman" w:hAnsi="Times New Roman"/>
          <w:b/>
          <w:i w:val="false"/>
          <w:color w:val="000000"/>
          <w:sz w:val="22"/>
        </w:rPr>
        <w:t xml:space="preserve">(17A,476) </w:t>
      </w:r>
      <w:r>
        <w:rPr>
          <w:rFonts w:ascii="Times New Roman" w:hAnsi="Times New Roman"/>
          <w:b/>
          <w:i w:val="false"/>
          <w:color w:val="000000"/>
          <w:sz w:val="22"/>
        </w:rPr>
        <w:t xml:space="preserve">Motions. </w:t>
      </w:r>
      <w:r>
        <w:rPr>
          <w:rFonts w:ascii="Times New Roman" w:hAnsi="Times New Roman"/>
          <w:b w:val="false"/>
          <w:i w:val="false"/>
          <w:color w:val="000000"/>
          <w:sz w:val="22"/>
        </w:rPr>
        <w:t xml:space="preserve">Motions, unless made during hearing, are to be in writing, state the grounds for relief, and state the relief or order sought. Motions based on matters that do not appear of record may be supported by affidavit or other evidence. The filing of motions is governed by </w:t>
      </w:r>
      <w:hyperlink r:id="rId50">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Any party may file a written response to a motion no later than 14 days from the date the motion is filed unless the time period is extended or shortened by the commission or presiding officer. When a provision of law directs the commission to issue a decision in the case in six months or less, a party filing a written response is to do so within seven days from the date the motion is filed unless otherwise ordered by the commission or presiding officer. Failure to file a timely response may be deemed a waiver of objection to the motion. Requirements regarding motions related to discovery are contained in rule </w:t>
      </w:r>
      <w:hyperlink r:id="rId51">
        <w:r>
          <w:rPr>
            <w:rStyle w:val="Hyperlink"/>
            <w:rFonts w:ascii="Times New Roman" w:hAnsi="Times New Roman"/>
            <w:b w:val="false"/>
            <w:i w:val="false"/>
            <w:color w:val="000000"/>
            <w:sz w:val="22"/>
          </w:rPr>
          <w:t>199—2506.15</w:t>
        </w:r>
      </w:hyperlink>
      <w:r>
        <w:rPr>
          <w:rFonts w:ascii="Times New Roman" w:hAnsi="Times New Roman"/>
          <w:b w:val="false"/>
          <w:i w:val="false"/>
          <w:color w:val="000000"/>
          <w:sz w:val="22"/>
        </w:rPr>
        <w:t>(17A,476).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199—2506.13</w:t>
      </w:r>
      <w:r>
        <w:rPr>
          <w:rFonts w:ascii="Times New Roman" w:hAnsi="Times New Roman"/>
          <w:b/>
          <w:i w:val="false"/>
          <w:color w:val="000000"/>
          <w:sz w:val="22"/>
        </w:rPr>
        <w:t xml:space="preserve">(17A,476)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2506.13(1)</w:t>
      </w:r>
      <w:r>
        <w:rPr>
          <w:rFonts w:ascii="Times New Roman" w:hAnsi="Times New Roman"/>
          <w:b w:val="false"/>
          <w:i w:val="false"/>
          <w:color w:val="000000"/>
          <w:sz w:val="22"/>
        </w:rPr>
        <w:t> </w:t>
      </w:r>
      <w:r>
        <w:rPr>
          <w:rFonts w:ascii="Times New Roman" w:hAnsi="Times New Roman"/>
          <w:b w:val="false"/>
          <w:i w:val="false"/>
          <w:color w:val="000000"/>
          <w:sz w:val="22"/>
        </w:rPr>
        <w:t>Petition. Unless otherwise ordered by the commission or presiding officer, a request to intervene in a proceeding shall be by petition to intervene filed no later than 20 days following the order setting a procedural schedule. However, when a provision of law directs the commission to issue a decision in the case in six months or less, the petition to intervene is to be filed no later than ten days following the order setting a procedural schedule unless otherwise ordered by the commission or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2506.13(2)</w:t>
      </w:r>
      <w:r>
        <w:rPr>
          <w:rFonts w:ascii="Times New Roman" w:hAnsi="Times New Roman"/>
          <w:b w:val="false"/>
          <w:i w:val="false"/>
          <w:color w:val="000000"/>
          <w:sz w:val="22"/>
        </w:rPr>
        <w:t> </w:t>
      </w:r>
      <w:r>
        <w:rPr>
          <w:rFonts w:ascii="Times New Roman" w:hAnsi="Times New Roman"/>
          <w:b w:val="false"/>
          <w:i w:val="false"/>
          <w:color w:val="000000"/>
          <w:sz w:val="22"/>
        </w:rPr>
        <w:t>Response. Any party may file a response within seven days of service of the petition to intervene unless the time period is extended or shortened by the commission or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2506.13(3)</w:t>
      </w:r>
      <w:r>
        <w:rPr>
          <w:rFonts w:ascii="Times New Roman" w:hAnsi="Times New Roman"/>
          <w:b w:val="false"/>
          <w:i w:val="false"/>
          <w:color w:val="000000"/>
          <w:sz w:val="22"/>
        </w:rPr>
        <w:t> </w:t>
      </w:r>
      <w:r>
        <w:rPr>
          <w:rFonts w:ascii="Times New Roman" w:hAnsi="Times New Roman"/>
          <w:b w:val="false"/>
          <w:i w:val="false"/>
          <w:color w:val="000000"/>
          <w:sz w:val="22"/>
        </w:rPr>
        <w:t>Grounds for intervention. Any person having an interest in the subject matter of a proceeding may be permitted to intervene at the discretion of the commission or presiding officer. In determining whether to grant intervention, the commission or presiding officer will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prospective intervenor’s interest in the subject matter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effect of a decision that may be rendered upon the prospective intervenor’s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prospective intervenor’s interest will be represented by other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availability of other means by which the prospective intervenor’s interest may be protected;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prospective intervenor’s participation may reasonably be expected to assist in the development of a sound record through presentation of relevant evidence and argument;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relevant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2506.13(4)</w:t>
      </w:r>
      <w:r>
        <w:rPr>
          <w:rFonts w:ascii="Times New Roman" w:hAnsi="Times New Roman"/>
          <w:b w:val="false"/>
          <w:i w:val="false"/>
          <w:color w:val="000000"/>
          <w:sz w:val="22"/>
        </w:rPr>
        <w:t> </w:t>
      </w:r>
      <w:r>
        <w:rPr>
          <w:rFonts w:ascii="Times New Roman" w:hAnsi="Times New Roman"/>
          <w:b w:val="false"/>
          <w:i w:val="false"/>
          <w:color w:val="000000"/>
          <w:sz w:val="22"/>
        </w:rPr>
        <w:t>In determining the extent to which the prospective intervenor’s interest will be represented by other parties, the consumer advocate’s role of representing the public interest will not be interpreted as representing every potential interest in a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2506.13(5)</w:t>
      </w:r>
      <w:r>
        <w:rPr>
          <w:rFonts w:ascii="Times New Roman" w:hAnsi="Times New Roman"/>
          <w:b w:val="false"/>
          <w:i w:val="false"/>
          <w:color w:val="000000"/>
          <w:sz w:val="22"/>
        </w:rPr>
        <w:t> </w:t>
      </w:r>
      <w:r>
        <w:rPr>
          <w:rFonts w:ascii="Times New Roman" w:hAnsi="Times New Roman"/>
          <w:b w:val="false"/>
          <w:i w:val="false"/>
          <w:color w:val="000000"/>
          <w:sz w:val="22"/>
        </w:rPr>
        <w:t>The commission or presiding officer may limit a person’s intervention to particular issues or to a particular stage of the proceeding, or may otherwise condition the intervenor’s participation in the proceeding. Leave to intervene is generally granted by the commission or presiding officer to any person with a cognizable interest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2506.13(6)</w:t>
      </w:r>
      <w:r>
        <w:rPr>
          <w:rFonts w:ascii="Times New Roman" w:hAnsi="Times New Roman"/>
          <w:b w:val="false"/>
          <w:i w:val="false"/>
          <w:color w:val="000000"/>
          <w:sz w:val="22"/>
        </w:rPr>
        <w:t> </w:t>
      </w:r>
      <w:r>
        <w:rPr>
          <w:rFonts w:ascii="Times New Roman" w:hAnsi="Times New Roman"/>
          <w:b w:val="false"/>
          <w:i w:val="false"/>
          <w:color w:val="000000"/>
          <w:sz w:val="22"/>
        </w:rPr>
        <w:t>When two or more intervenors have substantially the same interest, the commission or presiding officer, in the commission’s or presiding officer’s discretion, may order consolidation of petitions and briefs and limit the number of attorneys allowed to participate actively in the proceedings to avoid a duplication of effort.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2506.13(7)</w:t>
      </w:r>
      <w:r>
        <w:rPr>
          <w:rFonts w:ascii="Times New Roman" w:hAnsi="Times New Roman"/>
          <w:b w:val="false"/>
          <w:i w:val="false"/>
          <w:color w:val="000000"/>
          <w:sz w:val="22"/>
        </w:rPr>
        <w:t> </w:t>
      </w:r>
      <w:r>
        <w:rPr>
          <w:rFonts w:ascii="Times New Roman" w:hAnsi="Times New Roman"/>
          <w:b w:val="false"/>
          <w:i w:val="false"/>
          <w:color w:val="000000"/>
          <w:sz w:val="22"/>
        </w:rPr>
        <w:t>A person granted leave to intervene is a party to the proceeding. However, unless the commission or presiding officer rules otherwise for good cause shown, an intervenor is bound by any agreement, arrangement, or order previously made or issued in the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199—2506.14</w:t>
      </w:r>
      <w:r>
        <w:rPr>
          <w:rFonts w:ascii="Times New Roman" w:hAnsi="Times New Roman"/>
          <w:b/>
          <w:i w:val="false"/>
          <w:color w:val="000000"/>
          <w:sz w:val="22"/>
        </w:rPr>
        <w:t xml:space="preserve">(17A,476) </w:t>
      </w:r>
      <w:r>
        <w:rPr>
          <w:rFonts w:ascii="Times New Roman" w:hAnsi="Times New Roman"/>
          <w:b/>
          <w:i w:val="false"/>
          <w:color w:val="000000"/>
          <w:sz w:val="22"/>
        </w:rPr>
        <w:t xml:space="preserve">Consolidation and 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2506.14(1)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commission or presiding officer may consolidate in one docket any or all matters at issue in two or more dockets. When deciding whether to consolidate, the commission or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matters at issue involve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consolidation is likely to expedite or simplify consideration of the issues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consolidation would adversely affect the substantial rights of any of the parties to the proceedings;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other relevant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2506.14(2)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commission or presiding officer may order any contested case or portions thereof severed for good cause.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199—2506.15</w:t>
      </w:r>
      <w:r>
        <w:rPr>
          <w:rFonts w:ascii="Times New Roman" w:hAnsi="Times New Roman"/>
          <w:b/>
          <w:i w:val="false"/>
          <w:color w:val="000000"/>
          <w:sz w:val="22"/>
        </w:rPr>
        <w:t xml:space="preserve">(17A,476)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2506.15(1)</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in civil actions are available to parties in contested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2506.15(2)</w:t>
      </w:r>
      <w:r>
        <w:rPr>
          <w:rFonts w:ascii="Times New Roman" w:hAnsi="Times New Roman"/>
          <w:b w:val="false"/>
          <w:i w:val="false"/>
          <w:color w:val="000000"/>
          <w:sz w:val="22"/>
        </w:rPr>
        <w:t> </w:t>
      </w:r>
      <w:r>
        <w:rPr>
          <w:rFonts w:ascii="Times New Roman" w:hAnsi="Times New Roman"/>
          <w:b w:val="false"/>
          <w:i w:val="false"/>
          <w:color w:val="000000"/>
          <w:sz w:val="22"/>
        </w:rPr>
        <w:t>Unless otherwise ordered by the commission or presiding officer or agreed to by the parties, data requests or interrogatories served by any party shall either be responded to or objected to, with concisely stated grounds for relief, within seven business days of receipt. When a provision of law directs the commission to issue a decision in the case in six months or less, this time is reduced to five days. Data requests or interrogatories served on a day the commission is closed or after 4:30 p.m. central time on a day the commission is open are considered served on the next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2506.15(3)</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ordered by the commission or presiding officer, time periods for compliance with all forms of discovery other than those stated in subrule </w:t>
      </w:r>
      <w:hyperlink r:id="rId52">
        <w:r>
          <w:rPr>
            <w:rStyle w:val="Hyperlink"/>
            <w:rFonts w:ascii="Times New Roman" w:hAnsi="Times New Roman"/>
            <w:b w:val="false"/>
            <w:i w:val="false"/>
            <w:color w:val="000000"/>
            <w:sz w:val="22"/>
          </w:rPr>
          <w:t>2506.15(2)</w:t>
        </w:r>
      </w:hyperlink>
      <w:r>
        <w:rPr>
          <w:rFonts w:ascii="Times New Roman" w:hAnsi="Times New Roman"/>
          <w:b w:val="false"/>
          <w:i w:val="false"/>
          <w:color w:val="000000"/>
          <w:sz w:val="22"/>
        </w:rPr>
        <w:t xml:space="preserve"> are the same as those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2506.15(4)</w:t>
      </w:r>
      <w:r>
        <w:rPr>
          <w:rFonts w:ascii="Times New Roman" w:hAnsi="Times New Roman"/>
          <w:b w:val="false"/>
          <w:i w:val="false"/>
          <w:color w:val="000000"/>
          <w:sz w:val="22"/>
        </w:rPr>
        <w:t> </w:t>
      </w:r>
      <w:r>
        <w:rPr>
          <w:rFonts w:ascii="Times New Roman" w:hAnsi="Times New Roman"/>
          <w:b w:val="false"/>
          <w:i w:val="false"/>
          <w:color w:val="000000"/>
          <w:sz w:val="22"/>
        </w:rPr>
        <w:t>A party shall make a good faith effort to resolve a discovery dispute by personally speaking with or attempting to speak with the opposing party before filing a discovery motion with the commission. A motion relating to discovery must set forth the date and time the moving party spoke with or attempted to speak with the opposing party in a good faith attempt to resolve the dispute.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199—2506.16</w:t>
      </w:r>
      <w:r>
        <w:rPr>
          <w:rFonts w:ascii="Times New Roman" w:hAnsi="Times New Roman"/>
          <w:b/>
          <w:i w:val="false"/>
          <w:color w:val="000000"/>
          <w:sz w:val="22"/>
        </w:rPr>
        <w:t xml:space="preserve">(17A,476)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2506.16(1)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agency subpoena will be issued to a party on a written request that includes the name, address, and telephone number of the requesting party. In the absence of good cause for permitting later action, a request for a subpoena will be filed at least seven days before the scheduled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to the extent otherwise provided by law, parties are responsible for service of their own subpoenas and payment of witness fees and mileage expenses. Subpoenas cannot be served electronically through the electronic filing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2506.16(2)</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r>
        <w:rPr>
          <w:rFonts w:ascii="Times New Roman" w:hAnsi="Times New Roman"/>
          <w:b w:val="false"/>
          <w:i w:val="false"/>
          <w:color w:val="000000"/>
          <w:sz w:val="22"/>
        </w:rPr>
        <w:t>Upon motion, the commission or presiding officer may quash or modify a subpoena for any lawful reason.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199—2506.17</w:t>
      </w:r>
      <w:r>
        <w:rPr>
          <w:rFonts w:ascii="Times New Roman" w:hAnsi="Times New Roman"/>
          <w:b/>
          <w:i w:val="false"/>
          <w:color w:val="000000"/>
          <w:sz w:val="22"/>
        </w:rPr>
        <w:t xml:space="preserve">(17A,476) </w:t>
      </w:r>
      <w:r>
        <w:rPr>
          <w:rFonts w:ascii="Times New Roman" w:hAnsi="Times New Roman"/>
          <w:b/>
          <w:i w:val="false"/>
          <w:color w:val="000000"/>
          <w:sz w:val="22"/>
        </w:rPr>
        <w:t xml:space="preserve">Prehearing or scheduling conference. </w:t>
      </w:r>
      <w:r>
        <w:rPr>
          <w:rFonts w:ascii="Times New Roman" w:hAnsi="Times New Roman"/>
          <w:b w:val="false"/>
          <w:i w:val="false"/>
          <w:color w:val="000000"/>
          <w:sz w:val="22"/>
        </w:rPr>
        <w:t>The commission or presiding officer may schedule a prehearing conference, scheduling conference, or other informal conference at the commission’s or presiding officer’s discretion or at the request of any party for any appropriate purpose. Any agreement reached at the conference will be made a part of the record in the manner directed by the commission or presiding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199—2506.18</w:t>
      </w:r>
      <w:r>
        <w:rPr>
          <w:rFonts w:ascii="Times New Roman" w:hAnsi="Times New Roman"/>
          <w:b/>
          <w:i w:val="false"/>
          <w:color w:val="000000"/>
          <w:sz w:val="22"/>
        </w:rPr>
        <w:t xml:space="preserve">(17A,476) </w:t>
      </w:r>
      <w:r>
        <w:rPr>
          <w:rFonts w:ascii="Times New Roman" w:hAnsi="Times New Roman"/>
          <w:b/>
          <w:i w:val="false"/>
          <w:color w:val="000000"/>
          <w:sz w:val="22"/>
        </w:rPr>
        <w:t xml:space="preserve">Settlements. </w:t>
      </w:r>
      <w:r>
        <w:rPr>
          <w:rFonts w:ascii="Times New Roman" w:hAnsi="Times New Roman"/>
          <w:b w:val="false"/>
          <w:i w:val="false"/>
          <w:color w:val="000000"/>
          <w:sz w:val="22"/>
        </w:rPr>
        <w:t>Parties to a contested case may propose to settle all or some of the issues in the case. The commission or presiding officer will not approve settlements, whether contested or uncontested, unless the settlement is reasonable in light of the whole record, consistent with law, and in the public interest. Commission adoption of a settlement constitutes the final decision of the commission on issues addressed in the settlement.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2506.18(1)</w:t>
      </w:r>
      <w:r>
        <w:rPr>
          <w:rFonts w:ascii="Times New Roman" w:hAnsi="Times New Roman"/>
          <w:b w:val="false"/>
          <w:i w:val="false"/>
          <w:color w:val="000000"/>
          <w:sz w:val="22"/>
        </w:rPr>
        <w:t> </w:t>
      </w:r>
      <w:r>
        <w:rPr>
          <w:rFonts w:ascii="Times New Roman" w:hAnsi="Times New Roman"/>
          <w:b w:val="false"/>
          <w:i/>
          <w:color w:val="000000"/>
          <w:sz w:val="22"/>
        </w:rPr>
        <w:t xml:space="preserve">Proposal of settlements. </w:t>
      </w:r>
      <w:r>
        <w:rPr>
          <w:rFonts w:ascii="Times New Roman" w:hAnsi="Times New Roman"/>
          <w:b w:val="false"/>
          <w:i w:val="false"/>
          <w:color w:val="000000"/>
          <w:sz w:val="22"/>
        </w:rPr>
        <w:t>Two or more parties may by written motion propose settlements for adoption by the commission or presiding officer. The motion will contain sufficient information to advise the commission or presiding officer and parties not expressly joining the proposal of its scope and of the grounds on which adoption is urged. Parties may propose a settlement for adoption by the commission or presiding officer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2506.18(2)</w:t>
      </w:r>
      <w:r>
        <w:rPr>
          <w:rFonts w:ascii="Times New Roman" w:hAnsi="Times New Roman"/>
          <w:b w:val="false"/>
          <w:i w:val="false"/>
          <w:color w:val="000000"/>
          <w:sz w:val="22"/>
        </w:rPr>
        <w:t> </w:t>
      </w:r>
      <w:r>
        <w:rPr>
          <w:rFonts w:ascii="Times New Roman" w:hAnsi="Times New Roman"/>
          <w:b w:val="false"/>
          <w:i/>
          <w:color w:val="000000"/>
          <w:sz w:val="22"/>
        </w:rPr>
        <w:t xml:space="preserve">Conference. </w:t>
      </w:r>
      <w:r>
        <w:rPr>
          <w:rFonts w:ascii="Times New Roman" w:hAnsi="Times New Roman"/>
          <w:b w:val="false"/>
          <w:i w:val="false"/>
          <w:color w:val="000000"/>
          <w:sz w:val="22"/>
        </w:rPr>
        <w:t>After proposal of a settlement that is not supported by all parties, and prior to approval, the settling parties are to convene at least one conference with notice and opportunity to participate provided to all parties for the purpose of discussing the settlement proposal. Written notice of the date, time, and place is to be furnished at least seven days in advance to all parties to the proceeding. Only parties and their representatives are entitled to attend a settlement conference. A party that has been given notice and opportunity to participate in the conference and does not do so is deemed to have waived its right to contest a proposed settlement unless good cause is shown for the failure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2506.18(3)</w:t>
      </w:r>
      <w:r>
        <w:rPr>
          <w:rFonts w:ascii="Times New Roman" w:hAnsi="Times New Roman"/>
          <w:b w:val="false"/>
          <w:i w:val="false"/>
          <w:color w:val="000000"/>
          <w:sz w:val="22"/>
        </w:rPr>
        <w:t> </w:t>
      </w:r>
      <w:r>
        <w:rPr>
          <w:rFonts w:ascii="Times New Roman" w:hAnsi="Times New Roman"/>
          <w:b w:val="false"/>
          <w:i/>
          <w:color w:val="000000"/>
          <w:sz w:val="22"/>
        </w:rPr>
        <w:t xml:space="preserve">Comment period. </w:t>
      </w:r>
      <w:r>
        <w:rPr>
          <w:rFonts w:ascii="Times New Roman" w:hAnsi="Times New Roman"/>
          <w:b w:val="false"/>
          <w:i w:val="false"/>
          <w:color w:val="000000"/>
          <w:sz w:val="22"/>
        </w:rPr>
        <w:t>When a party to a proceeding does not join in a settlement proposed for adoption by the commission or presiding officer, the party may file comments contesting all or part of the settlement with the commission within 14 days of the filing of the motion proposing settlement unless otherwise ordered by the commission or the presiding officer. Unless otherwise ordered by the commission or presiding officer, parties may file reply comments within seven days of filing of the comments.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2506.18(4)</w:t>
      </w:r>
      <w:r>
        <w:rPr>
          <w:rFonts w:ascii="Times New Roman" w:hAnsi="Times New Roman"/>
          <w:b w:val="false"/>
          <w:i w:val="false"/>
          <w:color w:val="000000"/>
          <w:sz w:val="22"/>
        </w:rPr>
        <w:t> </w:t>
      </w:r>
      <w:r>
        <w:rPr>
          <w:rFonts w:ascii="Times New Roman" w:hAnsi="Times New Roman"/>
          <w:b w:val="false"/>
          <w:i/>
          <w:color w:val="000000"/>
          <w:sz w:val="22"/>
        </w:rPr>
        <w:t xml:space="preserve">Contents of comments. </w:t>
      </w:r>
      <w:r>
        <w:rPr>
          <w:rFonts w:ascii="Times New Roman" w:hAnsi="Times New Roman"/>
          <w:b w:val="false"/>
          <w:i w:val="false"/>
          <w:color w:val="000000"/>
          <w:sz w:val="22"/>
        </w:rPr>
        <w:t>A party contesting a proposed settlement is to specify in its comments the portions of the settlement that it opposes, the legal basis of its opposition, and the factual issues that it contests. Any failure by a party to file comments may, at the commission’s or presiding officer’s discretion, constitute waiver by that party of all objections to the settlement.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2506.18(5)</w:t>
      </w:r>
      <w:r>
        <w:rPr>
          <w:rFonts w:ascii="Times New Roman" w:hAnsi="Times New Roman"/>
          <w:b w:val="false"/>
          <w:i w:val="false"/>
          <w:color w:val="000000"/>
          <w:sz w:val="22"/>
        </w:rPr>
        <w:t> </w:t>
      </w:r>
      <w:r>
        <w:rPr>
          <w:rFonts w:ascii="Times New Roman" w:hAnsi="Times New Roman"/>
          <w:b w:val="false"/>
          <w:i/>
          <w:color w:val="000000"/>
          <w:sz w:val="22"/>
        </w:rPr>
        <w:t xml:space="preserve">Contested settlements. </w:t>
      </w:r>
      <w:r>
        <w:rPr>
          <w:rFonts w:ascii="Times New Roman" w:hAnsi="Times New Roman"/>
          <w:b w:val="false"/>
          <w:i w:val="false"/>
          <w:color w:val="000000"/>
          <w:sz w:val="22"/>
        </w:rPr>
        <w:t>If the proposed settlement is contested, in whole or in part, on any material issue of fact by any party, the commission or presiding officer may schedule a hearing on the contested issue(s). The commission or presiding officer may decline to schedule a hearing where the contested issue of fact is not material or where the contested issue is one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2506.18(6)</w:t>
      </w:r>
      <w:r>
        <w:rPr>
          <w:rFonts w:ascii="Times New Roman" w:hAnsi="Times New Roman"/>
          <w:b w:val="false"/>
          <w:i w:val="false"/>
          <w:color w:val="000000"/>
          <w:sz w:val="22"/>
        </w:rPr>
        <w:t> </w:t>
      </w:r>
      <w:r>
        <w:rPr>
          <w:rFonts w:ascii="Times New Roman" w:hAnsi="Times New Roman"/>
          <w:b w:val="false"/>
          <w:i/>
          <w:color w:val="000000"/>
          <w:sz w:val="22"/>
        </w:rPr>
        <w:t xml:space="preserve">Unanimous proposed settlement. </w:t>
      </w:r>
      <w:r>
        <w:rPr>
          <w:rFonts w:ascii="Times New Roman" w:hAnsi="Times New Roman"/>
          <w:b w:val="false"/>
          <w:i w:val="false"/>
          <w:color w:val="000000"/>
          <w:sz w:val="22"/>
        </w:rPr>
        <w:t xml:space="preserve">In proceedings where all parties join in the proposed settlement, parties may propose a settlement for adoption by the commission or presiding officer any time after docketing. Subrules </w:t>
      </w:r>
      <w:hyperlink r:id="rId53">
        <w:r>
          <w:rPr>
            <w:rStyle w:val="Hyperlink"/>
            <w:rFonts w:ascii="Times New Roman" w:hAnsi="Times New Roman"/>
            <w:b w:val="false"/>
            <w:i w:val="false"/>
            <w:color w:val="000000"/>
            <w:sz w:val="22"/>
          </w:rPr>
          <w:t>2506.18(2)</w:t>
        </w:r>
      </w:hyperlink>
      <w:r>
        <w:rPr>
          <w:rFonts w:ascii="Times New Roman" w:hAnsi="Times New Roman"/>
          <w:b w:val="false"/>
          <w:i w:val="false"/>
          <w:color w:val="000000"/>
          <w:sz w:val="22"/>
        </w:rPr>
        <w:t xml:space="preserve"> through </w:t>
      </w:r>
      <w:hyperlink r:id="rId54">
        <w:r>
          <w:rPr>
            <w:rStyle w:val="Hyperlink"/>
            <w:rFonts w:ascii="Times New Roman" w:hAnsi="Times New Roman"/>
            <w:b w:val="false"/>
            <w:i w:val="false"/>
            <w:color w:val="000000"/>
            <w:sz w:val="22"/>
          </w:rPr>
          <w:t>2506.18(5)</w:t>
        </w:r>
      </w:hyperlink>
      <w:r>
        <w:rPr>
          <w:rFonts w:ascii="Times New Roman" w:hAnsi="Times New Roman"/>
          <w:b w:val="false"/>
          <w:i w:val="false"/>
          <w:color w:val="000000"/>
          <w:sz w:val="22"/>
        </w:rPr>
        <w:t xml:space="preserve"> do not apply to a proposed settlement filed concurrently by all parties to the proceeding. </w:t>
      </w:r>
      <w:hyperlink r:id="rId55">
        <w:r>
          <w:rPr>
            <w:rStyle w:val="Hyperlink"/>
            <w:rFonts w:ascii="Times New Roman" w:hAnsi="Times New Roman"/>
            <w:b w:val="false"/>
            <w:i w:val="false"/>
            <w:color w:val="000000"/>
            <w:sz w:val="22"/>
          </w:rPr>
          <w:t>199—Chapter 26</w:t>
        </w:r>
      </w:hyperlink>
      <w:r>
        <w:rPr>
          <w:rFonts w:ascii="Times New Roman" w:hAnsi="Times New Roman"/>
          <w:b w:val="false"/>
          <w:i w:val="false"/>
          <w:color w:val="000000"/>
          <w:sz w:val="22"/>
        </w:rPr>
        <w:t xml:space="preserve"> applies to settlements in rate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2506.18(7)</w:t>
      </w:r>
      <w:r>
        <w:rPr>
          <w:rFonts w:ascii="Times New Roman" w:hAnsi="Times New Roman"/>
          <w:b w:val="false"/>
          <w:i w:val="false"/>
          <w:color w:val="000000"/>
          <w:sz w:val="22"/>
        </w:rPr>
        <w:t> </w:t>
      </w:r>
      <w:r>
        <w:rPr>
          <w:rFonts w:ascii="Times New Roman" w:hAnsi="Times New Roman"/>
          <w:b w:val="false"/>
          <w:i/>
          <w:color w:val="000000"/>
          <w:sz w:val="22"/>
        </w:rPr>
        <w:t xml:space="preserve">Inadmissibility. </w:t>
      </w:r>
      <w:r>
        <w:rPr>
          <w:rFonts w:ascii="Times New Roman" w:hAnsi="Times New Roman"/>
          <w:b w:val="false"/>
          <w:i w:val="false"/>
          <w:color w:val="000000"/>
          <w:sz w:val="22"/>
        </w:rPr>
        <w:t>Any discussion, admission, concession, or offer to settle, whether oral or written, made during any negotiation on a settlement is privileged to the extent provided by law, including but not limited to Iowa Rule of Evidence 5.408.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199—2506.19</w:t>
      </w:r>
      <w:r>
        <w:rPr>
          <w:rFonts w:ascii="Times New Roman" w:hAnsi="Times New Roman"/>
          <w:b/>
          <w:i w:val="false"/>
          <w:color w:val="000000"/>
          <w:sz w:val="22"/>
        </w:rPr>
        <w:t xml:space="preserve">(17A,476) </w:t>
      </w:r>
      <w:r>
        <w:rPr>
          <w:rFonts w:ascii="Times New Roman" w:hAnsi="Times New Roman"/>
          <w:b/>
          <w:i w:val="false"/>
          <w:color w:val="000000"/>
          <w:sz w:val="22"/>
        </w:rPr>
        <w:t xml:space="preserve">Stipulations. </w:t>
      </w:r>
      <w:r>
        <w:rPr>
          <w:rFonts w:ascii="Times New Roman" w:hAnsi="Times New Roman"/>
          <w:b w:val="false"/>
          <w:i w:val="false"/>
          <w:color w:val="000000"/>
          <w:sz w:val="22"/>
        </w:rPr>
        <w:t>Parties to any proceeding or investigation may, by stipulation filed with the commission, agree upon the facts or law or any portion thereof involved in the controversy, subject to approval by the commission or presiding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199—2506.20</w:t>
      </w:r>
      <w:r>
        <w:rPr>
          <w:rFonts w:ascii="Times New Roman" w:hAnsi="Times New Roman"/>
          <w:b/>
          <w:i w:val="false"/>
          <w:color w:val="000000"/>
          <w:sz w:val="22"/>
        </w:rPr>
        <w:t xml:space="preserve">(17A,476) </w:t>
      </w:r>
      <w:r>
        <w:rPr>
          <w:rFonts w:ascii="Times New Roman" w:hAnsi="Times New Roman"/>
          <w:b/>
          <w:i w:val="false"/>
          <w:color w:val="000000"/>
          <w:sz w:val="22"/>
        </w:rPr>
        <w:t xml:space="preserve">Investigations. </w:t>
      </w:r>
      <w:r>
        <w:rPr>
          <w:rFonts w:ascii="Times New Roman" w:hAnsi="Times New Roman"/>
          <w:b w:val="false"/>
          <w:i w:val="false"/>
          <w:color w:val="000000"/>
          <w:sz w:val="22"/>
        </w:rPr>
        <w:t xml:space="preserve">The availability of discovery pursuant to Iowa Code section </w:t>
      </w:r>
      <w:hyperlink r:id="rId56">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xml:space="preserve"> or the Iowa Rules of Civil Procedure does not limit the investigatory powers of the commission, its representatives, or the consumer advocate.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199—2506.21</w:t>
      </w:r>
      <w:r>
        <w:rPr>
          <w:rFonts w:ascii="Times New Roman" w:hAnsi="Times New Roman"/>
          <w:b/>
          <w:i w:val="false"/>
          <w:color w:val="000000"/>
          <w:sz w:val="22"/>
        </w:rPr>
        <w:t xml:space="preserve">(17A,476)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 the permission of the commission or presiding officer, withdraw that request at any time prior to the issuance of a proposed or final decision in the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199—2506.22</w:t>
      </w:r>
      <w:r>
        <w:rPr>
          <w:rFonts w:ascii="Times New Roman" w:hAnsi="Times New Roman"/>
          <w:b/>
          <w:i w:val="false"/>
          <w:color w:val="000000"/>
          <w:sz w:val="22"/>
        </w:rPr>
        <w:t xml:space="preserve">(17A,476) </w:t>
      </w:r>
      <w:r>
        <w:rPr>
          <w:rFonts w:ascii="Times New Roman" w:hAnsi="Times New Roman"/>
          <w:b/>
          <w:i w:val="false"/>
          <w:color w:val="000000"/>
          <w:sz w:val="22"/>
        </w:rPr>
        <w:t xml:space="preserve">Ex parte communication. </w:t>
      </w:r>
      <w:r>
        <w:rPr>
          <w:rFonts w:ascii="Times New Roman" w:hAnsi="Times New Roman"/>
          <w:b w:val="false"/>
          <w:i w:val="false"/>
          <w:color w:val="000000"/>
          <w:sz w:val="22"/>
        </w:rPr>
        <w:t xml:space="preserve">Ex parte communications are governed by Iowa Code section </w:t>
      </w:r>
      <w:hyperlink r:id="rId57">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199—2506.23</w:t>
      </w:r>
      <w:r>
        <w:rPr>
          <w:rFonts w:ascii="Times New Roman" w:hAnsi="Times New Roman"/>
          <w:b/>
          <w:i w:val="false"/>
          <w:color w:val="000000"/>
          <w:sz w:val="22"/>
        </w:rPr>
        <w:t xml:space="preserve">(17A,476) </w:t>
      </w:r>
      <w:r>
        <w:rPr>
          <w:rFonts w:ascii="Times New Roman" w:hAnsi="Times New Roman"/>
          <w:b/>
          <w:i w:val="false"/>
          <w:color w:val="000000"/>
          <w:sz w:val="22"/>
        </w:rPr>
        <w:t xml:space="preserve">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2506.23(1)</w:t>
      </w:r>
      <w:r>
        <w:rPr>
          <w:rFonts w:ascii="Times New Roman" w:hAnsi="Times New Roman"/>
          <w:b w:val="false"/>
          <w:i w:val="false"/>
          <w:color w:val="000000"/>
          <w:sz w:val="22"/>
        </w:rPr>
        <w:t> </w:t>
      </w:r>
      <w:r>
        <w:rPr>
          <w:rFonts w:ascii="Times New Roman" w:hAnsi="Times New Roman"/>
          <w:b w:val="false"/>
          <w:i/>
          <w:color w:val="000000"/>
          <w:sz w:val="22"/>
        </w:rPr>
        <w:t xml:space="preserve">Commission or presiding officer. </w:t>
      </w:r>
      <w:r>
        <w:rPr>
          <w:rFonts w:ascii="Times New Roman" w:hAnsi="Times New Roman"/>
          <w:b w:val="false"/>
          <w:i w:val="false"/>
          <w:color w:val="000000"/>
          <w:sz w:val="22"/>
        </w:rPr>
        <w:t>The commission or presiding officer presides at the hearing and may rule on motions and issue such orders and rulings as will ensure the orderly conduct of the proceedings. The commission or presiding officer will maintain the decorum of the hearing and may refuse to admit, may set limits on, or may expel from the hearing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2506.23(2)</w:t>
      </w:r>
      <w:r>
        <w:rPr>
          <w:rFonts w:ascii="Times New Roman" w:hAnsi="Times New Roman"/>
          <w:b w:val="false"/>
          <w:i w:val="false"/>
          <w:color w:val="000000"/>
          <w:sz w:val="22"/>
        </w:rPr>
        <w:t> </w:t>
      </w:r>
      <w:r>
        <w:rPr>
          <w:rFonts w:ascii="Times New Roman" w:hAnsi="Times New Roman"/>
          <w:b w:val="false"/>
          <w:i/>
          <w:color w:val="000000"/>
          <w:sz w:val="22"/>
        </w:rPr>
        <w:t xml:space="preserve">Witnesses. </w:t>
      </w:r>
      <w:r>
        <w:rPr>
          <w:rFonts w:ascii="Times New Roman" w:hAnsi="Times New Roman"/>
          <w:b w:val="false"/>
          <w:i w:val="false"/>
          <w:color w:val="000000"/>
          <w:sz w:val="22"/>
        </w:rPr>
        <w:t>Each witness will be sworn or affirmed by the commission, presiding officer, or the court reporter and be subject to examination and cross-examination. The commission or presiding officer may limit questioning in a manner consistent with law. In appropriate circumstances, the commission or presiding officer may order that witnesses testify as members of a witness panel.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2506.23(3)</w:t>
      </w:r>
      <w:r>
        <w:rPr>
          <w:rFonts w:ascii="Times New Roman" w:hAnsi="Times New Roman"/>
          <w:b w:val="false"/>
          <w:i w:val="false"/>
          <w:color w:val="000000"/>
          <w:sz w:val="22"/>
        </w:rPr>
        <w:t> </w:t>
      </w:r>
      <w:r>
        <w:rPr>
          <w:rFonts w:ascii="Times New Roman" w:hAnsi="Times New Roman"/>
          <w:b w:val="false"/>
          <w:i/>
          <w:color w:val="000000"/>
          <w:sz w:val="22"/>
        </w:rPr>
        <w:t xml:space="preserve">Order of presenting evidence. </w:t>
      </w:r>
      <w:r>
        <w:rPr>
          <w:rFonts w:ascii="Times New Roman" w:hAnsi="Times New Roman"/>
          <w:b w:val="false"/>
          <w:i w:val="false"/>
          <w:color w:val="000000"/>
          <w:sz w:val="22"/>
        </w:rPr>
        <w:t>The commission or presiding officer will determine the order of the presentation of evidence based on applicable law and the interests of efficiency and justice, considering the preferences of the parties. Normally, the petitioner opens the presentation of evidence. In cases where testimony has been prefiled and unless otherwise ordered by the commission or the presiding officer, each party will make its witnesses available for cross-examination on all testimony filed or on behalf of that witness.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2506.23(4)</w:t>
      </w:r>
      <w:r>
        <w:rPr>
          <w:rFonts w:ascii="Times New Roman" w:hAnsi="Times New Roman"/>
          <w:b w:val="false"/>
          <w:i w:val="false"/>
          <w:color w:val="000000"/>
          <w:sz w:val="22"/>
        </w:rPr>
        <w:t> </w:t>
      </w:r>
      <w:r>
        <w:rPr>
          <w:rFonts w:ascii="Times New Roman" w:hAnsi="Times New Roman"/>
          <w:b w:val="false"/>
          <w:i/>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terms and conditions prescribed by the commission or presiding officer, parties have the right to introduce evidence, cross-examine witnesses, and present evidence in rebuttal. Ordinarily, prefiled testimony is used in hearings pursuant to rule </w:t>
      </w:r>
      <w:hyperlink r:id="rId58">
        <w:r>
          <w:rPr>
            <w:rStyle w:val="Hyperlink"/>
            <w:rFonts w:ascii="Times New Roman" w:hAnsi="Times New Roman"/>
            <w:b w:val="false"/>
            <w:i w:val="false"/>
            <w:color w:val="000000"/>
            <w:sz w:val="22"/>
          </w:rPr>
          <w:t>199—2506.10</w:t>
        </w:r>
      </w:hyperlink>
      <w:r>
        <w:rPr>
          <w:rFonts w:ascii="Times New Roman" w:hAnsi="Times New Roman"/>
          <w:b w:val="false"/>
          <w:i w:val="false"/>
          <w:color w:val="000000"/>
          <w:sz w:val="22"/>
        </w:rPr>
        <w:t>(17A,476). The sponsoring party is to provide one copy of prefiled testimony and included exhibits to the court reporter.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or presiding officer will rule on admissibility of evidence and may, where appropriate, take official notice of facts in accordance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commission or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Unless the exhibit was previously included with prefiled testimony, the party seeking admission of an exhibit at a hearing is to provide opposing parties with an opportunity to examine the exhibit prior to the ruling on its admissibility. All exhibits admitted into evidence are to be marked in accordance with the commission’s approved naming convention and made part of the evidentiary record. If an exhibit is admitted, unless it was previously included with prefiled testimony, the sponsoring party is to provide at least one copy of the exhibit to each opposing party, one copy to each commission member or presiding officer, one copy to the witness (if any), one copy to the court reporter, and two copies to commission staff unless otherwise ordered. Parties are to file all their admitted hearing exhibits in the commission’s electronic filing system within three days of the close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is expected to briefly summarize the testimony or, with the permission of the commission or presiding officer, present the testimony. The commission or presiding officer may direct the offering party to file a written statement of the excluded oral testimony. If the excluded evidence consists of a document or exhibit, it will be marked as part of an offer of proof and inserted in the record. Unless previously included with prefiled testimony, the sponsoring party is to provide at least one copy of the document or exhibit to each opposing party, one copy to each commission member or presiding officer, one copy to the witness (if any), one copy to the court reporter, and two copies to commission staff unless otherwise ordered.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2506.23(5)</w:t>
      </w:r>
      <w:r>
        <w:rPr>
          <w:rFonts w:ascii="Times New Roman" w:hAnsi="Times New Roman"/>
          <w:b w:val="false"/>
          <w:i w:val="false"/>
          <w:color w:val="000000"/>
          <w:sz w:val="22"/>
        </w:rPr>
        <w:t> </w:t>
      </w:r>
      <w:r>
        <w:rPr>
          <w:rFonts w:ascii="Times New Roman" w:hAnsi="Times New Roman"/>
          <w:b w:val="false"/>
          <w:i/>
          <w:color w:val="000000"/>
          <w:sz w:val="22"/>
        </w:rPr>
        <w:t xml:space="preserve">Objections. </w:t>
      </w:r>
      <w:r>
        <w:rPr>
          <w:rFonts w:ascii="Times New Roman" w:hAnsi="Times New Roman"/>
          <w:b w:val="false"/>
          <w:i w:val="false"/>
          <w:color w:val="000000"/>
          <w:sz w:val="22"/>
        </w:rPr>
        <w:t>Any party may object to specific evidence or may request limits on the scope of any examination or cross-examination. All objections will be timely made on the record and state the grounds relied on. The commission or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2506.23(6)</w:t>
      </w:r>
      <w:r>
        <w:rPr>
          <w:rFonts w:ascii="Times New Roman" w:hAnsi="Times New Roman"/>
          <w:b w:val="false"/>
          <w:i w:val="false"/>
          <w:color w:val="000000"/>
          <w:sz w:val="22"/>
        </w:rPr>
        <w:t> </w:t>
      </w:r>
      <w:r>
        <w:rPr>
          <w:rFonts w:ascii="Times New Roman" w:hAnsi="Times New Roman"/>
          <w:b w:val="false"/>
          <w:i/>
          <w:color w:val="000000"/>
          <w:sz w:val="22"/>
        </w:rPr>
        <w:t xml:space="preserve">Further evidence. </w:t>
      </w:r>
      <w:r>
        <w:rPr>
          <w:rFonts w:ascii="Times New Roman" w:hAnsi="Times New Roman"/>
          <w:b w:val="false"/>
          <w:i w:val="false"/>
          <w:color w:val="000000"/>
          <w:sz w:val="22"/>
        </w:rPr>
        <w:t>At any stage during or after the hearing, the commission or presiding officer may order a party to present additional evidence and may conduct additional proceedings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2506.23(7)</w:t>
      </w:r>
      <w:r>
        <w:rPr>
          <w:rFonts w:ascii="Times New Roman" w:hAnsi="Times New Roman"/>
          <w:b w:val="false"/>
          <w:i w:val="false"/>
          <w:color w:val="000000"/>
          <w:sz w:val="22"/>
        </w:rPr>
        <w:t> </w:t>
      </w:r>
      <w:r>
        <w:rPr>
          <w:rFonts w:ascii="Times New Roman" w:hAnsi="Times New Roman"/>
          <w:b w:val="false"/>
          <w:i/>
          <w:color w:val="000000"/>
          <w:sz w:val="22"/>
        </w:rPr>
        <w:t xml:space="preserve">Participation at hearings by nonparties. </w:t>
      </w:r>
      <w:r>
        <w:rPr>
          <w:rFonts w:ascii="Times New Roman" w:hAnsi="Times New Roman"/>
          <w:b w:val="false"/>
          <w:i w:val="false"/>
          <w:color w:val="000000"/>
          <w:sz w:val="22"/>
        </w:rPr>
        <w:t xml:space="preserve">The commission or presiding officer may permit any person to be heard at any hearing, but such person is not a party to the proceedings unless so designated. The testimony or statement of any person so appearing is given under oath and such person is subject to cross-examination by parties to the proceeding unless the commission or presiding officer orders otherwise. If a person who is not a party to a proceeding appears at a hearing and requests to examine or cross-examine witnesses, the commission or presiding officer may grant the person intervention in the proceeding as a party for the limited purpose requested by the person and in compliance with subrule </w:t>
      </w:r>
      <w:hyperlink r:id="rId59">
        <w:r>
          <w:rPr>
            <w:rStyle w:val="Hyperlink"/>
            <w:rFonts w:ascii="Times New Roman" w:hAnsi="Times New Roman"/>
            <w:b w:val="false"/>
            <w:i w:val="false"/>
            <w:color w:val="000000"/>
            <w:sz w:val="22"/>
          </w:rPr>
          <w:t>2506.4(7)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2506.23(8)</w:t>
      </w:r>
      <w:r>
        <w:rPr>
          <w:rFonts w:ascii="Times New Roman" w:hAnsi="Times New Roman"/>
          <w:b w:val="false"/>
          <w:i w:val="false"/>
          <w:color w:val="000000"/>
          <w:sz w:val="22"/>
        </w:rPr>
        <w:t> </w:t>
      </w:r>
      <w:r>
        <w:rPr>
          <w:rFonts w:ascii="Times New Roman" w:hAnsi="Times New Roman"/>
          <w:b w:val="false"/>
          <w:i/>
          <w:color w:val="000000"/>
          <w:sz w:val="22"/>
        </w:rPr>
        <w:t xml:space="preserve">Briefs.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waived by the parties with the consent of the commission or presiding officer, times for the filing and service of briefs will be set by the commission or presiding officer. Unless otherwise ordered by the commission or presiding officer, initial briefs will be filed simultaneously by all parties and reply briefs will be filed simultaneously.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Initial briefs should contain a concise statement of the case and all arguments, with citations to the evidence, that the party intends to offer in support of its case. Unless otherwise ordered, a reply brief should be confined to refuting arguments made in the brief of an adverse party. Unless specifically ordered to brief an issue, a party’s failure to address an issue by brief will not be deemed a waiver of that issue and does not preclude the commission or presiding officer from deciding the issue on the basis of evidence appearing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Every brief of more than 20 pages should contain at its beginning a table of contents with page references.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Briefs should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size of pages should be 8½ by 11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printed matter should appear in at least 11-point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There should be margins of at least one inch on the top, bottom, right, and left sides of the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body of the brief should be double spaced.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Footnotes may be single spaced.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printed matter may appear in any pitch, as long as the characters are spaced in a readable manner. Any readable font is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2506.23(9)</w:t>
      </w:r>
      <w:r>
        <w:rPr>
          <w:rFonts w:ascii="Times New Roman" w:hAnsi="Times New Roman"/>
          <w:b w:val="false"/>
          <w:i w:val="false"/>
          <w:color w:val="000000"/>
          <w:sz w:val="22"/>
        </w:rPr>
        <w:t> </w:t>
      </w:r>
      <w:r>
        <w:rPr>
          <w:rFonts w:ascii="Times New Roman" w:hAnsi="Times New Roman"/>
          <w:b w:val="false"/>
          <w:i/>
          <w:color w:val="000000"/>
          <w:sz w:val="22"/>
        </w:rPr>
        <w:t xml:space="preserve">Oral arguments. </w:t>
      </w:r>
      <w:r>
        <w:rPr>
          <w:rFonts w:ascii="Times New Roman" w:hAnsi="Times New Roman"/>
          <w:b w:val="false"/>
          <w:i w:val="false"/>
          <w:color w:val="000000"/>
          <w:sz w:val="22"/>
        </w:rPr>
        <w:t>The commission or presiding officer may set a time for oral argument to address issues raised by the parties during the proceeding or at the conclusion of the hearing or may set a separate date and time for oral argument. The commission or presiding officer may set a time limit for argument. Oral argument may be either in addition to or in lieu of briefs. Unless specifically ordered to argue an issue, a party’s failure to address an issue in oral argument will not be deemed a waiver of the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2506.23(10)</w:t>
      </w: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The record of the case is maintained in the commission’s electronic filing system. Unless the record is held confidential pursuant to the “public information and inspection of records” rule in </w:t>
      </w:r>
      <w:hyperlink r:id="rId60">
        <w:r>
          <w:rPr>
            <w:rStyle w:val="Hyperlink"/>
            <w:rFonts w:ascii="Times New Roman" w:hAnsi="Times New Roman"/>
            <w:b w:val="false"/>
            <w:i w:val="false"/>
            <w:color w:val="000000"/>
            <w:sz w:val="22"/>
          </w:rPr>
          <w:t>199—Chapter 1</w:t>
        </w:r>
      </w:hyperlink>
      <w:r>
        <w:rPr>
          <w:rFonts w:ascii="Times New Roman" w:hAnsi="Times New Roman"/>
          <w:b w:val="false"/>
          <w:i w:val="false"/>
          <w:color w:val="000000"/>
          <w:sz w:val="22"/>
        </w:rPr>
        <w:t>, parties and members of the public may examine the record and obtain copies of documents, including the transcript, when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2506.23(11)</w:t>
      </w:r>
      <w:r>
        <w:rPr>
          <w:rFonts w:ascii="Times New Roman" w:hAnsi="Times New Roman"/>
          <w:b w:val="false"/>
          <w:i w:val="false"/>
          <w:color w:val="000000"/>
          <w:sz w:val="22"/>
        </w:rPr>
        <w:t> </w:t>
      </w:r>
      <w:r>
        <w:rPr>
          <w:rFonts w:ascii="Times New Roman" w:hAnsi="Times New Roman"/>
          <w:b w:val="false"/>
          <w:i/>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at a hearing after proper service of notice, or fails to answer or otherwise respond to an appropriate pleading directed to and properly served upon that party, the commission or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Default decisions or decisions rendered on the merits after a party has failed to appear at a hearing constitute final agency action unless otherwise ordered by the commission or presiding officer. However, within 15 days after the date of electronic notification or mailing of the decision, a motion to vacate may be filed with the commission. The motion to vacate should state all facts relied on by the moving party that show good cause existed for that party’s failure to appear at the hearing or answer or otherwise respond to an appropriate pleading directed to and properly served upon that party. The stated facts should be substantiated by citation to evidence in the record or by affidavit attached to the motion. Unless otherwise ordered, adverse parties have ten days to respond to a motion to vacate. If the decision is rendered by a presiding officer, the commission may review it on the commission’s own motion within 15 days after the date of notification or mailing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for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motion to vacate will not be granted except upon a finding of good cause. The burden of proof as to good cause is on the moving party. “Good cause” for purposes of this rule has the same meaning as “good cause” for setting aside a default judgment under Iowa </w:t>
      </w:r>
      <w:r>
        <w:rPr>
          <w:rFonts w:ascii="Times New Roman" w:hAnsi="Times New Roman"/>
          <w:b w:val="false"/>
          <w:i w:val="false"/>
          <w:color w:val="000000"/>
          <w:sz w:val="22"/>
        </w:rPr>
        <w:t>Rule of Civil Procedure 1.977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presiding officer’s decision denying a motion to vacate is subject to further appeal within the time limit allowed for further appeal of a decision on the merits in the contested case. A presiding officer’s decision granting a motion to vacate is subject to interlocutory appeal by the adverse party pursuant to rule </w:t>
      </w:r>
      <w:hyperlink r:id="rId61">
        <w:r>
          <w:rPr>
            <w:rStyle w:val="Hyperlink"/>
            <w:rFonts w:ascii="Times New Roman" w:hAnsi="Times New Roman"/>
            <w:b w:val="false"/>
            <w:i w:val="false"/>
            <w:color w:val="000000"/>
            <w:sz w:val="22"/>
          </w:rPr>
          <w:t>199—2506.25(17A,476)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commission or presiding officer may schedule another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award any relief consistent with the record in the case. The default decision may provide either that the default decision is to be stayed pending a timely motion to vacate or that the default decision is to take effect immediately, subject to a timely motion to vacate, an appeal pursuant to rule </w:t>
      </w:r>
      <w:hyperlink r:id="rId62">
        <w:r>
          <w:rPr>
            <w:rStyle w:val="Hyperlink"/>
            <w:rFonts w:ascii="Times New Roman" w:hAnsi="Times New Roman"/>
            <w:b w:val="false"/>
            <w:i w:val="false"/>
            <w:color w:val="000000"/>
            <w:sz w:val="22"/>
          </w:rPr>
          <w:t>199—2506.26</w:t>
        </w:r>
      </w:hyperlink>
      <w:r>
        <w:rPr>
          <w:rFonts w:ascii="Times New Roman" w:hAnsi="Times New Roman"/>
          <w:b w:val="false"/>
          <w:i w:val="false"/>
          <w:color w:val="000000"/>
          <w:sz w:val="22"/>
        </w:rPr>
        <w:t xml:space="preserve">(17A,476), or a request for stay pursuant to rule </w:t>
      </w:r>
      <w:hyperlink r:id="rId63">
        <w:r>
          <w:rPr>
            <w:rStyle w:val="Hyperlink"/>
            <w:rFonts w:ascii="Times New Roman" w:hAnsi="Times New Roman"/>
            <w:b w:val="false"/>
            <w:i w:val="false"/>
            <w:color w:val="000000"/>
            <w:sz w:val="22"/>
          </w:rPr>
          <w:t>199—2506.28</w:t>
        </w:r>
      </w:hyperlink>
      <w:r>
        <w:rPr>
          <w:rFonts w:ascii="Times New Roman" w:hAnsi="Times New Roman"/>
          <w:b w:val="false"/>
          <w:i w:val="false"/>
          <w:color w:val="000000"/>
          <w:sz w:val="22"/>
        </w:rPr>
        <w:t>(17A,476).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199—2506.24</w:t>
      </w:r>
      <w:r>
        <w:rPr>
          <w:rFonts w:ascii="Times New Roman" w:hAnsi="Times New Roman"/>
          <w:b/>
          <w:i w:val="false"/>
          <w:color w:val="000000"/>
          <w:sz w:val="22"/>
        </w:rPr>
        <w:t xml:space="preserve">(17A,476) </w:t>
      </w:r>
      <w:r>
        <w:rPr>
          <w:rFonts w:ascii="Times New Roman" w:hAnsi="Times New Roman"/>
          <w:b/>
          <w:i w:val="false"/>
          <w:color w:val="000000"/>
          <w:sz w:val="22"/>
        </w:rPr>
        <w:t xml:space="preserve">Reopening record. </w:t>
      </w:r>
      <w:r>
        <w:rPr>
          <w:rFonts w:ascii="Times New Roman" w:hAnsi="Times New Roman"/>
          <w:b w:val="false"/>
          <w:i w:val="false"/>
          <w:color w:val="000000"/>
          <w:sz w:val="22"/>
        </w:rPr>
        <w:t>The commission or presiding officer, on the commission’s or presiding officer’s own motion or on the motion of a party, may reopen the record for the reception of further evidence. When the record was made before the commission, a motion to reopen the record may be made any time prior to the issuance of a final decision. When the record was made before a presiding officer, a motion to reopen the record may be made any time prior to issuance of the proposed decision. If the moving party requests the opportunity to present new evidence, the moving party will attach an affidavit from each witness who will present the new evidence with an explanation of the competence of the witness and a description of the evidence to be included in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199—2506.25</w:t>
      </w:r>
      <w:r>
        <w:rPr>
          <w:rFonts w:ascii="Times New Roman" w:hAnsi="Times New Roman"/>
          <w:b/>
          <w:i w:val="false"/>
          <w:color w:val="000000"/>
          <w:sz w:val="22"/>
        </w:rPr>
        <w:t xml:space="preserve">(17A,476)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commission may review an interlocutory order of the presiding officer. In determining whether to do so, the commission may consider the extent to which granting the interlocutory appeal would expedite final resolution of the case and the extent to which review of that interlocutory order by the commission at the time it reviews the proposed decision would provide an adequate remedy. Any request for interlocutory review shall be filed within ten days of issuance of the challenged order, but no later than the time for compliance with the order or ten days prior to the date of hearing, whichever is first.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199—2506.26</w:t>
      </w:r>
      <w:r>
        <w:rPr>
          <w:rFonts w:ascii="Times New Roman" w:hAnsi="Times New Roman"/>
          <w:b/>
          <w:i w:val="false"/>
          <w:color w:val="000000"/>
          <w:sz w:val="22"/>
        </w:rPr>
        <w:t xml:space="preserve">(17A,476) </w:t>
      </w:r>
      <w:r>
        <w:rPr>
          <w:rFonts w:ascii="Times New Roman" w:hAnsi="Times New Roman"/>
          <w:b/>
          <w:i w:val="false"/>
          <w:color w:val="000000"/>
          <w:sz w:val="22"/>
        </w:rPr>
        <w:t xml:space="preserve">Appeals to commission from a proposed decision of a 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2506.26(1)</w:t>
      </w:r>
      <w:r>
        <w:rPr>
          <w:rFonts w:ascii="Times New Roman" w:hAnsi="Times New Roman"/>
          <w:b w:val="false"/>
          <w:i w:val="false"/>
          <w:color w:val="000000"/>
          <w:sz w:val="22"/>
        </w:rPr>
        <w:t> </w:t>
      </w:r>
      <w:r>
        <w:rPr>
          <w:rFonts w:ascii="Times New Roman" w:hAnsi="Times New Roman"/>
          <w:b w:val="false"/>
          <w:i w:val="false"/>
          <w:color w:val="000000"/>
          <w:sz w:val="22"/>
        </w:rPr>
        <w:t>Notification of proposed decision. Notice of the presiding officer’s proposed decision and order in a contested case will be sent through the electronic filing system, or by first-class mail if the commission has granted a party approval to receive service in paper, on the date the order is issued. The decision will normally include “Proposed Decision and Order” in the title and will normally inform the parties of their right to appeal an adverse decision and the time in which an appeal may be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2506.26(2)</w:t>
      </w:r>
      <w:r>
        <w:rPr>
          <w:rFonts w:ascii="Times New Roman" w:hAnsi="Times New Roman"/>
          <w:b w:val="false"/>
          <w:i w:val="false"/>
          <w:color w:val="000000"/>
          <w:sz w:val="22"/>
        </w:rPr>
        <w:t> </w:t>
      </w:r>
      <w:r>
        <w:rPr>
          <w:rFonts w:ascii="Times New Roman" w:hAnsi="Times New Roman"/>
          <w:b w:val="false"/>
          <w:i w:val="false"/>
          <w:color w:val="000000"/>
          <w:sz w:val="22"/>
        </w:rPr>
        <w:t>Appeal from proposed decision. A proposed decision and order of the presiding officer in a contested case becomes the final decision of the commission unless, within 15 days after the decision is issued, the commission moves to review the decision or a party files an appeal of the decision with the commission. The presiding officer may shorten the time for appeal. In determining whether a request for a shortened appeal period should be granted, the presiding officer may consider the needs of the parties for a shortened appeal period, relevant objections of the parties, the relevance of any written objections filed in the case, and whether there are any issues that indicate a need for the 15-day appeal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2506.26(3)</w:t>
      </w:r>
      <w:r>
        <w:rPr>
          <w:rFonts w:ascii="Times New Roman" w:hAnsi="Times New Roman"/>
          <w:b w:val="false"/>
          <w:i w:val="false"/>
          <w:color w:val="000000"/>
          <w:sz w:val="22"/>
        </w:rPr>
        <w:t> </w:t>
      </w:r>
      <w:r>
        <w:rPr>
          <w:rFonts w:ascii="Times New Roman" w:hAnsi="Times New Roman"/>
          <w:b w:val="false"/>
          <w:i w:val="false"/>
          <w:color w:val="000000"/>
          <w:sz w:val="22"/>
        </w:rPr>
        <w:t>Any adversely affected party may appeal a proposed decision by timely filing a notice of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2506.26(4)</w:t>
      </w:r>
      <w:r>
        <w:rPr>
          <w:rFonts w:ascii="Times New Roman" w:hAnsi="Times New Roman"/>
          <w:b w:val="false"/>
          <w:i w:val="false"/>
          <w:color w:val="000000"/>
          <w:sz w:val="22"/>
        </w:rPr>
        <w:t> </w:t>
      </w:r>
      <w:r>
        <w:rPr>
          <w:rFonts w:ascii="Times New Roman" w:hAnsi="Times New Roman"/>
          <w:b w:val="false"/>
          <w:i w:val="false"/>
          <w:color w:val="000000"/>
          <w:sz w:val="22"/>
        </w:rPr>
        <w:t>On appeal of a proposed decision of a presiding officer that is based upon new evidence not introduced in the record before the presiding officer, the commission will determine whether the new evidence warrants a new hearing. If the commission determines that the new evidence is material to the proposed decision and a new hearing should be held, the commission may remand the proposed decision to the presiding officer for the taking of the new evidence or may conduct a hearing and issue an order based upon the record before the presiding officer and the new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2506.26(5)</w:t>
      </w:r>
      <w:r>
        <w:rPr>
          <w:rFonts w:ascii="Times New Roman" w:hAnsi="Times New Roman"/>
          <w:b w:val="false"/>
          <w:i w:val="false"/>
          <w:color w:val="000000"/>
          <w:sz w:val="22"/>
        </w:rPr>
        <w:t> </w:t>
      </w:r>
      <w:r>
        <w:rPr>
          <w:rFonts w:ascii="Times New Roman" w:hAnsi="Times New Roman"/>
          <w:b w:val="false"/>
          <w:i w:val="false"/>
          <w:color w:val="000000"/>
          <w:sz w:val="22"/>
        </w:rPr>
        <w:t>Contents of notice of appeal. The notice of appeal shall include the following in separately numbered paragraphs supported, where applicable, by controlling statutes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brief statement of the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brief statement of the history of the proceeding, including the date and a description of any ruling claimed to be erroneous.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each of the issues to be presented for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precise description of the error(s) upon which the appeal is based. If a claim of error is based on allegations that the presiding officer failed to correctly interpret the law governing the proceeding, exceeded the authority of a presiding officer, or otherwise failed to act in accordance with law, the appellant will include a citation to briefs or other documents filed in the proceeding before the presiding officer where the legal points raised in the appeal were discussed. If a claim of error is based on allegations that the presiding officer failed to adequately consider evidence introduced at hearing, the appellant will include a citation to pages of the transcript or other documents where the evidence appears.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precise statement of the relief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as to whether an opportunity to file a brief or make oral argument in support of the appeal is requested and, if an opportunity is sought, a statement explaining the manner in which briefs and arguments presented to the presiding officer are inadequate for purposes of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if a party seeks a stay or other temporary remedy pending review of the proposed decision by the commission, with the reasons justifying such a stay or other temporary remedy that includes a discussion of the factors listed in Iowa Code section </w:t>
      </w:r>
      <w:hyperlink r:id="rId64">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Certification of service showing the names and addresses of all parties upon whom a copy of the notice of appeal was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2506.26(6)</w:t>
      </w:r>
      <w:r>
        <w:rPr>
          <w:rFonts w:ascii="Times New Roman" w:hAnsi="Times New Roman"/>
          <w:b w:val="false"/>
          <w:i w:val="false"/>
          <w:color w:val="000000"/>
          <w:sz w:val="22"/>
        </w:rPr>
        <w:t> </w:t>
      </w:r>
      <w:r>
        <w:rPr>
          <w:rFonts w:ascii="Times New Roman" w:hAnsi="Times New Roman"/>
          <w:b w:val="false"/>
          <w:i w:val="false"/>
          <w:color w:val="000000"/>
          <w:sz w:val="22"/>
        </w:rPr>
        <w:t>Responsive filings and cross-appeals. Parties may file a response to the notice of appeal or may file a cross-appeal within 14 days after the filing of the notice of appeal unless otherwise ordered by the commission. If a request for a stay or other temporary remedy was included in the notice of appeal, any party wishing to respond to the request will include the response to the request in the party’s response to the notice of appeal or notice of cross-appeal. When a provision of law directs the commission to issue a decision in the case in less than six months, the period for filing a response or cross-appeal is reduced to seven days from the filing of the notice of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Responses should specifically respond to each of the substantive paragraphs of the notice of appeal and state whether an opportunity to file responsive briefs or to participate in oral argument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requirements contained in this rule pertaining to a notice of appeal also apply to a notice of cross-appeal, other than the time for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2506.26(7)</w:t>
      </w:r>
      <w:r>
        <w:rPr>
          <w:rFonts w:ascii="Times New Roman" w:hAnsi="Times New Roman"/>
          <w:b w:val="false"/>
          <w:i w:val="false"/>
          <w:color w:val="000000"/>
          <w:sz w:val="22"/>
        </w:rPr>
        <w:t> </w:t>
      </w:r>
      <w:r>
        <w:rPr>
          <w:rFonts w:ascii="Times New Roman" w:hAnsi="Times New Roman"/>
          <w:b w:val="false"/>
          <w:i w:val="false"/>
          <w:color w:val="000000"/>
          <w:sz w:val="22"/>
        </w:rPr>
        <w:t xml:space="preserve">Ruling on appeal. After the filing of the last appeal, response, or cross-appeal, the commission will issue an order that may establish a procedural schedule for the appeal or may be the commission’s final decision on the merits of the appeal. If a request for a stay or other temporary remedy was included in the notice of appeal, the request will be evaluated by the commission using the factors stated in rule </w:t>
      </w:r>
      <w:hyperlink r:id="rId65">
        <w:r>
          <w:rPr>
            <w:rStyle w:val="Hyperlink"/>
            <w:rFonts w:ascii="Times New Roman" w:hAnsi="Times New Roman"/>
            <w:b w:val="false"/>
            <w:i w:val="false"/>
            <w:color w:val="000000"/>
            <w:sz w:val="22"/>
          </w:rPr>
          <w:t>199—2506.28</w:t>
        </w:r>
      </w:hyperlink>
      <w:r>
        <w:rPr>
          <w:rFonts w:ascii="Times New Roman" w:hAnsi="Times New Roman"/>
          <w:b w:val="false"/>
          <w:i w:val="false"/>
          <w:color w:val="000000"/>
          <w:sz w:val="22"/>
        </w:rPr>
        <w:t>(17A,476). A stay or other temporary remedy may be vacated by the commission upon application of any party or upon the commission’s own motion.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199—2506.27</w:t>
      </w:r>
      <w:r>
        <w:rPr>
          <w:rFonts w:ascii="Times New Roman" w:hAnsi="Times New Roman"/>
          <w:b/>
          <w:i w:val="false"/>
          <w:color w:val="000000"/>
          <w:sz w:val="22"/>
        </w:rPr>
        <w:t xml:space="preserve">(17A,476) </w:t>
      </w:r>
      <w:r>
        <w:rPr>
          <w:rFonts w:ascii="Times New Roman" w:hAnsi="Times New Roman"/>
          <w:b/>
          <w:i w:val="false"/>
          <w:color w:val="000000"/>
          <w:sz w:val="22"/>
        </w:rPr>
        <w:t xml:space="preserve">Rehearing and reconsideration.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rehearing or reconsideration. </w:t>
      </w:r>
      <w:r>
        <w:rPr>
          <w:rFonts w:ascii="Times New Roman" w:hAnsi="Times New Roman"/>
          <w:b w:val="false"/>
          <w:i w:val="false"/>
          <w:color w:val="000000"/>
          <w:sz w:val="22"/>
        </w:rPr>
        <w:t>Any party to a contested case may file an application for rehearing or reconsideration of the final decision within 20 days after the issuance of a final decision in a contested case. The commission will either grant or refuse an application for rehearing within 30 days after the filing of the application or may, after giving the interested parties notice and opportunity to be heard and after consideration of all the facts, including those arising since the making of the order, abrogate or modify its order. A failure by the commission to act upon the application for rehearing within the above period is deemed a refusal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2506.27(2)</w:t>
      </w:r>
      <w:r>
        <w:rPr>
          <w:rFonts w:ascii="Times New Roman" w:hAnsi="Times New Roman"/>
          <w:b w:val="false"/>
          <w:i w:val="false"/>
          <w:color w:val="000000"/>
          <w:sz w:val="22"/>
        </w:rPr>
        <w:t> </w:t>
      </w:r>
      <w:r>
        <w:rPr>
          <w:rFonts w:ascii="Times New Roman" w:hAnsi="Times New Roman"/>
          <w:b w:val="false"/>
          <w:i/>
          <w:color w:val="000000"/>
          <w:sz w:val="22"/>
        </w:rPr>
        <w:t xml:space="preserve">Contents of application. </w:t>
      </w:r>
      <w:r>
        <w:rPr>
          <w:rFonts w:ascii="Times New Roman" w:hAnsi="Times New Roman"/>
          <w:b w:val="false"/>
          <w:i w:val="false"/>
          <w:color w:val="000000"/>
          <w:sz w:val="22"/>
        </w:rPr>
        <w:t>Applications for rehearing or reconsideration will specify the findings of fact and conclusions of law claimed to be erroneous, with a brief statement of the alleged grounds of error. Any application for rehearing or reconsideration asserting that evidence has arisen since the final order was issued as a ground for rehearing or reconsideration will present the evidence by affidavit that includes an explanation of the competence of the person to sponsor the evidence and a brief description of the evidence sought to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objections to applications for rehearing or reconsideration. </w:t>
      </w:r>
      <w:r>
        <w:rPr>
          <w:rFonts w:ascii="Times New Roman" w:hAnsi="Times New Roman"/>
          <w:b w:val="false"/>
          <w:i w:val="false"/>
          <w:color w:val="000000"/>
          <w:sz w:val="22"/>
        </w:rPr>
        <w:t xml:space="preserve">Notwithstanding the provisions of subrule </w:t>
      </w:r>
      <w:hyperlink r:id="rId66">
        <w:r>
          <w:rPr>
            <w:rStyle w:val="Hyperlink"/>
            <w:rFonts w:ascii="Times New Roman" w:hAnsi="Times New Roman"/>
            <w:b w:val="false"/>
            <w:i w:val="false"/>
            <w:color w:val="000000"/>
            <w:sz w:val="22"/>
          </w:rPr>
          <w:t>2506.9(2)</w:t>
        </w:r>
      </w:hyperlink>
      <w:r>
        <w:rPr>
          <w:rFonts w:ascii="Times New Roman" w:hAnsi="Times New Roman"/>
          <w:b w:val="false"/>
          <w:i w:val="false"/>
          <w:color w:val="000000"/>
          <w:sz w:val="22"/>
        </w:rPr>
        <w:t xml:space="preserve"> and unless otherwise ordered by the commission, within 14 days of the date the application was filed, an answer or objection to the application may be filed.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199—2506.28</w:t>
      </w:r>
      <w:r>
        <w:rPr>
          <w:rFonts w:ascii="Times New Roman" w:hAnsi="Times New Roman"/>
          <w:b/>
          <w:i w:val="false"/>
          <w:color w:val="000000"/>
          <w:sz w:val="22"/>
        </w:rPr>
        <w:t xml:space="preserve">(17A,476) </w:t>
      </w:r>
      <w:r>
        <w:rPr>
          <w:rFonts w:ascii="Times New Roman" w:hAnsi="Times New Roman"/>
          <w:b/>
          <w:i w:val="false"/>
          <w:color w:val="000000"/>
          <w:sz w:val="22"/>
        </w:rPr>
        <w:t xml:space="preserve">Stay of agency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2506.28(1)</w:t>
      </w:r>
      <w:r>
        <w:rPr>
          <w:rFonts w:ascii="Times New Roman" w:hAnsi="Times New Roman"/>
          <w:b w:val="false"/>
          <w:i w:val="false"/>
          <w:color w:val="000000"/>
          <w:sz w:val="22"/>
        </w:rPr>
        <w:t> </w:t>
      </w:r>
      <w:r>
        <w:rPr>
          <w:rFonts w:ascii="Times New Roman" w:hAnsi="Times New Roman"/>
          <w:b w:val="false"/>
          <w:i w:val="false"/>
          <w:color w:val="000000"/>
          <w:sz w:val="22"/>
        </w:rPr>
        <w:t xml:space="preserve">Any party to a contested case proceeding may petition the commission for a stay or other temporary remedy pending judicial review of the proceeding. The petition will state the reasons justifying a stay or other temporary remedy and be served on all other parties pursuant to subrule </w:t>
      </w:r>
      <w:hyperlink r:id="rId67">
        <w:r>
          <w:rPr>
            <w:rStyle w:val="Hyperlink"/>
            <w:rFonts w:ascii="Times New Roman" w:hAnsi="Times New Roman"/>
            <w:b w:val="false"/>
            <w:i w:val="false"/>
            <w:color w:val="000000"/>
            <w:sz w:val="22"/>
          </w:rPr>
          <w:t>2506.4(5)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2506.28(2)</w:t>
      </w:r>
      <w:r>
        <w:rPr>
          <w:rFonts w:ascii="Times New Roman" w:hAnsi="Times New Roman"/>
          <w:b w:val="false"/>
          <w:i w:val="false"/>
          <w:color w:val="000000"/>
          <w:sz w:val="22"/>
        </w:rPr>
        <w:t> </w:t>
      </w:r>
      <w:r>
        <w:rPr>
          <w:rFonts w:ascii="Times New Roman" w:hAnsi="Times New Roman"/>
          <w:b w:val="false"/>
          <w:i w:val="false"/>
          <w:color w:val="000000"/>
          <w:sz w:val="22"/>
        </w:rPr>
        <w:t xml:space="preserve">In determining whether to grant a stay, the commission will consider the factors listed in Iowa Code section </w:t>
      </w:r>
      <w:hyperlink r:id="rId68">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2506.28(3)</w:t>
      </w:r>
      <w:r>
        <w:rPr>
          <w:rFonts w:ascii="Times New Roman" w:hAnsi="Times New Roman"/>
          <w:b w:val="false"/>
          <w:i w:val="false"/>
          <w:color w:val="000000"/>
          <w:sz w:val="22"/>
        </w:rPr>
        <w:t> </w:t>
      </w:r>
      <w:r>
        <w:rPr>
          <w:rFonts w:ascii="Times New Roman" w:hAnsi="Times New Roman"/>
          <w:b w:val="false"/>
          <w:i w:val="false"/>
          <w:color w:val="000000"/>
          <w:sz w:val="22"/>
        </w:rPr>
        <w:t>A stay or other temporary remedy may be vacated by the commission upon application of any party or upon the commission’s own motion.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199—2506.29</w:t>
      </w:r>
      <w:r>
        <w:rPr>
          <w:rFonts w:ascii="Times New Roman" w:hAnsi="Times New Roman"/>
          <w:b/>
          <w:i w:val="false"/>
          <w:color w:val="000000"/>
          <w:sz w:val="22"/>
        </w:rPr>
        <w:t xml:space="preserve">(17A,476)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2506.29(1)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commission may issue an emergency adjudicative order in compliance with Iowa Code section </w:t>
      </w:r>
      <w:hyperlink r:id="rId69">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to order the cessation of any continuing activity, order affirmative action, or take other action within the jurisdiction of the agency. Before issuing an emergency adjudicative order, the commission may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provide reasonably reliable information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that pose immediate danger to the public health, safety, or welfare are likely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obligated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commission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2506.29(2)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will contain findings of fact, conclusions of law, and policy reasons for the decision, if it is an exercise of the commission’s discretion, to justify the determination of an immediate danger and the commission’s decision to take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will be immediately delivered to persons who are to comply with the order by the most reasonably available method, which may include one or more of the following methods: notice through the electronic filing system, personal delivery, certified mail, first-class mail, fax, or email. To the degree practical, the commission will select the method or methods most likely to result in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Unless the written emergency adjudicative order is delivered by personal service on the day issued, the commission will make reasonable efforts to contact the persons who are to comply with the order by telephone, in person, or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2506.29(3)</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Issuance and delivery of a written emergency adjudicative order will normally include notification of a procedural schedule for completion of the proceedings.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7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71">
        <w:r>
          <w:rPr>
            <w:rStyle w:val="Hyperlink"/>
            <w:rFonts w:ascii="Times New Roman" w:hAnsi="Times New Roman"/>
            <w:b w:val="false"/>
            <w:i w:val="false"/>
            <w:color w:val="000000"/>
            <w:sz w:val="22"/>
          </w:rPr>
          <w:t>474.5</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0375D, IAB 6/24/26, effective 6/1/26]</w:t>
      </w:r>
    </w:p>
    <w:sectPr>
      <w:footerReference r:id="rId7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ac/chapter/7.2506.pdf" Type="http://schemas.openxmlformats.org/officeDocument/2006/relationships/hyperlink" Id="rId8"/>
    <Relationship TargetMode="External" Target="https://www.legis.iowa.gov/docs/iac/chapter/199.14.pdf" Type="http://schemas.openxmlformats.org/officeDocument/2006/relationships/hyperlink" Id="rId9"/>
    <Relationship TargetMode="External" Target="https://www.legis.iowa.gov/docs/iac/chapter/199.14.pdf" Type="http://schemas.openxmlformats.org/officeDocument/2006/relationships/hyperlink" Id="rId10"/>
    <Relationship TargetMode="External" Target="https://www.legis.iowa.gov/docs/iac/rule/199.2506.1.pdf" Type="http://schemas.openxmlformats.org/officeDocument/2006/relationships/hyperlink" Id="rId11"/>
    <Relationship TargetMode="External" Target="https://www.legis.iowa.gov/docs/iac/rule/199.2506.1.pdf" Type="http://schemas.openxmlformats.org/officeDocument/2006/relationships/hyperlink" Id="rId12"/>
    <Relationship TargetMode="External" Target="https://www.legis.iowa.gov/docs/iac/chapter/199.26.pdf" Type="http://schemas.openxmlformats.org/officeDocument/2006/relationships/hyperlink" Id="rId13"/>
    <Relationship TargetMode="External" Target="https://www.legis.iowa.gov/docs/iac/rule/199.32.5.pdf" Type="http://schemas.openxmlformats.org/officeDocument/2006/relationships/hyperlink" Id="rId14"/>
    <Relationship TargetMode="External" Target="https://www.legis.iowa.gov/docs/iac/rule/199.32.5.pdf" Type="http://schemas.openxmlformats.org/officeDocument/2006/relationships/hyperlink" Id="rId15"/>
    <Relationship TargetMode="External" Target="https://www.legis.iowa.gov/docs/iac/rule/199.32.5.pdf" Type="http://schemas.openxmlformats.org/officeDocument/2006/relationships/hyperlink" Id="rId16"/>
    <Relationship TargetMode="External" Target="https://www.legis.iowa.gov/docs/ico/chapter/476.95A.pdf" Type="http://schemas.openxmlformats.org/officeDocument/2006/relationships/hyperlink" Id="rId17"/>
    <Relationship TargetMode="External" Target="https://www.legis.iowa.gov/docs/ico/chapter/476.20.pdf" Type="http://schemas.openxmlformats.org/officeDocument/2006/relationships/hyperlink" Id="rId18"/>
    <Relationship TargetMode="External" Target="https://www.legis.iowa.gov/docs/iac/rule/199.2506.1.pdf" Type="http://schemas.openxmlformats.org/officeDocument/2006/relationships/hyperlink" Id="rId19"/>
    <Relationship TargetMode="External" Target="https://www.legis.iowa.gov/docs/iac/chapter/7.2504.pdf" Type="http://schemas.openxmlformats.org/officeDocument/2006/relationships/hyperlink" Id="rId20"/>
    <Relationship TargetMode="External" Target="https://www.legis.iowa.gov/docs/ico/chapter/476.pdf" Type="http://schemas.openxmlformats.org/officeDocument/2006/relationships/hyperlink" Id="rId21"/>
    <Relationship TargetMode="External" Target="https://www.legis.iowa.gov/docs/ico/chapter/476C.pdf" Type="http://schemas.openxmlformats.org/officeDocument/2006/relationships/hyperlink" Id="rId22"/>
    <Relationship TargetMode="External" Target="https://www.legis.iowa.gov/docs/ico/chapter/477.pdf" Type="http://schemas.openxmlformats.org/officeDocument/2006/relationships/hyperlink" Id="rId23"/>
    <Relationship TargetMode="External" Target="https://www.legis.iowa.gov/docs/ico/chapter/477A.pdf" Type="http://schemas.openxmlformats.org/officeDocument/2006/relationships/hyperlink" Id="rId24"/>
    <Relationship TargetMode="External" Target="https://www.legis.iowa.gov/docs/ico/chapter/477C.pdf" Type="http://schemas.openxmlformats.org/officeDocument/2006/relationships/hyperlink" Id="rId25"/>
    <Relationship TargetMode="External" Target="https://www.legis.iowa.gov/docs/ico/chapter/479B.pdf" Type="http://schemas.openxmlformats.org/officeDocument/2006/relationships/hyperlink" Id="rId26"/>
    <Relationship TargetMode="External" Target="https://www.legis.iowa.gov/docs/ico/chapter/475A.pdf" Type="http://schemas.openxmlformats.org/officeDocument/2006/relationships/hyperlink" Id="rId27"/>
    <Relationship TargetMode="External" Target="https://www.legis.iowa.gov/docs/ico/chapter/17A.2.pdf" Type="http://schemas.openxmlformats.org/officeDocument/2006/relationships/hyperlink" Id="rId28"/>
    <Relationship TargetMode="External" Target="https://www.legis.iowa.gov/docs/ico/chapter/17A.10A.pdf" Type="http://schemas.openxmlformats.org/officeDocument/2006/relationships/hyperlink" Id="rId29"/>
    <Relationship TargetMode="External" Target="https://www.legis.iowa.gov/docs/iac/rule/199.14.3.pdf" Type="http://schemas.openxmlformats.org/officeDocument/2006/relationships/hyperlink" Id="rId30"/>
    <Relationship TargetMode="External" Target="https://www.legis.iowa.gov/docs/ico/chapter/4.1.pdf" Type="http://schemas.openxmlformats.org/officeDocument/2006/relationships/hyperlink" Id="rId31"/>
    <Relationship TargetMode="External" Target="https://www.legis.iowa.gov/docs/iac/chapter/199.14.pdf" Type="http://schemas.openxmlformats.org/officeDocument/2006/relationships/hyperlink" Id="rId32"/>
    <Relationship TargetMode="External" Target="https://www.legis.iowa.gov/docs/iac/rule/199.14.3.pdf" Type="http://schemas.openxmlformats.org/officeDocument/2006/relationships/hyperlink" Id="rId33"/>
    <Relationship TargetMode="External" Target="https://www.legis.iowa.gov/docs/iac/chapter/199.14.pdf" Type="http://schemas.openxmlformats.org/officeDocument/2006/relationships/hyperlink" Id="rId34"/>
    <Relationship TargetMode="External" Target="https://www.legis.iowa.gov/docs/iac/rule/199.14.4.pdf" Type="http://schemas.openxmlformats.org/officeDocument/2006/relationships/hyperlink" Id="rId35"/>
    <Relationship TargetMode="External" Target="https://www.legis.iowa.gov/docs/iac/chapter/199.14.pdf" Type="http://schemas.openxmlformats.org/officeDocument/2006/relationships/hyperlink" Id="rId36"/>
    <Relationship TargetMode="External" Target="https://www.legis.iowa.gov/docs/iac/chapter/199.14.pdf" Type="http://schemas.openxmlformats.org/officeDocument/2006/relationships/hyperlink" Id="rId37"/>
    <Relationship TargetMode="External" Target="https://www.legis.iowa.gov/docs/iac/chapter/199.14.pdf" Type="http://schemas.openxmlformats.org/officeDocument/2006/relationships/hyperlink" Id="rId38"/>
    <Relationship TargetMode="External" Target="https://www.legis.iowa.gov/docs/iac/rule/199.2506.9.pdf" Type="http://schemas.openxmlformats.org/officeDocument/2006/relationships/hyperlink" Id="rId39"/>
    <Relationship TargetMode="External" Target="https://www.legis.iowa.gov/docs/iac/rule/199.2506.12.pdf" Type="http://schemas.openxmlformats.org/officeDocument/2006/relationships/hyperlink" Id="rId40"/>
    <Relationship TargetMode="External" Target="https://www.legis.iowa.gov/docs/iac/rule/199.2506.13.pdf" Type="http://schemas.openxmlformats.org/officeDocument/2006/relationships/hyperlink" Id="rId41"/>
    <Relationship TargetMode="External" Target="https://www.legis.iowa.gov/docs/iac/rule/199.2506.15.pdf" Type="http://schemas.openxmlformats.org/officeDocument/2006/relationships/hyperlink" Id="rId42"/>
    <Relationship TargetMode="External" Target="https://www.legis.iowa.gov/docs/iac/rule/199.2506.26.pdf" Type="http://schemas.openxmlformats.org/officeDocument/2006/relationships/hyperlink" Id="rId43"/>
    <Relationship TargetMode="External" Target="https://www.legis.iowa.gov/docs/iac/rule/199.2506.4.pdf" Type="http://schemas.openxmlformats.org/officeDocument/2006/relationships/hyperlink" Id="rId44"/>
    <Relationship TargetMode="External" Target="https://www.legis.iowa.gov/docs/iac/rule/199.2506.4.pdf" Type="http://schemas.openxmlformats.org/officeDocument/2006/relationships/hyperlink" Id="rId45"/>
    <Relationship TargetMode="External" Target="https://www.legis.iowa.gov/docs/ico/chapter/4.1.pdf" Type="http://schemas.openxmlformats.org/officeDocument/2006/relationships/hyperlink" Id="rId46"/>
    <Relationship TargetMode="External" Target="https://www.legis.iowa.gov/docs/iac/chapter/199.14.pdf" Type="http://schemas.openxmlformats.org/officeDocument/2006/relationships/hyperlink" Id="rId47"/>
    <Relationship TargetMode="External" Target="http://iuc.iowa.gov" Type="http://schemas.openxmlformats.org/officeDocument/2006/relationships/hyperlink" Id="rId48"/>
    <Relationship TargetMode="External" Target="https://www.legis.iowa.gov/docs/iac/chapter/199.14.pdf" Type="http://schemas.openxmlformats.org/officeDocument/2006/relationships/hyperlink" Id="rId49"/>
    <Relationship TargetMode="External" Target="https://www.legis.iowa.gov/docs/iac/chapter/199.14.pdf" Type="http://schemas.openxmlformats.org/officeDocument/2006/relationships/hyperlink" Id="rId50"/>
    <Relationship TargetMode="External" Target="https://www.legis.iowa.gov/docs/iac/rule/199.2506.15.pdf" Type="http://schemas.openxmlformats.org/officeDocument/2006/relationships/hyperlink" Id="rId51"/>
    <Relationship TargetMode="External" Target="https://www.legis.iowa.gov/docs/iac/rule/199.2506.15.pdf" Type="http://schemas.openxmlformats.org/officeDocument/2006/relationships/hyperlink" Id="rId52"/>
    <Relationship TargetMode="External" Target="https://www.legis.iowa.gov/docs/iac/rule/199.2506.18.pdf" Type="http://schemas.openxmlformats.org/officeDocument/2006/relationships/hyperlink" Id="rId53"/>
    <Relationship TargetMode="External" Target="https://www.legis.iowa.gov/docs/iac/rule/199.2506.18.pdf" Type="http://schemas.openxmlformats.org/officeDocument/2006/relationships/hyperlink" Id="rId54"/>
    <Relationship TargetMode="External" Target="https://www.legis.iowa.gov/docs/iac/chapter/199.26.pdf" Type="http://schemas.openxmlformats.org/officeDocument/2006/relationships/hyperlink" Id="rId55"/>
    <Relationship TargetMode="External" Target="https://www.legis.iowa.gov/docs/ico/chapter/17A.13.pdf" Type="http://schemas.openxmlformats.org/officeDocument/2006/relationships/hyperlink" Id="rId56"/>
    <Relationship TargetMode="External" Target="https://www.legis.iowa.gov/docs/ico/chapter/17A.17.pdf" Type="http://schemas.openxmlformats.org/officeDocument/2006/relationships/hyperlink" Id="rId57"/>
    <Relationship TargetMode="External" Target="https://www.legis.iowa.gov/docs/iac/rule/199.2506.10.pdf" Type="http://schemas.openxmlformats.org/officeDocument/2006/relationships/hyperlink" Id="rId58"/>
    <Relationship TargetMode="External" Target="https://www.legis.iowa.gov/docs/iac/rule/199.2506.4.pdf" Type="http://schemas.openxmlformats.org/officeDocument/2006/relationships/hyperlink" Id="rId59"/>
    <Relationship TargetMode="External" Target="https://www.legis.iowa.gov/docs/iac/chapter/199.1.pdf" Type="http://schemas.openxmlformats.org/officeDocument/2006/relationships/hyperlink" Id="rId60"/>
    <Relationship TargetMode="External" Target="https://www.legis.iowa.gov/docs/iac/rule/199.2506.25.pdf" Type="http://schemas.openxmlformats.org/officeDocument/2006/relationships/hyperlink" Id="rId61"/>
    <Relationship TargetMode="External" Target="https://www.legis.iowa.gov/docs/iac/rule/199.2506.26.pdf" Type="http://schemas.openxmlformats.org/officeDocument/2006/relationships/hyperlink" Id="rId62"/>
    <Relationship TargetMode="External" Target="https://www.legis.iowa.gov/docs/iac/rule/199.2506.28.pdf" Type="http://schemas.openxmlformats.org/officeDocument/2006/relationships/hyperlink" Id="rId63"/>
    <Relationship TargetMode="External" Target="https://www.legis.iowa.gov/docs/ico/chapter/17A.19.pdf" Type="http://schemas.openxmlformats.org/officeDocument/2006/relationships/hyperlink" Id="rId64"/>
    <Relationship TargetMode="External" Target="https://www.legis.iowa.gov/docs/iac/rule/199.2506.28.pdf" Type="http://schemas.openxmlformats.org/officeDocument/2006/relationships/hyperlink" Id="rId65"/>
    <Relationship TargetMode="External" Target="https://www.legis.iowa.gov/docs/iac/rule/199.2506.9.pdf" Type="http://schemas.openxmlformats.org/officeDocument/2006/relationships/hyperlink" Id="rId66"/>
    <Relationship TargetMode="External" Target="https://www.legis.iowa.gov/docs/iac/rule/199.2506.4.pdf" Type="http://schemas.openxmlformats.org/officeDocument/2006/relationships/hyperlink" Id="rId67"/>
    <Relationship TargetMode="External" Target="https://www.legis.iowa.gov/docs/ico/chapter/17A.19.pdf" Type="http://schemas.openxmlformats.org/officeDocument/2006/relationships/hyperlink" Id="rId68"/>
    <Relationship TargetMode="External" Target="https://www.legis.iowa.gov/docs/ico/chapter/17A.18A.pdf" Type="http://schemas.openxmlformats.org/officeDocument/2006/relationships/hyperlink" Id="rId69"/>
    <Relationship TargetMode="External" Target="https://www.legis.iowa.gov/docs/ico/chapter/17A.pdf" Type="http://schemas.openxmlformats.org/officeDocument/2006/relationships/hyperlink" Id="rId70"/>
    <Relationship TargetMode="External" Target="https://www.legis.iowa.gov/docs/ico/chapter/474.5.pdf" Type="http://schemas.openxmlformats.org/officeDocument/2006/relationships/hyperlink" Id="rId71"/>
    <Relationship TargetMode="External" Target="https://www.legis.iowa.gov/docs/ico/chapter/476.2.pdf" Type="http://schemas.openxmlformats.org/officeDocument/2006/relationships/hyperlink" Id="rId72"/>
    <Relationship Target="footer.xml" Type="http://schemas.openxmlformats.org/officeDocument/2006/relationships/footer" Id="rId7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