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chapters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199—2505.5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2505.5(4)</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If a request complies with </w:t>
      </w:r>
      <w:hyperlink r:id="rId8">
        <w:r>
          <w:rPr>
            <w:rStyle w:val="Hyperlink"/>
            <w:rFonts w:ascii="Times New Roman" w:hAnsi="Times New Roman"/>
            <w:b w:val="false"/>
            <w:i w:val="false"/>
            <w:color w:val="000000"/>
            <w:sz w:val="22"/>
          </w:rPr>
          <w:t>7—subrule 2505.5(2)</w:t>
        </w:r>
      </w:hyperlink>
      <w:r>
        <w:rPr>
          <w:rFonts w:ascii="Times New Roman" w:hAnsi="Times New Roman"/>
          <w:b w:val="false"/>
          <w:i w:val="false"/>
          <w:color w:val="000000"/>
          <w:sz w:val="22"/>
        </w:rPr>
        <w:t xml:space="preserve">, a record will be temporarily withheld from public inspection. The commission will examine the record to determine whether the information in the record should be afforded confidentiality. If the request is granted, the ruling will be placed in a publicly accessible file in lieu of the record withheld from public inspection. If no objection to the request for confidential treatment is filed within 20 days, the commission may defer consideration of the request until a public records request is made for the record or information, and the record or information shall be withheld from public inspection subject to the provisions of rule </w:t>
      </w:r>
      <w:hyperlink r:id="rId9">
        <w:r>
          <w:rPr>
            <w:rStyle w:val="Hyperlink"/>
            <w:rFonts w:ascii="Times New Roman" w:hAnsi="Times New Roman"/>
            <w:b w:val="false"/>
            <w:i w:val="false"/>
            <w:color w:val="000000"/>
            <w:sz w:val="22"/>
          </w:rPr>
          <w:t>7—2505.4(17A,22)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199—2505.9</w:t>
      </w:r>
      <w:r>
        <w:rPr>
          <w:rFonts w:ascii="Times New Roman" w:hAnsi="Times New Roman"/>
          <w:b/>
          <w:i w:val="false"/>
          <w:color w:val="000000"/>
          <w:sz w:val="22"/>
        </w:rPr>
        <w:t xml:space="preserve">(17A,22) </w:t>
      </w:r>
      <w:r>
        <w:rPr>
          <w:rFonts w:ascii="Times New Roman" w:hAnsi="Times New Roman"/>
          <w:b/>
          <w:i w:val="false"/>
          <w:color w:val="000000"/>
          <w:sz w:val="22"/>
        </w:rPr>
        <w:t xml:space="preserve">Records not routinely available for public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color w:val="000000"/>
          <w:sz w:val="22"/>
        </w:rPr>
        <w:t xml:space="preserve">Tax records. </w:t>
      </w:r>
      <w:r>
        <w:rPr>
          <w:rFonts w:ascii="Times New Roman" w:hAnsi="Times New Roman"/>
          <w:b w:val="false"/>
          <w:i w:val="false"/>
          <w:color w:val="000000"/>
          <w:sz w:val="22"/>
        </w:rPr>
        <w:t xml:space="preserve">The commission is required to withhold tax records from public inspection pursuant to Iowa Code section </w:t>
      </w:r>
      <w:hyperlink r:id="rId10">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color w:val="000000"/>
          <w:sz w:val="22"/>
        </w:rPr>
        <w:t xml:space="preserve">Records exempted pursuant to requests deemed granted by the commission. </w:t>
      </w:r>
      <w:r>
        <w:rPr>
          <w:rFonts w:ascii="Times New Roman" w:hAnsi="Times New Roman"/>
          <w:b w:val="false"/>
          <w:i w:val="false"/>
          <w:color w:val="000000"/>
          <w:sz w:val="22"/>
        </w:rPr>
        <w:t xml:space="preserve">Requests to withhold from public inspection the records and information listed in the paragraphs below are deemed granted by the commission pursuant to Iowa Code section </w:t>
      </w:r>
      <w:hyperlink r:id="rId11">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provided that the confidential portions of the filings are identified as confidential and filed as provided in </w:t>
      </w:r>
      <w:hyperlink r:id="rId13">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and an attorney for the company or corporate officer avers that the material or information satisfies the requirements in Iowa Code section </w:t>
      </w:r>
      <w:hyperlink r:id="rId14">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both. The records or information filed pursuant to this subrule will be deemed confidential upon the filer’s receipt of a notice of electronic filing without further review or acknowledgement by the commission, and the record or information will be withheld from public inspection subject to the provisions of subrule </w:t>
      </w:r>
      <w:hyperlink r:id="rId16">
        <w:r>
          <w:rPr>
            <w:rStyle w:val="Hyperlink"/>
            <w:rFonts w:ascii="Times New Roman" w:hAnsi="Times New Roman"/>
            <w:b w:val="false"/>
            <w:i w:val="false"/>
            <w:color w:val="000000"/>
            <w:sz w:val="22"/>
          </w:rPr>
          <w:t>2505.5(4)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Negotiated transportation rates and prices for natural gas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Reservation charges for portfolio gas supply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Terms and prices for all hedging activity, including financial hedges and weather-related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Sales data by individual natural gas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Natural gas purchase volumes by individual receipt point, by pipeline.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Specific gas costs included in interstate pipeline contracts and contracted volume quantities, invoices, commodity contracts, and individual commodity purchases and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Design day forecasting model reserve margin calculations for natural gas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Negotiated purchase prices for electric power, fuel,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Electric customer-specific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Power supply bills in support of energy adjustment clause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Network improvement and maintenance plans and related extensions and progress reports filed with the commission pursuant to </w:t>
      </w:r>
      <w:hyperlink r:id="rId17">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Wireless coverage area maps depicting signal strength filed with the commission pursuant to </w:t>
      </w:r>
      <w:hyperlink r:id="rId18">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Revenue recovery amounts and loop or line count data filed with the commission pursuant to </w:t>
      </w:r>
      <w:hyperlink r:id="rId19">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reports and loop or line count data included in rate floor data filed with the commission pursuant to </w:t>
      </w:r>
      <w:hyperlink r:id="rId20">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Loop or line count data included in rate floor data updates filed with the commission pursuant to </w:t>
      </w:r>
      <w:hyperlink r:id="rId21">
        <w:r>
          <w:rPr>
            <w:rStyle w:val="Hyperlink"/>
            <w:rFonts w:ascii="Times New Roman" w:hAnsi="Times New Roman"/>
            <w:b w:val="false"/>
            <w:i w:val="false"/>
            <w:color w:val="000000"/>
            <w:sz w:val="22"/>
          </w:rPr>
          <w:t>199—Chapter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financial records filed by applicants for certificates of convenience and necessity to provide competitive local exchange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The financial records, number of customers, and volumes filed by competitive natural gas providers in each company’s annual report. The aggregate total sales volume is not granted confidential treatment by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financial information regarding affiliate transactions required for rate-regulated utilities. This information is subject to staff and legal review to ensure the information protected is similar to other information included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Information filed in a particular docket that is of the same type, nature, and scope as information for which the commission previously granted confidentiality in that same docket.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0375D, IAB 6/24/26, effective 6/1/26]</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7.2505.5.pdf" Type="http://schemas.openxmlformats.org/officeDocument/2006/relationships/hyperlink" Id="rId8"/>
    <Relationship TargetMode="External" Target="https://www.legis.iowa.gov/docs/iac/rule/7.2505.4.pdf" Type="http://schemas.openxmlformats.org/officeDocument/2006/relationships/hyperlink" Id="rId9"/>
    <Relationship TargetMode="External" Target="https://www.legis.iowa.gov/docs/ico/chapter/422.20.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ac/chapter/199.14.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ac/rule/199.2505.5.pdf" Type="http://schemas.openxmlformats.org/officeDocument/2006/relationships/hyperlink" Id="rId16"/>
    <Relationship TargetMode="External" Target="https://www.legis.iowa.gov/docs/iac/chapter/199.39.pdf" Type="http://schemas.openxmlformats.org/officeDocument/2006/relationships/hyperlink" Id="rId17"/>
    <Relationship TargetMode="External" Target="https://www.legis.iowa.gov/docs/iac/chapter/199.39.pdf" Type="http://schemas.openxmlformats.org/officeDocument/2006/relationships/hyperlink" Id="rId18"/>
    <Relationship TargetMode="External" Target="https://www.legis.iowa.gov/docs/iac/chapter/199.39.pdf" Type="http://schemas.openxmlformats.org/officeDocument/2006/relationships/hyperlink" Id="rId19"/>
    <Relationship TargetMode="External" Target="https://www.legis.iowa.gov/docs/iac/chapter/199.39.pdf" Type="http://schemas.openxmlformats.org/officeDocument/2006/relationships/hyperlink" Id="rId20"/>
    <Relationship TargetMode="External" Target="https://www.legis.iowa.gov/docs/iac/chapter/199.39.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