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IOWA ELECTRICAL SAFETY CODE</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199—25.1</w:t>
      </w:r>
      <w:r>
        <w:rPr>
          <w:rFonts w:ascii="Times New Roman" w:hAnsi="Times New Roman"/>
          <w:b/>
          <w:i w:val="false"/>
          <w:color w:val="000000"/>
          <w:sz w:val="22"/>
        </w:rPr>
        <w:t xml:space="preserve">(476,476A,478)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 standards relating to electric and communication facilities in this chapter are prescribed by the Iowa utilities commission pursuant to Iowa Code sections </w:t>
      </w:r>
      <w:hyperlink r:id="rId5">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476A.12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478.19</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chapter is to promote safe and adequate service to the public, to provide standards for uniform and reasonable practices by utilities, and to establish a basis for determining the reasonableness of such demands as may be made by the public upon the utilities. The rules apply to electric and communication utility facilities located in the state of Iowa and supersede all conflicting rules of any such utility. In no way does this rule relieve any utility from any of its duties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w:t>
      </w:r>
      <w:r>
        <w:rPr>
          <w:rFonts w:ascii="Times New Roman" w:hAnsi="Times New Roman"/>
          <w:b w:val="false"/>
          <w:i w:val="false"/>
          <w:color w:val="000000"/>
          <w:sz w:val="22"/>
        </w:rPr>
        <w:t> </w:t>
      </w:r>
      <w:r>
        <w:rPr>
          <w:rFonts w:ascii="Times New Roman" w:hAnsi="Times New Roman"/>
          <w:b w:val="false"/>
          <w:i/>
          <w:color w:val="000000"/>
          <w:sz w:val="22"/>
        </w:rPr>
        <w:t xml:space="preserve">Definition of utility. </w:t>
      </w:r>
      <w:r>
        <w:rPr>
          <w:rFonts w:ascii="Times New Roman" w:hAnsi="Times New Roman"/>
          <w:b w:val="false"/>
          <w:i w:val="false"/>
          <w:color w:val="000000"/>
          <w:sz w:val="22"/>
        </w:rPr>
        <w:t>For the purpose of this chapter, a utility is any owner or operator of electric or communications facilities subject to the safety jurisdiction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w:t>
      </w:r>
      <w:r>
        <w:rPr>
          <w:rFonts w:ascii="Times New Roman" w:hAnsi="Times New Roman"/>
          <w:b w:val="false"/>
          <w:i w:val="false"/>
          <w:color w:val="000000"/>
          <w:sz w:val="22"/>
        </w:rPr>
        <w:t> </w:t>
      </w:r>
      <w:r>
        <w:rPr>
          <w:rFonts w:ascii="Times New Roman" w:hAnsi="Times New Roman"/>
          <w:b w:val="false"/>
          <w:i/>
          <w:color w:val="000000"/>
          <w:sz w:val="22"/>
        </w:rPr>
        <w:t xml:space="preserve">Definition of crop and pasture land. </w:t>
      </w:r>
      <w:r>
        <w:rPr>
          <w:rFonts w:ascii="Times New Roman" w:hAnsi="Times New Roman"/>
          <w:b w:val="false"/>
          <w:i w:val="false"/>
          <w:color w:val="000000"/>
          <w:sz w:val="22"/>
        </w:rPr>
        <w:t>For the purpose of this chapter, “crop and pasture land” means any land devoted to agricultural use, including but not limited to land used for crop production, cleared land capable of being cultivated, hay land, pasture land, truck gardens, farmsteads, commercial agricultural-related facilities, feedlots, rangeland, livestock confinement systems, land on which farm buildings are located, and land used to implement management practices and structures for the improvement or conservation of soil, water, air, and related plant and animal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i w:val="false"/>
          <w:color w:val="000000"/>
          <w:sz w:val="16"/>
        </w:rPr>
        <w:t>ARC 0404D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199—25.2</w:t>
      </w:r>
      <w:r>
        <w:rPr>
          <w:rFonts w:ascii="Times New Roman" w:hAnsi="Times New Roman"/>
          <w:b/>
          <w:i w:val="false"/>
          <w:color w:val="000000"/>
          <w:sz w:val="22"/>
        </w:rPr>
        <w:t xml:space="preserve">(476,476A,478) </w:t>
      </w:r>
      <w:r>
        <w:rPr>
          <w:rFonts w:ascii="Times New Roman" w:hAnsi="Times New Roman"/>
          <w:b/>
          <w:i w:val="false"/>
          <w:color w:val="000000"/>
          <w:sz w:val="22"/>
        </w:rPr>
        <w:t xml:space="preserve">Iowa electrical safety code defined. </w:t>
      </w:r>
      <w:r>
        <w:rPr>
          <w:rFonts w:ascii="Times New Roman" w:hAnsi="Times New Roman"/>
          <w:b w:val="false"/>
          <w:i w:val="false"/>
          <w:color w:val="000000"/>
          <w:sz w:val="22"/>
        </w:rPr>
        <w:t>The standard minimum requirements for the installation and maintenance of electric substations, generating stations, and overhead and underground electric supply or communications lines adopted below, collectively constitute the “Iowa Electrical Safety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color w:val="000000"/>
          <w:sz w:val="22"/>
        </w:rPr>
        <w:t xml:space="preserve">National Electrical Safety Code. </w:t>
      </w:r>
      <w:r>
        <w:rPr>
          <w:rFonts w:ascii="Times New Roman" w:hAnsi="Times New Roman"/>
          <w:b w:val="false"/>
          <w:i w:val="false"/>
          <w:color w:val="000000"/>
          <w:sz w:val="22"/>
        </w:rPr>
        <w:t>The American National Standards Institute (ANSI) C2-2023, “National Electrical Safety Code” (NESC), as published on August 1, 2022,  including issued Correction Sheets, is adopted as part of the Iowa electrical safety code, except Part 4, “Rules for Operation of Electric Supply and Communications Lines and Equipment,” which is not adopted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color w:val="000000"/>
          <w:sz w:val="22"/>
        </w:rPr>
        <w:t xml:space="preserve">Modifications and qualifications to the NESC. </w:t>
      </w:r>
      <w:r>
        <w:rPr>
          <w:rFonts w:ascii="Times New Roman" w:hAnsi="Times New Roman"/>
          <w:b w:val="false"/>
          <w:i w:val="false"/>
          <w:color w:val="000000"/>
          <w:sz w:val="22"/>
        </w:rPr>
        <w:t>The standards set forth in the NESC are modified or qualified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Introduction to the National Electrical Safety Code. NESC 013A2 is modified to read as follows: “Types of construction and methods of installation other than those specified in the rules may be used experimentally to obtain information, if done where:</w:t>
      </w:r>
    </w:p>
    <w:p>
      <w:pPr>
        <w:spacing w:before="0" w:after="0"/>
        <w:ind w:left="120"/>
        <w:jc w:val="both"/>
      </w:pPr>
      <w:r>
        <w:rPr>
          <w:rFonts w:ascii="Times New Roman" w:hAnsi="Times New Roman"/>
          <w:b w:val="false"/>
          <w:i w:val="false"/>
          <w:color w:val="000000"/>
          <w:sz w:val="22"/>
        </w:rPr>
        <w:t>“1. Qualified supervision is provided,</w:t>
      </w:r>
    </w:p>
    <w:p>
      <w:pPr>
        <w:spacing w:before="0" w:after="0"/>
        <w:ind w:left="120"/>
        <w:jc w:val="both"/>
      </w:pPr>
      <w:r>
        <w:rPr>
          <w:rFonts w:ascii="Times New Roman" w:hAnsi="Times New Roman"/>
          <w:b w:val="false"/>
          <w:i w:val="false"/>
          <w:color w:val="000000"/>
          <w:sz w:val="22"/>
        </w:rPr>
        <w:t>“2. Equivalent safety is provided,</w:t>
      </w:r>
    </w:p>
    <w:p>
      <w:pPr>
        <w:spacing w:before="0" w:after="0"/>
        <w:ind w:left="120"/>
        <w:jc w:val="both"/>
      </w:pPr>
      <w:r>
        <w:rPr>
          <w:rFonts w:ascii="Times New Roman" w:hAnsi="Times New Roman"/>
          <w:b w:val="false"/>
          <w:i w:val="false"/>
          <w:color w:val="000000"/>
          <w:sz w:val="22"/>
        </w:rPr>
        <w:t>“3. On joint-use facilities, all joint users are notified in a timely manner, and</w:t>
      </w:r>
    </w:p>
    <w:p>
      <w:pPr>
        <w:spacing w:before="0" w:after="0"/>
        <w:ind w:left="120"/>
        <w:jc w:val="both"/>
      </w:pPr>
      <w:r>
        <w:rPr>
          <w:rFonts w:ascii="Times New Roman" w:hAnsi="Times New Roman"/>
          <w:b w:val="false"/>
          <w:i w:val="false"/>
          <w:color w:val="000000"/>
          <w:sz w:val="22"/>
        </w:rPr>
        <w:t>“4. Prior approval is obtained from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Minimum clearances.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instance where minimum clearances are provided in Iowa Code chapter </w:t>
      </w:r>
      <w:hyperlink r:id="rId11">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that are greater than otherwise required by these rules, the statutory clearances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clearances apply to all lines regardless of date of construction: NESC 232, vertical clearances for “Water areas not suitable for sailboating or where sailboating is prohibited,” “Water areas suitable for sailboating . . .,” and “Established boat ramps and associated rigging areas . . .”; and NESC 234E, “Clearance of Wires, Conductors, Cables or Unguarded Rigid Live Parts Installed Over or Near Swimming Areas With No Wind Displacement.”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Table 232-1, Footnote 21, is changed to read: “Where the U.S. Army Corps of Engineers or the state, or a surrogate thereof, issues a crossing permit, the clearances of that permit govern if equal to or greater than those required herein. Where the permit clearances are less than those required herein and water surface use restrictions on vessel heights are enforced, the permit clearances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 for clearances near grain bins, for measurements made under field conditions, the commission will consider compliance with the overhead vertical line clearance requirements of Subsection 232 and Table 232-1 of the 1987 NESC indicative of compliance with the 1990 through 2017 editions of the NESC. (For an explanation of the differences between 1987 and subsequent code edition clearances, see Appendix A of the 1990 through 2017 editions of the NESC.)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Rule 217C1 is changed to read: “The ground end of at least one guy per anchor shall be provided with a substantial marker not less than eight feet long. The guy marker shall be of a conspicuous color such as yellow, orange, or red. Noncomplying guy markers shall be replaced as part of the utility’s inspection and maintenance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added to Rule 381G: “(3) Pad-mounted and other aboveground equipment not located within a fenced or otherwise protected area shall have affixed to its outside access door or cover a prominent ‘Warning’ or other appropriate sign of highly visible color, warning of hazardous voltage and including the name of the utility. This rule applies to all signs placed or replaced after June 18,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added to the first paragraph of Rule 110A1, after the sentence stating, “Entrances not under observation of an authorized attendant shall be kept locked,” the following sentences: “Entrances may be unlocked while authorized personnel are inside. However, if unlocked, the entrance gate must be fully closed, and latched or fastened if there is a gate-latching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Lines crossing railroad tracks will comply with the additional requirements of rule </w:t>
      </w:r>
      <w:hyperlink r:id="rId12">
        <w:r>
          <w:rPr>
            <w:rStyle w:val="Hyperlink"/>
            <w:rFonts w:ascii="Times New Roman" w:hAnsi="Times New Roman"/>
            <w:b w:val="false"/>
            <w:i w:val="false"/>
            <w:color w:val="000000"/>
            <w:sz w:val="22"/>
          </w:rPr>
          <w:t>199—42.6</w:t>
        </w:r>
      </w:hyperlink>
      <w:r>
        <w:rPr>
          <w:rFonts w:ascii="Times New Roman" w:hAnsi="Times New Roman"/>
          <w:b w:val="false"/>
          <w:i w:val="false"/>
          <w:color w:val="000000"/>
          <w:sz w:val="22"/>
        </w:rPr>
        <w:t>(476), “Engineering standards for electric and communications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color w:val="000000"/>
          <w:sz w:val="22"/>
        </w:rPr>
        <w:t xml:space="preserve">Grain bins.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Electric utilities shall conduct or participate in annual public information campaigns to inform farmers, farm lenders, grain bin merchants, and city and county zoning officials of the hazards of and standards for construction of grain bins near power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electric utility may refuse to provide electric service to any grain bin built near an existing electric line that does not provide the clearances required by the ANSI C2-2023 “National Electrical Safety Code,” Rule 234F. This paragraph applies only to grain bins loaded by portable augers, conveyors or elevators and built after September 9, 1992, or to grain bins loaded by permanently installed augers, conveyors, or elevator systems installed after December 24, 1997.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w:t>
      </w:r>
      <w:r>
        <w:rPr>
          <w:rFonts w:ascii="Times New Roman" w:hAnsi="Times New Roman"/>
          <w:b w:val="false"/>
          <w:i w:val="false"/>
          <w:color w:val="000000"/>
          <w:sz w:val="22"/>
        </w:rPr>
        <w:t> </w:t>
      </w:r>
      <w:r>
        <w:rPr>
          <w:rFonts w:ascii="Times New Roman" w:hAnsi="Times New Roman"/>
          <w:b w:val="false"/>
          <w:i/>
          <w:color w:val="000000"/>
          <w:sz w:val="22"/>
        </w:rPr>
        <w:t xml:space="preserve">General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Joint-use construction. </w:t>
      </w:r>
      <w:r>
        <w:rPr>
          <w:rFonts w:ascii="Times New Roman" w:hAnsi="Times New Roman"/>
          <w:b w:val="false"/>
          <w:i w:val="false"/>
          <w:color w:val="000000"/>
          <w:sz w:val="22"/>
        </w:rPr>
        <w:t>Where it is mutually agreeable between an electric utility and a communication or cable television company, communication circuits or cables may be buried in the same trench or attached to the same supporting structure, provided this joint use is permitted by, and is constructed in compliance with, the Iowa electrical safety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Lines. </w:t>
      </w:r>
      <w:r>
        <w:rPr>
          <w:rFonts w:ascii="Times New Roman" w:hAnsi="Times New Roman"/>
          <w:b w:val="false"/>
          <w:i w:val="false"/>
          <w:color w:val="000000"/>
          <w:sz w:val="22"/>
        </w:rPr>
        <w:t>In order to limit the residual currents and voltages arising from line unbalances, the resistance, inductance, capacitance and leakage conductance of each phase conductor of an electric supply circuit in any section shall be as nearly equal as practical to the corresponding quantities in the other phase conductors in the same section.</w:t>
      </w:r>
    </w:p>
    <w:p>
      <w:pPr>
        <w:spacing w:before="0" w:after="0"/>
        <w:ind w:left="120"/>
        <w:jc w:val="both"/>
      </w:pPr>
      <w:r>
        <w:rPr>
          <w:rFonts w:ascii="Times New Roman" w:hAnsi="Times New Roman"/>
          <w:b w:val="false"/>
          <w:i w:val="false"/>
          <w:color w:val="000000"/>
          <w:sz w:val="22"/>
        </w:rPr>
        <w:t>The ampacity of a multigrounded neutral conductor of an electric supply circuit shall be adequate for the load that it carries. The ampacity of a multigrounded neutral conductor of an electric supply circuit shall not be less than 60 percent of that of any phase conductor with which it is associated, except for three phase four wire wye circuits where it shall have ampacity not less than 50 percent of that of any associated phase conductor. In no case shall the resistance of a multigrounded neutral conductor exceed 3.6 ohms per mile. (This does not modify the mechanical strength requirements for conductors.) A multigrounded conductor installed and utilized primarily for lightning shielding of the associated phase conductors need not comply with the above percentage ampacity requirements for neutral conductors.</w:t>
      </w:r>
    </w:p>
    <w:p>
      <w:pPr>
        <w:spacing w:before="0" w:after="0"/>
        <w:ind w:left="120"/>
        <w:jc w:val="both"/>
      </w:pPr>
      <w:r>
        <w:rPr>
          <w:rFonts w:ascii="Times New Roman" w:hAnsi="Times New Roman"/>
          <w:b w:val="false"/>
          <w:i w:val="false"/>
          <w:color w:val="000000"/>
          <w:sz w:val="22"/>
        </w:rPr>
        <w:t>Where the neutral conductor of the electric supply circuit is not multigrounded or in an inductive exposure involving communication or signal circuits and equipment where the controlling frequencies are 360 Hertz or lower, any neutral conductor shall have the same ampacity as the phase conductors with which it is associated.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w:t>
      </w:r>
      <w:r>
        <w:rPr>
          <w:rFonts w:ascii="Times New Roman" w:hAnsi="Times New Roman"/>
          <w:b w:val="false"/>
          <w:i w:val="false"/>
          <w:color w:val="000000"/>
          <w:sz w:val="22"/>
        </w:rPr>
        <w:t> </w:t>
      </w:r>
      <w:r>
        <w:rPr>
          <w:rFonts w:ascii="Times New Roman" w:hAnsi="Times New Roman"/>
          <w:b w:val="false"/>
          <w:i/>
          <w:color w:val="000000"/>
          <w:sz w:val="22"/>
        </w:rPr>
        <w:t xml:space="preserve">Other references adopted.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Electrical Code,” ANSI/NFPA 70-2023, as published on December 7, 2022, is adopted as a standard of accepted good practice for customer-owned electrical facilities beyond the utility point of delivery, except for installations subject to the provisions of the state fire marshal standards in rule </w:t>
      </w:r>
      <w:hyperlink r:id="rId13">
        <w:r>
          <w:rPr>
            <w:rStyle w:val="Hyperlink"/>
            <w:rFonts w:ascii="Times New Roman" w:hAnsi="Times New Roman"/>
            <w:b w:val="false"/>
            <w:i w:val="false"/>
            <w:color w:val="000000"/>
            <w:sz w:val="22"/>
          </w:rPr>
          <w:t>661—504.1</w:t>
        </w:r>
      </w:hyperlink>
      <w:r>
        <w:rPr>
          <w:rFonts w:ascii="Times New Roman" w:hAnsi="Times New Roman"/>
          <w:b w:val="false"/>
          <w:i w:val="false"/>
          <w:color w:val="000000"/>
          <w:sz w:val="22"/>
        </w:rPr>
        <w:t>(103).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Lineman’s and Cableman’s Handbook,” Fourteenth Edition; Shoemaker, Thomas M. and Mack, James E.; New York, McGraw-Hill Book Co., is adopted as a recommended guideline to implement the “National Electrical Safety Code” or “National Electrical Code,” and for developing the inspection and maintenance plans required by rule </w:t>
      </w:r>
      <w:hyperlink r:id="rId14">
        <w:r>
          <w:rPr>
            <w:rStyle w:val="Hyperlink"/>
            <w:rFonts w:ascii="Times New Roman" w:hAnsi="Times New Roman"/>
            <w:b w:val="false"/>
            <w:i w:val="false"/>
            <w:color w:val="000000"/>
            <w:sz w:val="22"/>
          </w:rPr>
          <w:t>199—25.3</w:t>
        </w:r>
      </w:hyperlink>
      <w:r>
        <w:rPr>
          <w:rFonts w:ascii="Times New Roman" w:hAnsi="Times New Roman"/>
          <w:b w:val="false"/>
          <w:i w:val="false"/>
          <w:color w:val="000000"/>
          <w:sz w:val="22"/>
        </w:rPr>
        <w:t>(476,478).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S12.9-2013/Part 1” as published February 27, 2013; “ANSI S12.9-2013/Part 3” as published February 13, 2015; “ANSI S1.4-2014/Part 1” as published July 21, 2014; and “Institute of Electrical and Electronics Engineers Standard 656-2018” as published February 15, 2018, are adopted as standards for determining noise from electric transmission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“Institute of Electrical and Electronics Engineers Standard 644-2019” as published November 7, 2019, is adopted as the standard for measuring the electric field strength from electric transmission 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i w:val="false"/>
          <w:color w:val="000000"/>
          <w:sz w:val="16"/>
        </w:rPr>
        <w:t>ARC 0404D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199—25.3</w:t>
      </w:r>
      <w:r>
        <w:rPr>
          <w:rFonts w:ascii="Times New Roman" w:hAnsi="Times New Roman"/>
          <w:b/>
          <w:i w:val="false"/>
          <w:color w:val="000000"/>
          <w:sz w:val="22"/>
        </w:rPr>
        <w:t xml:space="preserve">(476,478) </w:t>
      </w:r>
      <w:r>
        <w:rPr>
          <w:rFonts w:ascii="Times New Roman" w:hAnsi="Times New Roman"/>
          <w:b/>
          <w:i w:val="false"/>
          <w:color w:val="000000"/>
          <w:sz w:val="22"/>
        </w:rPr>
        <w:t xml:space="preserve">Inspection and maintenance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color w:val="000000"/>
          <w:sz w:val="22"/>
        </w:rPr>
        <w:t xml:space="preserve">Filing of plan. </w:t>
      </w:r>
      <w:r>
        <w:rPr>
          <w:rFonts w:ascii="Times New Roman" w:hAnsi="Times New Roman"/>
          <w:b w:val="false"/>
          <w:i w:val="false"/>
          <w:color w:val="000000"/>
          <w:sz w:val="22"/>
        </w:rPr>
        <w:t>Each electric utility shall adopt and file with the commission a written plan for inspecting and maintaining its electric supply lines and substations (excluding generating stations) in order to determine the necessity for replacement, maintenance, and repair and for tree trimming or other vegetation management. If the plan is amended or altered, revised copies of the appropriate plan pages shall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 xml:space="preserve">Each investor-owned, rate-regulated utility shall include as part of its annual report to the commission, as required by </w:t>
      </w:r>
      <w:hyperlink r:id="rId15">
        <w:r>
          <w:rPr>
            <w:rStyle w:val="Hyperlink"/>
            <w:rFonts w:ascii="Times New Roman" w:hAnsi="Times New Roman"/>
            <w:b w:val="false"/>
            <w:i w:val="false"/>
            <w:color w:val="000000"/>
            <w:sz w:val="22"/>
          </w:rPr>
          <w:t>199—Chapter 23</w:t>
        </w:r>
      </w:hyperlink>
      <w:r>
        <w:rPr>
          <w:rFonts w:ascii="Times New Roman" w:hAnsi="Times New Roman"/>
          <w:b w:val="false"/>
          <w:i w:val="false"/>
          <w:color w:val="000000"/>
          <w:sz w:val="22"/>
        </w:rPr>
        <w:t xml:space="preserve">, certification of compliance with each area of the inspection and maintenance plan required by subrule </w:t>
      </w:r>
      <w:hyperlink r:id="rId16">
        <w:r>
          <w:rPr>
            <w:rStyle w:val="Hyperlink"/>
            <w:rFonts w:ascii="Times New Roman" w:hAnsi="Times New Roman"/>
            <w:b w:val="false"/>
            <w:i w:val="false"/>
            <w:color w:val="000000"/>
            <w:sz w:val="22"/>
          </w:rPr>
          <w:t>25.3(1)</w:t>
        </w:r>
      </w:hyperlink>
      <w:r>
        <w:rPr>
          <w:rFonts w:ascii="Times New Roman" w:hAnsi="Times New Roman"/>
          <w:b w:val="false"/>
          <w:i w:val="false"/>
          <w:color w:val="000000"/>
          <w:sz w:val="22"/>
        </w:rPr>
        <w:t xml:space="preserve"> or a detailed statement on areas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color w:val="000000"/>
          <w:sz w:val="22"/>
        </w:rPr>
        <w:t xml:space="preserve">Contents of plan. </w:t>
      </w:r>
      <w:r>
        <w:rPr>
          <w:rFonts w:ascii="Times New Roman" w:hAnsi="Times New Roman"/>
          <w:b w:val="false"/>
          <w:i w:val="false"/>
          <w:color w:val="000000"/>
          <w:sz w:val="22"/>
        </w:rPr>
        <w:t>The inspection plan shall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listing of all counties or parts of counties in which the utility has electric supply lines in Iowa. If the utility has district or regional offices responsible for implementation of a portion of the plan, the addresses of those offices and a description of the territory for which they are responsible shall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 of lines, poles, and substations.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 schedules. The plan shall contain a schedule for the periodic inspection of the various units of the utility’s electric plant. The period between inspections shall be based on accepted good practice in the industry, but for lines and substations, the period shall not exceed ten years for any given line or piece of equipment. Lines operated at 34.5 kV or above shall be inspected at least annually for damage and to determine the condition of the overhead line insulators.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Inspection coverage. The plan shall provide for the inspection of all supply line and substation units within the adopted inspection periods and shall include a complete listing of all categories of items to be checked during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Conduct of inspections. Inspections shall be conducted in a manner conducive to the identification of safety, maintenance, and reliability concerns or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Instructions to inspectors. Copies of instructions or guide materials used by utility inspectors in determining whether a facility is in acceptable condition or in need of corrective action or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Tree trimming or vegetation management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Schedule. The plan shall contain a schedule for periodic tree trimming or other measures to control vegetation growth under or along the various units of the utility’s electric plant. The period between inspections shall be based on accepted good practice in the industry and may vary depending on the nature of the vegetation at different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The plan shall include written procedures for vegetation management. The procedures shall promote the safety and reliability of electric lines and facilities. Where tree trimming is employed, practices shall be adopted that will protect the health of the tree and reduce undesirable regrowth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Pole inspections. </w:t>
      </w:r>
      <w:r>
        <w:rPr>
          <w:rFonts w:ascii="Times New Roman" w:hAnsi="Times New Roman"/>
          <w:b w:val="false"/>
          <w:i w:val="false"/>
          <w:color w:val="000000"/>
          <w:sz w:val="22"/>
        </w:rPr>
        <w:t>Pole inspections shall periodically include an examination of the poles that includes tests in addition to visual inspection in appropriate circumstances. These additional tests may include sounding, boring, groundline exposure, and, if applicable, pole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Each utility shall keep sufficient records to demonstrate compliance with its inspection and vegetation management plans. For each inspection unit, the records of line and substation inspections and pole inspections shall include the inspection date(s), the findings of the inspection, and the disposition or scheduling of repairs or maintenance found necessary during the inspection. For each inspection unit, the records of vegetation management shall include the date(s) during which the work was conducted. The records shall be kept until two years after the next periodic inspection or vegetation management action in the inspection and maintenance plan cycle is completed or until all necessary repairs and maintenance are completed,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w:t>
      </w:r>
      <w:r>
        <w:rPr>
          <w:rFonts w:ascii="Times New Roman" w:hAnsi="Times New Roman"/>
          <w:b w:val="false"/>
          <w:i w:val="false"/>
          <w:color w:val="000000"/>
          <w:sz w:val="22"/>
        </w:rPr>
        <w:t> </w:t>
      </w:r>
      <w:r>
        <w:rPr>
          <w:rFonts w:ascii="Times New Roman" w:hAnsi="Times New Roman"/>
          <w:b w:val="false"/>
          <w:i/>
          <w:color w:val="000000"/>
          <w:sz w:val="22"/>
        </w:rPr>
        <w:t xml:space="preserve">Guidelines. </w:t>
      </w:r>
      <w:r>
        <w:rPr>
          <w:rFonts w:ascii="Times New Roman" w:hAnsi="Times New Roman"/>
          <w:b w:val="false"/>
          <w:i w:val="false"/>
          <w:color w:val="000000"/>
          <w:sz w:val="22"/>
        </w:rPr>
        <w:t>Applicable portions of Rural Utilities Service (RUS) Bulletins 1730-1, as approved on September 23, 2016; 1730B-121, as approved August 13, 2013; and 1724E-300, as approved June 7, 2001; and “The Lineman’s and Cableman’s Handbook” are suggested as guidelines for the development and implementation of an inspection plan. ANSI A300 (Part 1)-2017, “Pruning,” as published April 2017, and Section 35 of “The Lineman’s and Cableman’s Handbook” are suggested as guides for tree trimming practices.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199—25.4</w:t>
      </w:r>
      <w:r>
        <w:rPr>
          <w:rFonts w:ascii="Times New Roman" w:hAnsi="Times New Roman"/>
          <w:b/>
          <w:i w:val="false"/>
          <w:color w:val="000000"/>
          <w:sz w:val="22"/>
        </w:rPr>
        <w:t xml:space="preserve">(476,478) </w:t>
      </w:r>
      <w:r>
        <w:rPr>
          <w:rFonts w:ascii="Times New Roman" w:hAnsi="Times New Roman"/>
          <w:b/>
          <w:i w:val="false"/>
          <w:color w:val="000000"/>
          <w:sz w:val="22"/>
        </w:rPr>
        <w:t xml:space="preserve">Correction of problems found during inspections and pole attachment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Corrective action shall be taken within a reasonable period of time on all potentially hazardous conditions, instances of safety code noncompliance, maintenance needs, potential threats to safety and reliability, or other concerns identified during inspections. Hazardous conditions shall be corrected promptly. In addition to the general requirements stated in this subrule, pole attachments shall comply with the specific requirements and procedures established in subrule </w:t>
      </w:r>
      <w:hyperlink r:id="rId17">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To ensure the safety of pole attachments to poles owned by utilities in Iowa, this subrule establishes requirements for attaching electric lines, communications lines, cable systems, video service lines, data lines, wireless antennae and other wireless facilities, or similar lines and facilities that are attached to the excess space on poles owned by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“Pole”</w:t>
      </w:r>
      <w:r>
        <w:rPr>
          <w:rFonts w:ascii="Times New Roman" w:hAnsi="Times New Roman"/>
          <w:b w:val="false"/>
          <w:i w:val="false"/>
          <w:color w:val="000000"/>
          <w:sz w:val="22"/>
        </w:rPr>
        <w:t> </w:t>
      </w:r>
      <w:r>
        <w:rPr>
          <w:rFonts w:ascii="Times New Roman" w:hAnsi="Times New Roman"/>
          <w:b w:val="false"/>
          <w:i w:val="false"/>
          <w:color w:val="000000"/>
          <w:sz w:val="22"/>
        </w:rPr>
        <w:t>means any pole owned by a utility that carries electric lines, communications lines, cable systems, video service lines, data service lines, wireless antennae or other wireless facilities, or similar lines and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“Pole attachment”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electric line, communication circuit, cable system, video service line, data service line, antenna and other associated wireless equipment, or similar lines and facilities attached to a pole or other supporting structure subject to the safety jurisdiction of the commission pursuant to the Iowa electrical safety code, rule </w:t>
      </w:r>
      <w:hyperlink r:id="rId18">
        <w:r>
          <w:rPr>
            <w:rStyle w:val="Hyperlink"/>
            <w:rFonts w:ascii="Times New Roman" w:hAnsi="Times New Roman"/>
            <w:b w:val="false"/>
            <w:i w:val="false"/>
            <w:color w:val="000000"/>
            <w:sz w:val="22"/>
          </w:rPr>
          <w:t>199—25.2</w:t>
        </w:r>
      </w:hyperlink>
      <w:r>
        <w:rPr>
          <w:rFonts w:ascii="Times New Roman" w:hAnsi="Times New Roman"/>
          <w:b w:val="false"/>
          <w:i w:val="false"/>
          <w:color w:val="000000"/>
          <w:sz w:val="22"/>
        </w:rPr>
        <w:t>(476,476A,478).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“Pole occupant”</w:t>
      </w:r>
      <w:r>
        <w:rPr>
          <w:rFonts w:ascii="Times New Roman" w:hAnsi="Times New Roman"/>
          <w:b w:val="false"/>
          <w:i w:val="false"/>
          <w:color w:val="000000"/>
          <w:sz w:val="22"/>
        </w:rPr>
        <w:t> </w:t>
      </w:r>
      <w:r>
        <w:rPr>
          <w:rFonts w:ascii="Times New Roman" w:hAnsi="Times New Roman"/>
          <w:b w:val="false"/>
          <w:i w:val="false"/>
          <w:color w:val="000000"/>
          <w:sz w:val="22"/>
        </w:rPr>
        <w:t>means any electric utility, telecommunications carrier, cable system provider, video service provider, data service provider, wireless service provider, or similar person or entity that constructs, operates, or maintains pole attachments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“Pole owner”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utility that owns poles subject to the safety jurisdiction of the commission pursuant to the Iowa electrical safety code, rule </w:t>
      </w:r>
      <w:hyperlink r:id="rId19">
        <w:r>
          <w:rPr>
            <w:rStyle w:val="Hyperlink"/>
            <w:rFonts w:ascii="Times New Roman" w:hAnsi="Times New Roman"/>
            <w:b w:val="false"/>
            <w:i w:val="false"/>
            <w:color w:val="000000"/>
            <w:sz w:val="22"/>
          </w:rPr>
          <w:t>199—25.2</w:t>
        </w:r>
      </w:hyperlink>
      <w:r>
        <w:rPr>
          <w:rFonts w:ascii="Times New Roman" w:hAnsi="Times New Roman"/>
          <w:b w:val="false"/>
          <w:i w:val="false"/>
          <w:color w:val="000000"/>
          <w:sz w:val="22"/>
        </w:rPr>
        <w:t>(476,476A,478).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electrical safety code. </w:t>
      </w:r>
      <w:r>
        <w:rPr>
          <w:rFonts w:ascii="Times New Roman" w:hAnsi="Times New Roman"/>
          <w:b w:val="false"/>
          <w:i w:val="false"/>
          <w:color w:val="000000"/>
          <w:sz w:val="22"/>
        </w:rPr>
        <w:t xml:space="preserve">Pole attachments to poles shall be constructed, installed, operated, and maintained in compliance with the Iowa electrical safety code, rule </w:t>
      </w:r>
      <w:hyperlink r:id="rId20">
        <w:r>
          <w:rPr>
            <w:rStyle w:val="Hyperlink"/>
            <w:rFonts w:ascii="Times New Roman" w:hAnsi="Times New Roman"/>
            <w:b w:val="false"/>
            <w:i w:val="false"/>
            <w:color w:val="000000"/>
            <w:sz w:val="22"/>
          </w:rPr>
          <w:t>199—25.2</w:t>
        </w:r>
      </w:hyperlink>
      <w:r>
        <w:rPr>
          <w:rFonts w:ascii="Times New Roman" w:hAnsi="Times New Roman"/>
          <w:b w:val="false"/>
          <w:i w:val="false"/>
          <w:color w:val="000000"/>
          <w:sz w:val="22"/>
        </w:rPr>
        <w:t>(476,476A,478), and the requirements and procedures established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Requests for access to poles; exceptions for service drops and overlashing.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pole owner shall provide nondiscriminatory access to poles it owns, to the extent required by federal or state law. Requests for access to poles by an electric utility, telecommunications carrier, cable system operator, video service provider, data service provider, wireless service provider, or similar person or entity shall be made in writing or by any method as may be agreed upon by the pole owner and the person or entity requesting access to the pole. If access is denied, the pole owner shall explain in detail the specific reason for denial and how the denial relates to reasons of lack of capacity, safety, reliability, or engineering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drops are not subject to the notice and approval requirements in subparagraph </w:t>
      </w:r>
      <w:hyperlink r:id="rId21">
        <w:r>
          <w:rPr>
            <w:rStyle w:val="Hyperlink"/>
            <w:rFonts w:ascii="Times New Roman" w:hAnsi="Times New Roman"/>
            <w:b w:val="false"/>
            <w:i w:val="false"/>
            <w:color w:val="000000"/>
            <w:sz w:val="22"/>
          </w:rPr>
          <w:t>25.4(2)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Instead, pole occupants shall provide notice to pole owners within 30 days of the installation of a new service drop unless the pole occupant and pole owner have negotiated a different notification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Overlashing of existing lines is not subject to the notice and approval requirements in subparagraph </w:t>
      </w:r>
      <w:hyperlink r:id="rId22">
        <w:r>
          <w:rPr>
            <w:rStyle w:val="Hyperlink"/>
            <w:rFonts w:ascii="Times New Roman" w:hAnsi="Times New Roman"/>
            <w:b w:val="false"/>
            <w:i w:val="false"/>
            <w:color w:val="000000"/>
            <w:sz w:val="22"/>
          </w:rPr>
          <w:t>25.4(2)</w:t>
        </w:r>
      </w:hyperlink>
      <w:r>
        <w:rPr>
          <w:rFonts w:ascii="Times New Roman" w:hAnsi="Times New Roman"/>
          <w:b w:val="false"/>
          <w:i/>
          <w:color w:val="000000"/>
          <w:sz w:val="22"/>
        </w:rPr>
        <w:t>“c”</w:t>
      </w:r>
      <w:r>
        <w:rPr>
          <w:rFonts w:ascii="Times New Roman" w:hAnsi="Times New Roman"/>
          <w:b w:val="false"/>
          <w:i w:val="false"/>
          <w:color w:val="000000"/>
          <w:sz w:val="22"/>
        </w:rPr>
        <w:t>(1). Pole occupants shall provide notice to pole owners of proposed overlashing at least seven days prior to installation of the overlashing unless the pole occupant and pole owner have negotiated a different notification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violation. </w:t>
      </w:r>
      <w:r>
        <w:rPr>
          <w:rFonts w:ascii="Times New Roman" w:hAnsi="Times New Roman"/>
          <w:b w:val="false"/>
          <w:i w:val="false"/>
          <w:color w:val="000000"/>
          <w:sz w:val="22"/>
        </w:rPr>
        <w:t>A pole owner shall notify in writing a pole occupant of an alleged violation of the Iowa electrical safety code by a pole attachment owned by the pole occupant or may provide notice by another method as may be agreed upon by the parties to a pole attachment agreement. The notice shall include the address and pole location where the alleged violation occurred, a description of the alleged violation, and suggested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receipt of notification from a pole owner that the pole occupant has one or more pole attachments in violation of the Iowa electrical safety code, the pole occupant shall respond to the pole owner within 60 days in writing or by another method as may be agreed upon by the pole occupant and the pole owner. The response shall provide a plan for corrective action, state that the violation has been corrected, indicate that the pole attachment is owned by a different pole occupant, or indicate that the pole occupant disputes that a violation has occurred. The violation shall be corrected within 180 days of the date notification is received unless good cause is shown for any delay in taking corrective action. A disagreement that a violation has occurred, a claim that correction is not possible within the specific time frames due to events beyond the control of the pole occupant, or a claim that a different pole occupant is responsible for the alleged violation will be considered good cause to extend the time for taking corrective action. The pole occupant and pole owner may also agree to an extension of the time for taking corrective action. The pole owner and pole occupant shall cooperate in determining the cause of a violation and an efficient and cost-effective method of correcting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violation could reasonably be expected to endanger life or property, the pole occupant shall take the necessary action to correct, disconnect, or isolate the problem immediately upon notification. If immediate corrective action is not taken by the pole occupant for a violation that could reasonably be expected to endanger life or property, the pole owner may take the necessary corrective action and the pole occupant shall reimburse the pole owner for the actual cost of any corrective measures. If the pole owner is later determined to have caused the violation and the pole occupant has taken corrective action, the pole owner shall reimburse the pole occupant for the actual cost of the corrective action. Disputes concerning the ownership of the pole attachment should be resolved as quickly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Negotiated resolution of disputes. </w:t>
      </w:r>
      <w:r>
        <w:rPr>
          <w:rFonts w:ascii="Times New Roman" w:hAnsi="Times New Roman"/>
          <w:b w:val="false"/>
          <w:i w:val="false"/>
          <w:color w:val="000000"/>
          <w:sz w:val="22"/>
        </w:rPr>
        <w:t xml:space="preserve">Parties to disputes over alleged violations of the Iowa electrical safety code, the cause of a violation, the pole occupant responsible for the violation, the cost-effective corrective action, or any other dispute regarding the provisions of subrule </w:t>
      </w:r>
      <w:hyperlink r:id="rId23">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shall attempt to resolve disputes through good-faith negotiations. Parties may file an informal complaint with the commission pursuant to </w:t>
      </w:r>
      <w:hyperlink r:id="rId24">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xml:space="preserve"> as part of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Complaints concerning the requirements or procedures established in subrule </w:t>
      </w:r>
      <w:hyperlink r:id="rId25">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including alleged violations of the Iowa electrical safety code, may be filed with the commission by pole owners or pole occupants pursuant to the complaint procedures in </w:t>
      </w:r>
      <w:hyperlink r:id="rId26">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 xml:space="preserve">Persons found to have violated the provisions of subrule </w:t>
      </w:r>
      <w:hyperlink r:id="rId27">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may be subject to civil penalties pursuant to Iowa Code section </w:t>
      </w:r>
      <w:hyperlink r:id="rId28">
        <w:r>
          <w:rPr>
            <w:rStyle w:val="Hyperlink"/>
            <w:rFonts w:ascii="Times New Roman" w:hAnsi="Times New Roman"/>
            <w:b w:val="false"/>
            <w:i w:val="false"/>
            <w:color w:val="000000"/>
            <w:sz w:val="22"/>
          </w:rPr>
          <w:t>476.51</w:t>
        </w:r>
      </w:hyperlink>
      <w:r>
        <w:rPr>
          <w:rFonts w:ascii="Times New Roman" w:hAnsi="Times New Roman"/>
          <w:b w:val="false"/>
          <w:i w:val="false"/>
          <w:color w:val="000000"/>
          <w:sz w:val="22"/>
        </w:rPr>
        <w:t xml:space="preserve"> or to other action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199—25.5</w:t>
      </w:r>
      <w:r>
        <w:rPr>
          <w:rFonts w:ascii="Times New Roman" w:hAnsi="Times New Roman"/>
          <w:b/>
          <w:i w:val="false"/>
          <w:color w:val="000000"/>
          <w:sz w:val="22"/>
        </w:rPr>
        <w:t xml:space="preserve">(476,478) </w:t>
      </w:r>
      <w:r>
        <w:rPr>
          <w:rFonts w:ascii="Times New Roman" w:hAnsi="Times New Roman"/>
          <w:b/>
          <w:i w:val="false"/>
          <w:color w:val="000000"/>
          <w:sz w:val="22"/>
        </w:rPr>
        <w:t xml:space="preserve">Accident reports. </w:t>
      </w:r>
      <w:r>
        <w:rPr>
          <w:rFonts w:ascii="Times New Roman" w:hAnsi="Times New Roman"/>
          <w:b w:val="false"/>
          <w:i w:val="false"/>
          <w:color w:val="000000"/>
          <w:sz w:val="22"/>
        </w:rPr>
        <w:t>This rule applies to all owners or operators of electrical facilities subject to the safety jurisdiction of the commission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electrical facilities subject to the safety jurisdiction of the commission shall provide the commission with a 24-hour contact number where the commission can obtain immediate access to a person knowledgeable about any incidents involving contact with energized electrical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electrical facilities subject to the safety jurisdiction of the commission shall notify the commission of any incident or accident involving contact with energized electrical facilities that meets one or more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or other person coming in contact with energized electrical facilities that results in death or personal injury necessitating in-patient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Estimated property damage of $25,000 or more to the property of the utility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incident considered significant by the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electrical lines being taken out of service for longer than 12 hours due to physical contact with the electrical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be notified immediately, or as soon as practical thereafter, by email to the commission duty officer at </w:t>
      </w:r>
      <w:hyperlink r:id="rId29">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if email service is not available, by calling 515.745.2332. The person contacting the commission shall leave a telephone number of a person who can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company, the name and telephone number of the person making the report, and the name and telephone number of a contact person knowledgeable about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deaths or personal injuries requiring in-patient hospitalization and the extent of those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Initial estimate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summary of the significant information available regarding the probable cause of the incident and extent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oral or written report made to a federal agency, the agency receiving the report, and the name and telephone number of the person who made or prepared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incident reports. Within 30 days of the date of the incident, the owner or operator shall file a written report with the commission. The report shall include the information required for notice in subrule </w:t>
      </w:r>
      <w:hyperlink r:id="rId30">
        <w:r>
          <w:rPr>
            <w:rStyle w:val="Hyperlink"/>
            <w:rFonts w:ascii="Times New Roman" w:hAnsi="Times New Roman"/>
            <w:b w:val="false"/>
            <w:i w:val="false"/>
            <w:color w:val="000000"/>
            <w:sz w:val="22"/>
          </w:rPr>
          <w:t>25.5(3)</w:t>
        </w:r>
      </w:hyperlink>
      <w:r>
        <w:rPr>
          <w:rFonts w:ascii="Times New Roman" w:hAnsi="Times New Roman"/>
          <w:b w:val="false"/>
          <w:i w:val="false"/>
          <w:color w:val="000000"/>
          <w:sz w:val="22"/>
        </w:rPr>
        <w:t>, the probable cause as determined by the company, the number and cause of any deaths or personal injuries requiring in-patient hospitalization, and a detailed description of property damage and the amount of monetary damages. If significant additional information becomes available at a later date, a supplemental report shall be filed. Duplicate copies of any written reports filed with or submitted to a federal agency concerning the incident shall also be provided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199—25.6</w:t>
      </w:r>
      <w:r>
        <w:rPr>
          <w:rFonts w:ascii="Times New Roman" w:hAnsi="Times New Roman"/>
          <w:b/>
          <w:i w:val="false"/>
          <w:color w:val="000000"/>
          <w:sz w:val="22"/>
        </w:rPr>
        <w:t xml:space="preserve">(476,478) </w:t>
      </w:r>
      <w:r>
        <w:rPr>
          <w:rFonts w:ascii="Times New Roman" w:hAnsi="Times New Roman"/>
          <w:b/>
          <w:i w:val="false"/>
          <w:color w:val="000000"/>
          <w:sz w:val="22"/>
        </w:rPr>
        <w:t xml:space="preserve">Additional requirements for higher voltage transmission lines. </w:t>
      </w:r>
      <w:r>
        <w:rPr>
          <w:rFonts w:ascii="Times New Roman" w:hAnsi="Times New Roman"/>
          <w:b w:val="false"/>
          <w:i w:val="false"/>
          <w:color w:val="000000"/>
          <w:sz w:val="22"/>
        </w:rPr>
        <w:t xml:space="preserve">This rule applies to overhead electric transmission lines with a maximum operation voltage of 170,000 volts or greater for which petitions have been filed pursuant to rule </w:t>
      </w:r>
      <w:hyperlink r:id="rId31">
        <w:r>
          <w:rPr>
            <w:rStyle w:val="Hyperlink"/>
            <w:rFonts w:ascii="Times New Roman" w:hAnsi="Times New Roman"/>
            <w:b w:val="false"/>
            <w:i w:val="false"/>
            <w:color w:val="000000"/>
            <w:sz w:val="22"/>
          </w:rPr>
          <w:t>199—11.5</w:t>
        </w:r>
      </w:hyperlink>
      <w:r>
        <w:rPr>
          <w:rFonts w:ascii="Times New Roman" w:hAnsi="Times New Roman"/>
          <w:b w:val="false"/>
          <w:i w:val="false"/>
          <w:color w:val="000000"/>
          <w:sz w:val="22"/>
        </w:rPr>
        <w:t xml:space="preserve">(478) or </w:t>
      </w:r>
      <w:hyperlink r:id="rId32">
        <w:r>
          <w:rPr>
            <w:rStyle w:val="Hyperlink"/>
            <w:rFonts w:ascii="Times New Roman" w:hAnsi="Times New Roman"/>
            <w:b w:val="false"/>
            <w:i w:val="false"/>
            <w:color w:val="000000"/>
            <w:sz w:val="22"/>
          </w:rPr>
          <w:t>199—11.6</w:t>
        </w:r>
      </w:hyperlink>
      <w:r>
        <w:rPr>
          <w:rFonts w:ascii="Times New Roman" w:hAnsi="Times New Roman"/>
          <w:b w:val="false"/>
          <w:i w:val="false"/>
          <w:color w:val="000000"/>
          <w:sz w:val="22"/>
        </w:rPr>
        <w:t>(478) after January 1, 2027.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w:t>
      </w:r>
      <w:r>
        <w:rPr>
          <w:rFonts w:ascii="Times New Roman" w:hAnsi="Times New Roman"/>
          <w:b w:val="false"/>
          <w:i w:val="false"/>
          <w:color w:val="000000"/>
          <w:sz w:val="22"/>
        </w:rPr>
        <w:t> </w:t>
      </w:r>
      <w:r>
        <w:rPr>
          <w:rFonts w:ascii="Times New Roman" w:hAnsi="Times New Roman"/>
          <w:b w:val="false"/>
          <w:i/>
          <w:color w:val="000000"/>
          <w:sz w:val="22"/>
        </w:rPr>
        <w:t xml:space="preserve">Noise restriction. </w:t>
      </w:r>
      <w:r>
        <w:rPr>
          <w:rFonts w:ascii="Times New Roman" w:hAnsi="Times New Roman"/>
          <w:b w:val="false"/>
          <w:i w:val="false"/>
          <w:color w:val="000000"/>
          <w:sz w:val="22"/>
        </w:rPr>
        <w:t>The audible noise from an overhead electric transmission line during a measurement period shall not exceed 55 dBA for more than 50 percent of the measured time. The measurement shall be one hour in length, adjusted for ambient noise, A-weighted, fast-time averaged, and be taken at the edge of the total combined transmission line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25.6(2)</w:t>
      </w:r>
      <w:r>
        <w:rPr>
          <w:rFonts w:ascii="Times New Roman" w:hAnsi="Times New Roman"/>
          <w:b w:val="false"/>
          <w:i w:val="false"/>
          <w:color w:val="000000"/>
          <w:sz w:val="22"/>
        </w:rPr>
        <w:t> </w:t>
      </w:r>
      <w:r>
        <w:rPr>
          <w:rFonts w:ascii="Times New Roman" w:hAnsi="Times New Roman"/>
          <w:b w:val="false"/>
          <w:i/>
          <w:color w:val="000000"/>
          <w:sz w:val="22"/>
        </w:rPr>
        <w:t xml:space="preserve">Electric field strength restriction. </w:t>
      </w:r>
      <w:r>
        <w:rPr>
          <w:rFonts w:ascii="Times New Roman" w:hAnsi="Times New Roman"/>
          <w:b w:val="false"/>
          <w:i w:val="false"/>
          <w:color w:val="000000"/>
          <w:sz w:val="22"/>
        </w:rPr>
        <w:t>The electric field strength from an overhead electric transmission line shall not be greater than 6,000 volts per meter when measured one meter above the ground anywhere within the transmission line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25.6(3)</w:t>
      </w:r>
      <w:r>
        <w:rPr>
          <w:rFonts w:ascii="Times New Roman" w:hAnsi="Times New Roman"/>
          <w:b w:val="false"/>
          <w:i w:val="false"/>
          <w:color w:val="000000"/>
          <w:sz w:val="22"/>
        </w:rPr>
        <w:t> </w:t>
      </w:r>
      <w:r>
        <w:rPr>
          <w:rFonts w:ascii="Times New Roman" w:hAnsi="Times New Roman"/>
          <w:b w:val="false"/>
          <w:i/>
          <w:color w:val="000000"/>
          <w:sz w:val="22"/>
        </w:rPr>
        <w:t xml:space="preserve">Guy restriction. </w:t>
      </w:r>
      <w:r>
        <w:rPr>
          <w:rFonts w:ascii="Times New Roman" w:hAnsi="Times New Roman"/>
          <w:b w:val="false"/>
          <w:i w:val="false"/>
          <w:color w:val="000000"/>
          <w:sz w:val="22"/>
        </w:rPr>
        <w:t>Overhead electric transmission line structures primarily reliant on guys for support shall not be constructed on crop and pasture land except by agreement with the landowner to specifically allow the use of such structures.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0404D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3">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4/10/79, Notices 5/3/78, 8/23/78—published 5/2/79, effective 6/6/79]</w:t>
      </w:r>
    </w:p>
    <w:p>
      <w:pPr>
        <w:spacing w:before="0" w:after="0"/>
        <w:ind w:left="120"/>
        <w:jc w:val="center"/>
      </w:pPr>
      <w:r>
        <w:rPr>
          <w:rFonts w:ascii="Times New Roman" w:hAnsi="Times New Roman"/>
          <w:b w:val="false"/>
          <w:i w:val="false"/>
          <w:color w:val="000000"/>
          <w:sz w:val="21"/>
        </w:rPr>
        <w:t>[Filed 11/19/82, Notice 9/1/82—published 12/8/82, effective 1/12/83]</w:t>
      </w:r>
    </w:p>
    <w:p>
      <w:pPr>
        <w:spacing w:before="0" w:after="0"/>
        <w:ind w:left="120"/>
        <w:jc w:val="center"/>
      </w:pPr>
      <w:r>
        <w:rPr>
          <w:rFonts w:ascii="Times New Roman" w:hAnsi="Times New Roman"/>
          <w:b w:val="false"/>
          <w:i w:val="false"/>
          <w:color w:val="000000"/>
          <w:sz w:val="21"/>
        </w:rPr>
        <w:t>[Filed 1/28/83, Notice 12/8/82—published 2/16/83, effective 3/23/83]</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11/18/91, Notice 4/17/91—published 12/11/91, effective 1/15/92]</w:t>
      </w:r>
    </w:p>
    <w:p>
      <w:pPr>
        <w:spacing w:before="0" w:after="0"/>
        <w:ind w:left="120"/>
        <w:jc w:val="center"/>
      </w:pPr>
      <w:r>
        <w:rPr>
          <w:rFonts w:ascii="Times New Roman" w:hAnsi="Times New Roman"/>
          <w:b w:val="false"/>
          <w:i w:val="false"/>
          <w:color w:val="000000"/>
          <w:sz w:val="21"/>
        </w:rPr>
        <w:t>[Filed 7/15/92, Notice 12/11/91—published 8/5/92, effective 9/9/92]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10/20/94, Notice 6/22/94—published 11/9/94, effective 12/14/94]</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10/25/02, Notice 3/6/02—published 11/13/02, effective 12/18/02]</w:t>
      </w:r>
    </w:p>
    <w:p>
      <w:pPr>
        <w:spacing w:before="0" w:after="0"/>
        <w:ind w:left="120"/>
        <w:jc w:val="center"/>
      </w:pPr>
      <w:r>
        <w:rPr>
          <w:rFonts w:ascii="Times New Roman" w:hAnsi="Times New Roman"/>
          <w:b w:val="false"/>
          <w:i w:val="false"/>
          <w:color w:val="000000"/>
          <w:sz w:val="21"/>
        </w:rPr>
        <w:t>[Filed 4/24/03, Notice 12/11/02—published 5/14/03, effective 6/18/03]</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[Filed 6/14/07, Notice 12/20/06—published 7/4/07, effective 8/8/07]</w:t>
      </w:r>
    </w:p>
    <w:p>
      <w:pPr>
        <w:spacing w:before="0" w:after="0"/>
        <w:ind w:left="120"/>
        <w:jc w:val="center"/>
      </w:pPr>
      <w:r>
        <w:rPr>
          <w:rFonts w:ascii="Times New Roman" w:hAnsi="Times New Roman"/>
          <w:b w:val="false"/>
          <w:i w:val="false"/>
          <w:color w:val="000000"/>
          <w:sz w:val="21"/>
        </w:rPr>
        <w:t>[Filed 12/27/07, Notice 9/26/07—published 1/30/08, effective 3/5/08]</w:t>
      </w:r>
    </w:p>
    <w:p>
      <w:pPr>
        <w:spacing w:before="0" w:after="0"/>
        <w:ind w:left="120"/>
        <w:jc w:val="center"/>
      </w:pPr>
      <w:r>
        <w:rPr>
          <w:rFonts w:ascii="Times New Roman" w:hAnsi="Times New Roman"/>
          <w:b w:val="false"/>
          <w:i w:val="false"/>
          <w:color w:val="000000"/>
          <w:sz w:val="21"/>
        </w:rPr>
        <w:t>[Filed ARC 7962B</w:t>
      </w:r>
      <w:r>
        <w:rPr>
          <w:rFonts w:ascii="Times New Roman" w:hAnsi="Times New Roman"/>
          <w:b w:val="false"/>
          <w:i w:val="false"/>
          <w:color w:val="000000"/>
          <w:sz w:val="21"/>
        </w:rPr>
        <w:t xml:space="preserve"> (Notice ARC 7749B, IAB 5/6/09)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9501B</w:t>
      </w:r>
      <w:r>
        <w:rPr>
          <w:rFonts w:ascii="Times New Roman" w:hAnsi="Times New Roman"/>
          <w:b w:val="false"/>
          <w:i w:val="false"/>
          <w:color w:val="000000"/>
          <w:sz w:val="21"/>
        </w:rPr>
        <w:t xml:space="preserve"> (Notice ARC 9394B,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1259C</w:t>
      </w:r>
      <w:r>
        <w:rPr>
          <w:rFonts w:ascii="Times New Roman" w:hAnsi="Times New Roman"/>
          <w:b w:val="false"/>
          <w:i w:val="false"/>
          <w:color w:val="000000"/>
          <w:sz w:val="21"/>
        </w:rPr>
        <w:t xml:space="preserve"> (Notice ARC 0784C, IAB 6/12/13)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2711C</w:t>
      </w:r>
      <w:r>
        <w:rPr>
          <w:rFonts w:ascii="Times New Roman" w:hAnsi="Times New Roman"/>
          <w:b w:val="false"/>
          <w:i w:val="false"/>
          <w:color w:val="000000"/>
          <w:sz w:val="21"/>
        </w:rPr>
        <w:t xml:space="preserve"> (Notice ARC 2499C, IAB 4/13/16)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3010C</w:t>
      </w:r>
      <w:r>
        <w:rPr>
          <w:rFonts w:ascii="Times New Roman" w:hAnsi="Times New Roman"/>
          <w:b w:val="false"/>
          <w:i w:val="false"/>
          <w:color w:val="000000"/>
          <w:sz w:val="21"/>
        </w:rPr>
        <w:t xml:space="preserve"> (Notice ARC 2815C, IAB 11/23/16)</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5531C</w:t>
      </w:r>
      <w:r>
        <w:rPr>
          <w:rFonts w:ascii="Times New Roman" w:hAnsi="Times New Roman"/>
          <w:b w:val="false"/>
          <w:i w:val="false"/>
          <w:color w:val="000000"/>
          <w:sz w:val="21"/>
        </w:rPr>
        <w:t xml:space="preserve"> (Notice ARC 5153C, IAB 8/26/20)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9045C</w:t>
      </w:r>
      <w:r>
        <w:rPr>
          <w:rFonts w:ascii="Times New Roman" w:hAnsi="Times New Roman"/>
          <w:b w:val="false"/>
          <w:i w:val="false"/>
          <w:color w:val="000000"/>
          <w:sz w:val="21"/>
        </w:rPr>
        <w:t xml:space="preserve"> (Notice ARC 8200C, IAB 8/21/24)</w:t>
      </w:r>
      <w:r>
        <w:rPr>
          <w:rFonts w:ascii="Times New Roman" w:hAnsi="Times New Roman"/>
          <w:b w:val="false"/>
          <w:i w:val="false"/>
          <w:color w:val="000000"/>
          <w:sz w:val="21"/>
        </w:rPr>
        <w:t>, IAB 3/19/25, effective 4/23/25]</w:t>
      </w:r>
    </w:p>
    <w:p>
      <w:pPr>
        <w:spacing w:before="0" w:after="0"/>
        <w:ind w:left="120"/>
        <w:jc w:val="center"/>
      </w:pPr>
      <w:r>
        <w:rPr>
          <w:rFonts w:ascii="Times New Roman" w:hAnsi="Times New Roman"/>
          <w:b w:val="false"/>
          <w:i w:val="false"/>
          <w:color w:val="000000"/>
          <w:sz w:val="21"/>
        </w:rPr>
        <w:t>[Filed ARC 0404D</w:t>
      </w:r>
      <w:r>
        <w:rPr>
          <w:rFonts w:ascii="Times New Roman" w:hAnsi="Times New Roman"/>
          <w:b w:val="false"/>
          <w:i w:val="false"/>
          <w:color w:val="000000"/>
          <w:sz w:val="21"/>
        </w:rPr>
        <w:t xml:space="preserve"> (Notice ARC 0172D, IAB 4/1/26)</w:t>
      </w:r>
      <w:r>
        <w:rPr>
          <w:rFonts w:ascii="Times New Roman" w:hAnsi="Times New Roman"/>
          <w:b w:val="false"/>
          <w:i w:val="false"/>
          <w:color w:val="000000"/>
          <w:sz w:val="21"/>
        </w:rPr>
        <w:t>, IAB 6/24/26, effective 7/29/26]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3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1.pdf" Type="http://schemas.openxmlformats.org/officeDocument/2006/relationships/hyperlink" Id="rId5"/>
    <Relationship TargetMode="External" Target="https://www.legis.iowa.gov/docs/ico/chapter/476.1B.pdf" Type="http://schemas.openxmlformats.org/officeDocument/2006/relationships/hyperlink" Id="rId6"/>
    <Relationship TargetMode="External" Target="https://www.legis.iowa.gov/docs/ico/chapter/476.2.pdf" Type="http://schemas.openxmlformats.org/officeDocument/2006/relationships/hyperlink" Id="rId7"/>
    <Relationship TargetMode="External" Target="https://www.legis.iowa.gov/docs/ico/chapter/476A.12.pdf" Type="http://schemas.openxmlformats.org/officeDocument/2006/relationships/hyperlink" Id="rId8"/>
    <Relationship TargetMode="External" Target="https://www.legis.iowa.gov/docs/ico/chapter/478.19.pdf" Type="http://schemas.openxmlformats.org/officeDocument/2006/relationships/hyperlink" Id="rId9"/>
    <Relationship TargetMode="External" Target="https://www.legis.iowa.gov/docs/ico/chapter/478.20.pdf" Type="http://schemas.openxmlformats.org/officeDocument/2006/relationships/hyperlink" Id="rId10"/>
    <Relationship TargetMode="External" Target="https://www.legis.iowa.gov/docs/ico/chapter/478.pdf" Type="http://schemas.openxmlformats.org/officeDocument/2006/relationships/hyperlink" Id="rId11"/>
    <Relationship TargetMode="External" Target="https://www.legis.iowa.gov/docs/iac/rule/199.42.6.pdf" Type="http://schemas.openxmlformats.org/officeDocument/2006/relationships/hyperlink" Id="rId12"/>
    <Relationship TargetMode="External" Target="https://www.legis.iowa.gov/docs/iac/rule/661.504.1.pdf" Type="http://schemas.openxmlformats.org/officeDocument/2006/relationships/hyperlink" Id="rId13"/>
    <Relationship TargetMode="External" Target="https://www.legis.iowa.gov/docs/iac/rule/199.25.3.pdf" Type="http://schemas.openxmlformats.org/officeDocument/2006/relationships/hyperlink" Id="rId14"/>
    <Relationship TargetMode="External" Target="https://www.legis.iowa.gov/docs/iac/chapter/199.23.pdf" Type="http://schemas.openxmlformats.org/officeDocument/2006/relationships/hyperlink" Id="rId15"/>
    <Relationship TargetMode="External" Target="https://www.legis.iowa.gov/docs/iac/rule/199.25.3.pdf" Type="http://schemas.openxmlformats.org/officeDocument/2006/relationships/hyperlink" Id="rId16"/>
    <Relationship TargetMode="External" Target="https://www.legis.iowa.gov/docs/iac/rule/199.25.4.pdf" Type="http://schemas.openxmlformats.org/officeDocument/2006/relationships/hyperlink" Id="rId17"/>
    <Relationship TargetMode="External" Target="https://www.legis.iowa.gov/docs/iac/rule/199.25.2.pdf" Type="http://schemas.openxmlformats.org/officeDocument/2006/relationships/hyperlink" Id="rId18"/>
    <Relationship TargetMode="External" Target="https://www.legis.iowa.gov/docs/iac/rule/199.25.2.pdf" Type="http://schemas.openxmlformats.org/officeDocument/2006/relationships/hyperlink" Id="rId19"/>
    <Relationship TargetMode="External" Target="https://www.legis.iowa.gov/docs/iac/rule/199.25.2.pdf" Type="http://schemas.openxmlformats.org/officeDocument/2006/relationships/hyperlink" Id="rId20"/>
    <Relationship TargetMode="External" Target="https://www.legis.iowa.gov/docs/iac/rule/199.25.4.pdf" Type="http://schemas.openxmlformats.org/officeDocument/2006/relationships/hyperlink" Id="rId21"/>
    <Relationship TargetMode="External" Target="https://www.legis.iowa.gov/docs/iac/rule/199.25.4.pdf" Type="http://schemas.openxmlformats.org/officeDocument/2006/relationships/hyperlink" Id="rId22"/>
    <Relationship TargetMode="External" Target="https://www.legis.iowa.gov/docs/iac/rule/199.25.4.pdf" Type="http://schemas.openxmlformats.org/officeDocument/2006/relationships/hyperlink" Id="rId23"/>
    <Relationship TargetMode="External" Target="https://www.legis.iowa.gov/docs/iac/chapter/199.6.pdf" Type="http://schemas.openxmlformats.org/officeDocument/2006/relationships/hyperlink" Id="rId24"/>
    <Relationship TargetMode="External" Target="https://www.legis.iowa.gov/docs/iac/rule/199.25.4.pdf" Type="http://schemas.openxmlformats.org/officeDocument/2006/relationships/hyperlink" Id="rId25"/>
    <Relationship TargetMode="External" Target="https://www.legis.iowa.gov/docs/iac/chapter/199.6.pdf" Type="http://schemas.openxmlformats.org/officeDocument/2006/relationships/hyperlink" Id="rId26"/>
    <Relationship TargetMode="External" Target="https://www.legis.iowa.gov/docs/iac/rule/199.25.4.pdf" Type="http://schemas.openxmlformats.org/officeDocument/2006/relationships/hyperlink" Id="rId27"/>
    <Relationship TargetMode="External" Target="https://www.legis.iowa.gov/docs/ico/chapter/476.51.pdf" Type="http://schemas.openxmlformats.org/officeDocument/2006/relationships/hyperlink" Id="rId28"/>
    <Relationship TargetMode="External" Target="mailto:dutyofficer@iuc.iowa.gov" Type="http://schemas.openxmlformats.org/officeDocument/2006/relationships/hyperlink" Id="rId29"/>
    <Relationship TargetMode="External" Target="https://www.legis.iowa.gov/docs/iac/rule/199.25.5.pdf" Type="http://schemas.openxmlformats.org/officeDocument/2006/relationships/hyperlink" Id="rId30"/>
    <Relationship TargetMode="External" Target="https://www.legis.iowa.gov/docs/iac/rule/199.11.5.pdf" Type="http://schemas.openxmlformats.org/officeDocument/2006/relationships/hyperlink" Id="rId31"/>
    <Relationship TargetMode="External" Target="https://www.legis.iowa.gov/docs/iac/rule/199.11.6.pdf" Type="http://schemas.openxmlformats.org/officeDocument/2006/relationships/hyperlink" Id="rId32"/>
    <Relationship TargetMode="External" Target="https://www.legis.iowa.gov/docs/ico/chapter/478.pdf" Type="http://schemas.openxmlformats.org/officeDocument/2006/relationships/hyperlink" Id="rId33"/>
    <Relationship Target="footer.xml" Type="http://schemas.openxmlformats.org/officeDocument/2006/relationships/footer"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