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24</w:t>
      </w:r>
    </w:p>
    <w:p>
      <w:pPr>
        <w:spacing w:before="0" w:after="0"/>
        <w:ind w:left="120"/>
        <w:jc w:val="center"/>
      </w:pPr>
      <w:r>
        <w:rPr>
          <w:rFonts w:ascii="Times New Roman" w:hAnsi="Times New Roman"/>
          <w:b w:val="false"/>
          <w:i w:val="false"/>
          <w:color w:val="000000"/>
          <w:sz w:val="21"/>
        </w:rPr>
        <w:t>LOCATION AND CONSTRUCTION OF ELECTRIC POWER GENERATING FACILITIES</w:t>
      </w:r>
    </w:p>
    <w:p>
      <w:pPr>
        <w:spacing w:before="0" w:after="0"/>
        <w:ind w:left="120"/>
        <w:jc w:val="center"/>
      </w:pPr>
      <w:r>
        <w:rPr>
          <w:rFonts w:ascii="Times New Roman" w:hAnsi="Times New Roman"/>
          <w:b w:val="false"/>
          <w:i w:val="false"/>
          <w:color w:val="000000"/>
          <w:sz w:val="14"/>
        </w:rPr>
        <w:t>[Prior to 10/8/86, Commerce Commission[250]]</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6/4/30</w:t>
      </w:r>
    </w:p>
    <w:p>
      <w:pPr>
        <w:spacing w:before="0" w:after="0"/>
        <w:ind w:left="120"/>
        <w:jc w:val="both"/>
      </w:pPr>
      <w:r>
        <w:rPr>
          <w:rFonts w:ascii="Times New Roman" w:hAnsi="Times New Roman"/>
          <w:b/>
          <w:i w:val="false"/>
          <w:color w:val="000000"/>
          <w:sz w:val="22"/>
        </w:rPr>
        <w:t>199—24.1</w:t>
      </w:r>
      <w:r>
        <w:rPr>
          <w:rFonts w:ascii="Times New Roman" w:hAnsi="Times New Roman"/>
          <w:b/>
          <w:i w:val="false"/>
          <w:color w:val="000000"/>
          <w:sz w:val="22"/>
        </w:rPr>
        <w:t xml:space="preserve">(476A) </w:t>
      </w:r>
      <w:r>
        <w:rPr>
          <w:rFonts w:ascii="Times New Roman" w:hAnsi="Times New Roman"/>
          <w:b/>
          <w:i w:val="false"/>
          <w:color w:val="000000"/>
          <w:sz w:val="22"/>
        </w:rPr>
        <w:t xml:space="preserve">Authority and purpose. </w:t>
      </w:r>
      <w:r>
        <w:rPr>
          <w:rFonts w:ascii="Times New Roman" w:hAnsi="Times New Roman"/>
          <w:b w:val="false"/>
          <w:i w:val="false"/>
          <w:color w:val="000000"/>
          <w:sz w:val="22"/>
        </w:rPr>
        <w:t xml:space="preserve">The regulations contained herein are prescribed by the Iowa utilities commission pursuant to authority granted to the commission in Iowa Code chapter </w:t>
      </w:r>
      <w:hyperlink r:id="rId5">
        <w:r>
          <w:rPr>
            <w:rStyle w:val="Hyperlink"/>
            <w:rFonts w:ascii="Times New Roman" w:hAnsi="Times New Roman"/>
            <w:b w:val="false"/>
            <w:i w:val="false"/>
            <w:color w:val="000000"/>
            <w:sz w:val="22"/>
          </w:rPr>
          <w:t>476A</w:t>
        </w:r>
      </w:hyperlink>
      <w:r>
        <w:rPr>
          <w:rFonts w:ascii="Times New Roman" w:hAnsi="Times New Roman"/>
          <w:b w:val="false"/>
          <w:i w:val="false"/>
          <w:color w:val="000000"/>
          <w:sz w:val="22"/>
        </w:rPr>
        <w:t>, relating to the location and construction of electric power generating facilities.  The purpose of these regulations is to provide guidelines for proceedings for the determination whether the proposed construction of a major electric generation facility or significant alteration thereto should be issued a certificate before such construction may commence and to state the procedures for determining compliance by the applicant with permit and licensing requirements of state regulatory agencies.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9182C</w:t>
      </w:r>
      <w:r>
        <w:rPr>
          <w:rFonts w:ascii="Times New Roman" w:hAnsi="Times New Roman"/>
          <w:b w:val="false"/>
          <w:i w:val="false"/>
          <w:color w:val="000000"/>
          <w:sz w:val="16"/>
        </w:rPr>
        <w:t>, IAB 4/30/25, effective 6/4/25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199—24.2</w:t>
      </w:r>
      <w:r>
        <w:rPr>
          <w:rFonts w:ascii="Times New Roman" w:hAnsi="Times New Roman"/>
          <w:b/>
          <w:i w:val="false"/>
          <w:color w:val="000000"/>
          <w:sz w:val="22"/>
        </w:rPr>
        <w:t xml:space="preserve">(476A) </w:t>
      </w:r>
      <w:r>
        <w:rPr>
          <w:rFonts w:ascii="Times New Roman" w:hAnsi="Times New Roman"/>
          <w:b/>
          <w:i w:val="false"/>
          <w:color w:val="000000"/>
          <w:sz w:val="22"/>
        </w:rPr>
        <w:t xml:space="preserve">Definitions. </w:t>
      </w:r>
      <w:r>
        <w:rPr>
          <w:rFonts w:ascii="Times New Roman" w:hAnsi="Times New Roman"/>
          <w:b w:val="false"/>
          <w:i w:val="false"/>
          <w:color w:val="000000"/>
          <w:sz w:val="22"/>
        </w:rPr>
        <w:t>As used in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“Acid Rain Program” </w:t>
      </w:r>
      <w:r>
        <w:rPr>
          <w:rFonts w:ascii="Times New Roman" w:hAnsi="Times New Roman"/>
          <w:b w:val="false"/>
          <w:i w:val="false"/>
          <w:color w:val="000000"/>
          <w:sz w:val="22"/>
        </w:rPr>
        <w:t xml:space="preserve">means the sulfur dioxide and nitrogen oxides air pollution control program established pursuant to Title IV of the Clean Air Act, </w:t>
      </w:r>
      <w:r>
        <w:rPr>
          <w:rFonts w:ascii="Times New Roman" w:hAnsi="Times New Roman"/>
          <w:b w:val="false"/>
          <w:i w:val="false"/>
          <w:color w:val="000000"/>
          <w:sz w:val="22"/>
        </w:rPr>
        <w:t>42 U.S.C.</w:t>
      </w:r>
      <w:r>
        <w:rPr>
          <w:rFonts w:ascii="Times New Roman" w:hAnsi="Times New Roman"/>
          <w:b w:val="false"/>
          <w:i w:val="false"/>
          <w:color w:val="000000"/>
          <w:sz w:val="22"/>
        </w:rPr>
        <w:t xml:space="preserve"> Section 7401, et seq., as amended by Pub. L. 101-549, November 15, 1990.</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“Act” </w:t>
      </w:r>
      <w:r>
        <w:rPr>
          <w:rFonts w:ascii="Times New Roman" w:hAnsi="Times New Roman"/>
          <w:b w:val="false"/>
          <w:i w:val="false"/>
          <w:color w:val="000000"/>
          <w:sz w:val="22"/>
        </w:rPr>
        <w:t xml:space="preserve">means Iowa Code chapter </w:t>
      </w:r>
      <w:hyperlink r:id="rId6">
        <w:r>
          <w:rPr>
            <w:rStyle w:val="Hyperlink"/>
            <w:rFonts w:ascii="Times New Roman" w:hAnsi="Times New Roman"/>
            <w:b w:val="false"/>
            <w:i w:val="false"/>
            <w:color w:val="000000"/>
            <w:sz w:val="22"/>
          </w:rPr>
          <w:t>476A</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“Agency” </w:t>
      </w:r>
      <w:r>
        <w:rPr>
          <w:rFonts w:ascii="Times New Roman" w:hAnsi="Times New Roman"/>
          <w:b w:val="false"/>
          <w:i w:val="false"/>
          <w:color w:val="000000"/>
          <w:sz w:val="22"/>
        </w:rPr>
        <w:t xml:space="preserve">means an agency as defined in Iowa Code section </w:t>
      </w:r>
      <w:hyperlink r:id="rId7">
        <w:r>
          <w:rPr>
            <w:rStyle w:val="Hyperlink"/>
            <w:rFonts w:ascii="Times New Roman" w:hAnsi="Times New Roman"/>
            <w:b w:val="false"/>
            <w:i w:val="false"/>
            <w:color w:val="000000"/>
            <w:sz w:val="22"/>
          </w:rPr>
          <w:t>17A.2(1)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“Allowance” </w:t>
      </w:r>
      <w:r>
        <w:rPr>
          <w:rFonts w:ascii="Times New Roman" w:hAnsi="Times New Roman"/>
          <w:b w:val="false"/>
          <w:i w:val="false"/>
          <w:color w:val="000000"/>
          <w:sz w:val="22"/>
        </w:rPr>
        <w:t>means an authorization, allocated by the federal Environmental Protection Agency under the Acid Rain Program, to emit up to one ton of sulfur dioxide, during or after a specified calendar year.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“Certificate” </w:t>
      </w:r>
      <w:r>
        <w:rPr>
          <w:rFonts w:ascii="Times New Roman" w:hAnsi="Times New Roman"/>
          <w:b w:val="false"/>
          <w:i w:val="false"/>
          <w:color w:val="000000"/>
          <w:sz w:val="22"/>
        </w:rPr>
        <w:t xml:space="preserve">means a certificate as defined in Iowa Code section </w:t>
      </w:r>
      <w:hyperlink r:id="rId8">
        <w:r>
          <w:rPr>
            <w:rStyle w:val="Hyperlink"/>
            <w:rFonts w:ascii="Times New Roman" w:hAnsi="Times New Roman"/>
            <w:b w:val="false"/>
            <w:i w:val="false"/>
            <w:color w:val="000000"/>
            <w:sz w:val="22"/>
          </w:rPr>
          <w:t>476A.1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“Contested case proceeding” </w:t>
      </w:r>
      <w:r>
        <w:rPr>
          <w:rFonts w:ascii="Times New Roman" w:hAnsi="Times New Roman"/>
          <w:b w:val="false"/>
          <w:i w:val="false"/>
          <w:color w:val="000000"/>
          <w:sz w:val="22"/>
        </w:rPr>
        <w:t xml:space="preserve">means the contested case proceeding before the commission prescribed by Iowa Code section </w:t>
      </w:r>
      <w:hyperlink r:id="rId9">
        <w:r>
          <w:rPr>
            <w:rStyle w:val="Hyperlink"/>
            <w:rFonts w:ascii="Times New Roman" w:hAnsi="Times New Roman"/>
            <w:b w:val="false"/>
            <w:i w:val="false"/>
            <w:color w:val="000000"/>
            <w:sz w:val="22"/>
          </w:rPr>
          <w:t>476A.4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“Facility” </w:t>
      </w:r>
      <w:r>
        <w:rPr>
          <w:rFonts w:ascii="Times New Roman" w:hAnsi="Times New Roman"/>
          <w:b w:val="false"/>
          <w:i w:val="false"/>
          <w:color w:val="000000"/>
          <w:sz w:val="22"/>
        </w:rPr>
        <w:t xml:space="preserve">means a facility as defined in Iowa Code section </w:t>
      </w:r>
      <w:hyperlink r:id="rId10">
        <w:r>
          <w:rPr>
            <w:rStyle w:val="Hyperlink"/>
            <w:rFonts w:ascii="Times New Roman" w:hAnsi="Times New Roman"/>
            <w:b w:val="false"/>
            <w:i w:val="false"/>
            <w:color w:val="000000"/>
            <w:sz w:val="22"/>
          </w:rPr>
          <w:t>476A.1.</w:t>
        </w:r>
      </w:hyperlink>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“Interested agency” </w:t>
      </w:r>
      <w:r>
        <w:rPr>
          <w:rFonts w:ascii="Times New Roman" w:hAnsi="Times New Roman"/>
          <w:b w:val="false"/>
          <w:i w:val="false"/>
          <w:color w:val="000000"/>
          <w:sz w:val="22"/>
        </w:rPr>
        <w:t>means an agency, other than a regulatory agency, which the commission in its discretion determines to have a legitimate interest in the disposition of the application.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“Intervenor” </w:t>
      </w:r>
      <w:r>
        <w:rPr>
          <w:rFonts w:ascii="Times New Roman" w:hAnsi="Times New Roman"/>
          <w:b w:val="false"/>
          <w:i w:val="false"/>
          <w:color w:val="000000"/>
          <w:sz w:val="22"/>
        </w:rPr>
        <w:t xml:space="preserve">means a person who received notice under paragraph </w:t>
      </w:r>
      <w:hyperlink r:id="rId11">
        <w:r>
          <w:rPr>
            <w:rStyle w:val="Hyperlink"/>
            <w:rFonts w:ascii="Times New Roman" w:hAnsi="Times New Roman"/>
            <w:b w:val="false"/>
            <w:i w:val="false"/>
            <w:color w:val="000000"/>
            <w:sz w:val="22"/>
          </w:rPr>
          <w:t>24.6(2)</w:t>
        </w:r>
      </w:hyperlink>
      <w:r>
        <w:rPr>
          <w:rFonts w:ascii="Times New Roman" w:hAnsi="Times New Roman"/>
          <w:b w:val="false"/>
          <w:i/>
          <w:color w:val="000000"/>
          <w:sz w:val="22"/>
        </w:rPr>
        <w:t>“b,”</w:t>
      </w:r>
      <w:r>
        <w:rPr>
          <w:rFonts w:ascii="Times New Roman" w:hAnsi="Times New Roman"/>
          <w:b w:val="false"/>
          <w:i/>
          <w:color w:val="000000"/>
          <w:sz w:val="22"/>
        </w:rPr>
        <w:t>“c,”</w:t>
      </w:r>
      <w:r>
        <w:rPr>
          <w:rFonts w:ascii="Times New Roman" w:hAnsi="Times New Roman"/>
          <w:b w:val="false"/>
          <w:i/>
          <w:color w:val="000000"/>
          <w:sz w:val="22"/>
        </w:rPr>
        <w:t xml:space="preserve">“d,” </w:t>
      </w:r>
      <w:r>
        <w:rPr>
          <w:rFonts w:ascii="Times New Roman" w:hAnsi="Times New Roman"/>
          <w:b w:val="false"/>
          <w:i/>
          <w:color w:val="000000"/>
          <w:sz w:val="22"/>
        </w:rPr>
        <w:t>“e,”</w:t>
      </w:r>
      <w:r>
        <w:rPr>
          <w:rFonts w:ascii="Times New Roman" w:hAnsi="Times New Roman"/>
          <w:b w:val="false"/>
          <w:i w:val="false"/>
          <w:color w:val="000000"/>
          <w:sz w:val="22"/>
        </w:rPr>
        <w:t xml:space="preserve"> or </w:t>
      </w:r>
      <w:r>
        <w:rPr>
          <w:rFonts w:ascii="Times New Roman" w:hAnsi="Times New Roman"/>
          <w:b w:val="false"/>
          <w:i/>
          <w:color w:val="000000"/>
          <w:sz w:val="22"/>
        </w:rPr>
        <w:t>“f”</w:t>
      </w:r>
      <w:r>
        <w:rPr>
          <w:rFonts w:ascii="Times New Roman" w:hAnsi="Times New Roman"/>
          <w:b w:val="false"/>
          <w:i w:val="false"/>
          <w:color w:val="000000"/>
          <w:sz w:val="22"/>
        </w:rPr>
        <w:t xml:space="preserve"> and has filed with the commission a written notice of intervention, or a person granted permission to intervene by the commission after filing a petition pursuant to rule </w:t>
      </w:r>
      <w:hyperlink r:id="rId12">
        <w:r>
          <w:rPr>
            <w:rStyle w:val="Hyperlink"/>
            <w:rFonts w:ascii="Times New Roman" w:hAnsi="Times New Roman"/>
            <w:b w:val="false"/>
            <w:i w:val="false"/>
            <w:color w:val="000000"/>
            <w:sz w:val="22"/>
          </w:rPr>
          <w:t>199—7.13</w:t>
        </w:r>
      </w:hyperlink>
      <w:r>
        <w:rPr>
          <w:rFonts w:ascii="Times New Roman" w:hAnsi="Times New Roman"/>
          <w:b w:val="false"/>
          <w:i w:val="false"/>
          <w:color w:val="000000"/>
          <w:sz w:val="22"/>
        </w:rPr>
        <w:t>(17A,476).</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“MW” </w:t>
      </w:r>
      <w:r>
        <w:rPr>
          <w:rFonts w:ascii="Times New Roman" w:hAnsi="Times New Roman"/>
          <w:b w:val="false"/>
          <w:i w:val="false"/>
          <w:color w:val="000000"/>
          <w:sz w:val="22"/>
        </w:rPr>
        <w:t>means megawatts.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“Person” </w:t>
      </w:r>
      <w:r>
        <w:rPr>
          <w:rFonts w:ascii="Times New Roman" w:hAnsi="Times New Roman"/>
          <w:b w:val="false"/>
          <w:i w:val="false"/>
          <w:color w:val="000000"/>
          <w:sz w:val="22"/>
        </w:rPr>
        <w:t xml:space="preserve">means a person as defined in Iowa Code section </w:t>
      </w:r>
      <w:hyperlink r:id="rId13">
        <w:r>
          <w:rPr>
            <w:rStyle w:val="Hyperlink"/>
            <w:rFonts w:ascii="Times New Roman" w:hAnsi="Times New Roman"/>
            <w:b w:val="false"/>
            <w:i w:val="false"/>
            <w:color w:val="000000"/>
            <w:sz w:val="22"/>
          </w:rPr>
          <w:t>4.1.</w:t>
        </w:r>
      </w:hyperlink>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“Public utility” </w:t>
      </w:r>
      <w:r>
        <w:rPr>
          <w:rFonts w:ascii="Times New Roman" w:hAnsi="Times New Roman"/>
          <w:b w:val="false"/>
          <w:i w:val="false"/>
          <w:color w:val="000000"/>
          <w:sz w:val="22"/>
        </w:rPr>
        <w:t xml:space="preserve">means a public utility as defined in Iowa Code section </w:t>
      </w:r>
      <w:hyperlink r:id="rId14">
        <w:r>
          <w:rPr>
            <w:rStyle w:val="Hyperlink"/>
            <w:rFonts w:ascii="Times New Roman" w:hAnsi="Times New Roman"/>
            <w:b w:val="false"/>
            <w:i w:val="false"/>
            <w:color w:val="000000"/>
            <w:sz w:val="22"/>
          </w:rPr>
          <w:t>476.1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“Regulatory agency” </w:t>
      </w:r>
      <w:r>
        <w:rPr>
          <w:rFonts w:ascii="Times New Roman" w:hAnsi="Times New Roman"/>
          <w:b w:val="false"/>
          <w:i w:val="false"/>
          <w:color w:val="000000"/>
          <w:sz w:val="22"/>
        </w:rPr>
        <w:t xml:space="preserve">means a regulatory agency as defined in Iowa Code section </w:t>
      </w:r>
      <w:hyperlink r:id="rId15">
        <w:r>
          <w:rPr>
            <w:rStyle w:val="Hyperlink"/>
            <w:rFonts w:ascii="Times New Roman" w:hAnsi="Times New Roman"/>
            <w:b w:val="false"/>
            <w:i w:val="false"/>
            <w:color w:val="000000"/>
            <w:sz w:val="22"/>
          </w:rPr>
          <w:t>476A.1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“Significant alteration” </w:t>
      </w:r>
      <w:r>
        <w:rPr>
          <w:rFonts w:ascii="Times New Roman" w:hAnsi="Times New Roman"/>
          <w:b w:val="false"/>
          <w:i w:val="false"/>
          <w:color w:val="000000"/>
          <w:sz w:val="22"/>
        </w:rPr>
        <w:t>means:</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A change in the generic type of fuel used by the major electric generating facility; or</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Any change in the location, construction, maintenance, or operation of equipment at an existing facility that increases the maximum generator nameplate capacity of the facility by at least 10 percent and at least 25 MW.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“Site” </w:t>
      </w:r>
      <w:r>
        <w:rPr>
          <w:rFonts w:ascii="Times New Roman" w:hAnsi="Times New Roman"/>
          <w:b w:val="false"/>
          <w:i w:val="false"/>
          <w:color w:val="000000"/>
          <w:sz w:val="22"/>
        </w:rPr>
        <w:t>means the land on which the generating unit or electric storage unit of the facility, and any cooling facilities, cooling water reservoirs, security exclusion areas, and other necessary components of the facility, are proposed to be located.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“Site impact area” </w:t>
      </w:r>
      <w:r>
        <w:rPr>
          <w:rFonts w:ascii="Times New Roman" w:hAnsi="Times New Roman"/>
          <w:b w:val="false"/>
          <w:i w:val="false"/>
          <w:color w:val="000000"/>
          <w:sz w:val="22"/>
        </w:rPr>
        <w:t>means the area within the state of Iowa within a ten-mile radius of the intersection of the transverse centerline axis and longitudinal centerline axis of the generator or all such generators where the proposed facility includes multiple generators.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“Zoning authority” </w:t>
      </w:r>
      <w:r>
        <w:rPr>
          <w:rFonts w:ascii="Times New Roman" w:hAnsi="Times New Roman"/>
          <w:b w:val="false"/>
          <w:i w:val="false"/>
          <w:color w:val="000000"/>
          <w:sz w:val="22"/>
        </w:rPr>
        <w:t>means any city or county zoning authority in whose jurisdictional area a proposed facility site or portion thereof is located.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9182C</w:t>
      </w:r>
      <w:r>
        <w:rPr>
          <w:rFonts w:ascii="Times New Roman" w:hAnsi="Times New Roman"/>
          <w:b w:val="false"/>
          <w:i w:val="false"/>
          <w:color w:val="000000"/>
          <w:sz w:val="16"/>
        </w:rPr>
        <w:t>, IAB 4/30/25, effective 6/4/25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199—24.3</w:t>
      </w:r>
      <w:r>
        <w:rPr>
          <w:rFonts w:ascii="Times New Roman" w:hAnsi="Times New Roman"/>
          <w:b/>
          <w:i w:val="false"/>
          <w:color w:val="000000"/>
          <w:sz w:val="22"/>
        </w:rPr>
        <w:t xml:space="preserve">(476A) </w:t>
      </w:r>
      <w:r>
        <w:rPr>
          <w:rFonts w:ascii="Times New Roman" w:hAnsi="Times New Roman"/>
          <w:b/>
          <w:i w:val="false"/>
          <w:color w:val="000000"/>
          <w:sz w:val="22"/>
        </w:rPr>
        <w:t xml:space="preserve">Form of application; place of filing.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24.3(1)</w:t>
      </w:r>
      <w:r>
        <w:rPr>
          <w:rFonts w:ascii="Times New Roman" w:hAnsi="Times New Roman"/>
          <w:b w:val="false"/>
          <w:i w:val="false"/>
          <w:color w:val="000000"/>
          <w:sz w:val="22"/>
        </w:rPr>
        <w:t> </w:t>
      </w:r>
      <w:r>
        <w:rPr>
          <w:rFonts w:ascii="Times New Roman" w:hAnsi="Times New Roman"/>
          <w:b w:val="false"/>
          <w:i/>
          <w:color w:val="000000"/>
          <w:sz w:val="22"/>
        </w:rPr>
        <w:t xml:space="preserve">Form of application. </w:t>
      </w:r>
      <w:r>
        <w:rPr>
          <w:rFonts w:ascii="Times New Roman" w:hAnsi="Times New Roman"/>
          <w:b w:val="false"/>
          <w:i w:val="false"/>
          <w:color w:val="000000"/>
          <w:sz w:val="22"/>
        </w:rPr>
        <w:t>The information required by these rules to be included with an application shall be indexed and arranged in a sequential manner substantially similar to the outline form of the rules, with all material submitted categorized into the specific areas and sections set forth in the rules.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24.3(2)</w:t>
      </w:r>
      <w:r>
        <w:rPr>
          <w:rFonts w:ascii="Times New Roman" w:hAnsi="Times New Roman"/>
          <w:b w:val="false"/>
          <w:i w:val="false"/>
          <w:color w:val="000000"/>
          <w:sz w:val="22"/>
        </w:rPr>
        <w:t> </w:t>
      </w:r>
      <w:r>
        <w:rPr>
          <w:rFonts w:ascii="Times New Roman" w:hAnsi="Times New Roman"/>
          <w:b w:val="false"/>
          <w:i/>
          <w:color w:val="000000"/>
          <w:sz w:val="22"/>
        </w:rPr>
        <w:t xml:space="preserve">Manner and place of filing. </w:t>
      </w:r>
      <w:r>
        <w:rPr>
          <w:rFonts w:ascii="Times New Roman" w:hAnsi="Times New Roman"/>
          <w:b w:val="false"/>
          <w:i w:val="false"/>
          <w:color w:val="000000"/>
          <w:sz w:val="22"/>
        </w:rPr>
        <w:t>An applicant shall file the application electronically unless otherwise permitted by the commission, and the commission will include on the service list for the application each regulatory agency listed on the application in addition to other agencies as the commission deems appropriate.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9182C</w:t>
      </w:r>
      <w:r>
        <w:rPr>
          <w:rFonts w:ascii="Times New Roman" w:hAnsi="Times New Roman"/>
          <w:b w:val="false"/>
          <w:i w:val="false"/>
          <w:color w:val="000000"/>
          <w:sz w:val="16"/>
        </w:rPr>
        <w:t>, IAB 4/30/25, effective 6/4/25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199—24.4</w:t>
      </w:r>
      <w:r>
        <w:rPr>
          <w:rFonts w:ascii="Times New Roman" w:hAnsi="Times New Roman"/>
          <w:b/>
          <w:i w:val="false"/>
          <w:color w:val="000000"/>
          <w:sz w:val="22"/>
        </w:rPr>
        <w:t xml:space="preserve">(476A) </w:t>
      </w:r>
      <w:r>
        <w:rPr>
          <w:rFonts w:ascii="Times New Roman" w:hAnsi="Times New Roman"/>
          <w:b/>
          <w:i w:val="false"/>
          <w:color w:val="000000"/>
          <w:sz w:val="22"/>
        </w:rPr>
        <w:t xml:space="preserve">Application for a certificate—contents. </w:t>
      </w:r>
      <w:r>
        <w:rPr>
          <w:rFonts w:ascii="Times New Roman" w:hAnsi="Times New Roman"/>
          <w:b w:val="false"/>
          <w:i w:val="false"/>
          <w:color w:val="000000"/>
          <w:sz w:val="22"/>
        </w:rPr>
        <w:t xml:space="preserve">Each person or group of persons proposing to construct a facility or a significant alteration to a facility shall file an application for certificate with the commission unless otherwise provided by these rules. The applicant may file a partial application in conjunction with a request under rule </w:t>
      </w:r>
      <w:hyperlink r:id="rId16">
        <w:r>
          <w:rPr>
            <w:rStyle w:val="Hyperlink"/>
            <w:rFonts w:ascii="Times New Roman" w:hAnsi="Times New Roman"/>
            <w:b w:val="false"/>
            <w:i w:val="false"/>
            <w:color w:val="000000"/>
            <w:sz w:val="22"/>
          </w:rPr>
          <w:t>199—24.9</w:t>
        </w:r>
      </w:hyperlink>
      <w:r>
        <w:rPr>
          <w:rFonts w:ascii="Times New Roman" w:hAnsi="Times New Roman"/>
          <w:b w:val="false"/>
          <w:i w:val="false"/>
          <w:color w:val="000000"/>
          <w:sz w:val="22"/>
        </w:rPr>
        <w:t>(476A). An application shall substantially comply with the following informational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24.4(1)</w:t>
      </w:r>
      <w:r>
        <w:rPr>
          <w:rFonts w:ascii="Times New Roman" w:hAnsi="Times New Roman"/>
          <w:b w:val="false"/>
          <w:i w:val="false"/>
          <w:color w:val="000000"/>
          <w:sz w:val="22"/>
        </w:rPr>
        <w:t> </w:t>
      </w:r>
      <w:r>
        <w:rPr>
          <w:rFonts w:ascii="Times New Roman" w:hAnsi="Times New Roman"/>
          <w:b w:val="false"/>
          <w:i w:val="false"/>
          <w:color w:val="000000"/>
          <w:sz w:val="22"/>
        </w:rPr>
        <w:t>Section 1, entitled “General information,” shall include the following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legal name, address, telephone number, and email address of the applicant and all other participants of the proposed facility at the time of filing; name of the person authorized to receive communications relating to the application on behalf of those persons; Iowa business address, if applicable; and principal place of business of the applicant.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The name and type of business of the applicant’s and all other participants’ parent companies and affiliates with the percentages of ownership.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complete description of the current and proposed rights of ownership in the proposed facility and current or planned purchase power contracts with respect to the proposed facility.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 general site description including a legal description of the site location; a general map showing the site and its location with respect to state, county, and other political subdivisions; prominent features such as cities, lakes, rivers and parks within the site impact area; and a more detailed map showing the location of the facility perimeter, utility property, railroads and other transportation facilities, abutting and adjacent properties, cities, lakes, rivers, parks, other public facilities, cemeteries, and places of historical significance within one mile of the site boundary. The general site description should include a discussion of whether the proposed site is located in a flood plain.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 general description of the proposed facility including a description of the principal characteristics of the facility such as the capacity of the proposed facility in MW expressed by the contracted maximum generator nameplate MW rating, the portion (in MW) of the design capacity of the proposed facility that is proposed to be available for use by each participant; the number and type of generating units, primary fuel source for each such unit, total hours of operation anticipated seasonally and annually, and output in megawatt hours during these hours; expected capacity factors; a description of the general arrangement of major structures and equipment to provide the commission with an understanding of the general layout of the facility; and a schedule for the facility’s construction and utilization including the projected date significant site alteration is proposed to begin and the projected date the facility is to be placed into service. For this purpose, a group of several similar generating units operated together at the same location such that segregated records of energy output are not available shall be considered as a single unit.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A general description of all raw materials, including fuel, used by the proposed facility in producing electricity and of all wastes created in the production process, including the amount of annual expected sulfur dioxide emissions from the facility, with the applicant’s plan for acquiring allowances sufficient to offset those emissions. The applicant shall describe all transportation facilities currently operating that will be available to serve the proposed facility during operations and any additional transportation facilities needed to deliver raw materials and to remove wastes.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Identification, general description and chronology of all financial and other contractual commitments undertaken or planned to be undertaken with respect to the proposed facility.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A general map and description of the primary transmission corridors and the approximate routing of the rights-of-way. An analysis of the existing transmission network’s capability to reliably support the proposed additional generation interconnection to the network. The analysis must also show that the interconnection to the transmission system is consistent with standard utility practices and the proposed interconnection does not degrade the adequacy, reliability, or operating flexibility of the existing transmission system in the area. A system impact analysis performed by the operator of the transmission system with which the facility will be interconnected, as well as any analysis, in the applicant’s possession, submitted to an area reliability council, concerning the impact of the facility on the area grid, shall satisfy the foregoing requirements. The impact analysis must include both local area and regional impacts.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 xml:space="preserve">The names and addresses of those owners and lessees of record of real property identified in paragraphs </w:t>
      </w:r>
      <w:hyperlink r:id="rId17">
        <w:r>
          <w:rPr>
            <w:rStyle w:val="Hyperlink"/>
            <w:rFonts w:ascii="Times New Roman" w:hAnsi="Times New Roman"/>
            <w:b w:val="false"/>
            <w:i w:val="false"/>
            <w:color w:val="000000"/>
            <w:sz w:val="22"/>
          </w:rPr>
          <w:t>24.6(2)</w:t>
        </w:r>
      </w:hyperlink>
      <w:r>
        <w:rPr>
          <w:rFonts w:ascii="Times New Roman" w:hAnsi="Times New Roman"/>
          <w:b w:val="false"/>
          <w:i/>
          <w:color w:val="000000"/>
          <w:sz w:val="22"/>
        </w:rPr>
        <w:t>“d”</w:t>
      </w:r>
      <w:r>
        <w:rPr>
          <w:rFonts w:ascii="Times New Roman" w:hAnsi="Times New Roman"/>
          <w:b w:val="false"/>
          <w:i w:val="false"/>
          <w:color w:val="000000"/>
          <w:sz w:val="22"/>
        </w:rPr>
        <w:t xml:space="preserve"> and </w:t>
      </w:r>
      <w:r>
        <w:rPr>
          <w:rFonts w:ascii="Times New Roman" w:hAnsi="Times New Roman"/>
          <w:b w:val="false"/>
          <w:i/>
          <w:color w:val="000000"/>
          <w:sz w:val="22"/>
        </w:rPr>
        <w: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The names and addresses of those owners and lessees of record of real property for whom the applicant seeks the use of eminent domain.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24.4(2)</w:t>
      </w:r>
      <w:r>
        <w:rPr>
          <w:rFonts w:ascii="Times New Roman" w:hAnsi="Times New Roman"/>
          <w:b w:val="false"/>
          <w:i w:val="false"/>
          <w:color w:val="000000"/>
          <w:sz w:val="22"/>
        </w:rPr>
        <w:t> </w:t>
      </w:r>
      <w:r>
        <w:rPr>
          <w:rFonts w:ascii="Times New Roman" w:hAnsi="Times New Roman"/>
          <w:b w:val="false"/>
          <w:i w:val="false"/>
          <w:color w:val="000000"/>
          <w:sz w:val="22"/>
        </w:rPr>
        <w:t>Section 2, entitled “Regulatory requirements,” shall include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All information related to the regulatory agency and zoning authority requirements for permits or licenses necessary to construct, operate, and maintain the facility.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listing of every state agency from which any approval or authorization concerning the proposed facility is required and a listing of zoning authorities.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Information equivalent to the information required in the rules and application forms of such state regulatory agencies and zoning authorities, to the extent such information is ready to be filed.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24.4(3)</w:t>
      </w:r>
      <w:r>
        <w:rPr>
          <w:rFonts w:ascii="Times New Roman" w:hAnsi="Times New Roman"/>
          <w:b w:val="false"/>
          <w:i w:val="false"/>
          <w:color w:val="000000"/>
          <w:sz w:val="22"/>
        </w:rPr>
        <w:t> </w:t>
      </w:r>
      <w:r>
        <w:rPr>
          <w:rFonts w:ascii="Times New Roman" w:hAnsi="Times New Roman"/>
          <w:b w:val="false"/>
          <w:i w:val="false"/>
          <w:color w:val="000000"/>
          <w:sz w:val="22"/>
        </w:rPr>
        <w:t>Section 3, entitled “Community impact,” shall include an identification and analysis of the effects the construction, operation, and maintenance of the proposed facility will have on the site impact area, including but not limited to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forecast of the permanent impact of the construction, operation, and maintenance of the proposed facility on commercial and industrial sectors, housing, land values, labor market, health facilities, sewage and water, fire and public protection, recreational facilities, schools and transportation facilities.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forecast of any temporary impact placed upon housing, schools or other community facilities as a result of a temporary influx of workers during the construction of the proposed facility.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forecast of the impact of the proposed facility on property taxes of affected taxing jurisdictions. The forecast shall include the effects on property taxes caused by all community development proximately related to the construction of the proposed facility.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 forecast of the impact on agricultural production and uses.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 forecast of the impact on open space areas and areas of significant wildlife habitat. Such forecast shall include identification and description of the impact of the proposed facility on terrestrial and aquatic plants and animals.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A forecast of the impact on transportation facilities.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A forecast of the impact on cultural resources including known archaeological, historical and architectural properties that are on, or eligible for, the National Register of Historic Places.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A forecast of the impact on landmarks of historic, religious, archaeological, scenic, natural or other cultural significance including the applicant’s plans to coordinate with the office of the state archaeologist to reduce or obviate any adverse impact and the applicant’s plans to coordinate with the department of homeland security and emergency management in the event of accidental release of contaminants from the proposed facility.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24.4(4)</w:t>
      </w:r>
      <w:r>
        <w:rPr>
          <w:rFonts w:ascii="Times New Roman" w:hAnsi="Times New Roman"/>
          <w:b w:val="false"/>
          <w:i w:val="false"/>
          <w:color w:val="000000"/>
          <w:sz w:val="22"/>
        </w:rPr>
        <w:t> </w:t>
      </w:r>
      <w:r>
        <w:rPr>
          <w:rFonts w:ascii="Times New Roman" w:hAnsi="Times New Roman"/>
          <w:b w:val="false"/>
          <w:i w:val="false"/>
          <w:color w:val="000000"/>
          <w:sz w:val="22"/>
        </w:rPr>
        <w:t>Section 4, entitled “Site selection methodology,” shall include information related to the selection of the proposed site for the facility, including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general criteria used to select alternative sites and how these criteria were used to select the proposed site.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discussion of the extent to which reliance upon eminent domain powers could be reduced by use of an alternative site, alternative generation method or alternative waste handling method.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9182C</w:t>
      </w:r>
      <w:r>
        <w:rPr>
          <w:rFonts w:ascii="Times New Roman" w:hAnsi="Times New Roman"/>
          <w:b w:val="false"/>
          <w:i w:val="false"/>
          <w:color w:val="000000"/>
          <w:sz w:val="16"/>
        </w:rPr>
        <w:t>, IAB 4/30/25, effective 6/4/25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199—24.5</w:t>
      </w:r>
      <w:r>
        <w:rPr>
          <w:rFonts w:ascii="Times New Roman" w:hAnsi="Times New Roman"/>
          <w:b/>
          <w:i w:val="false"/>
          <w:color w:val="000000"/>
          <w:sz w:val="22"/>
        </w:rPr>
        <w:t xml:space="preserve">(476A) </w:t>
      </w:r>
      <w:r>
        <w:rPr>
          <w:rFonts w:ascii="Times New Roman" w:hAnsi="Times New Roman"/>
          <w:b/>
          <w:i w:val="false"/>
          <w:color w:val="000000"/>
          <w:sz w:val="22"/>
        </w:rPr>
        <w:t xml:space="preserve">Initial commission review—application acceptance.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24.5(1)</w:t>
      </w:r>
      <w:r>
        <w:rPr>
          <w:rFonts w:ascii="Times New Roman" w:hAnsi="Times New Roman"/>
          <w:b w:val="false"/>
          <w:i w:val="false"/>
          <w:color w:val="000000"/>
          <w:sz w:val="22"/>
        </w:rPr>
        <w:t> </w:t>
      </w:r>
      <w:r>
        <w:rPr>
          <w:rFonts w:ascii="Times New Roman" w:hAnsi="Times New Roman"/>
          <w:b w:val="false"/>
          <w:i w:val="false"/>
          <w:color w:val="000000"/>
          <w:sz w:val="22"/>
        </w:rPr>
        <w:t xml:space="preserve">Upon the filing of the application or a portion of the application, the commission and the appropriate regulatory agencies shall determine whether the application is in substantial compliance with the requirements of rule </w:t>
      </w:r>
      <w:hyperlink r:id="rId18">
        <w:r>
          <w:rPr>
            <w:rStyle w:val="Hyperlink"/>
            <w:rFonts w:ascii="Times New Roman" w:hAnsi="Times New Roman"/>
            <w:b w:val="false"/>
            <w:i w:val="false"/>
            <w:color w:val="000000"/>
            <w:sz w:val="22"/>
          </w:rPr>
          <w:t>199—24.4(476A)</w:t>
        </w:r>
      </w:hyperlink>
      <w:r>
        <w:rPr>
          <w:rFonts w:ascii="Times New Roman" w:hAnsi="Times New Roman"/>
          <w:b w:val="false"/>
          <w:i w:val="false"/>
          <w:color w:val="000000"/>
          <w:sz w:val="22"/>
        </w:rPr>
        <w:t>. If any significant deficiencies are determined to exist in the application, or such portion of the application, by either the commission or regulatory agency, the commission shall notify the applicant specifying such deficiencies within 45 days from the date of the filing of the application or such portion of the application.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24.5(2)</w:t>
      </w:r>
      <w:r>
        <w:rPr>
          <w:rFonts w:ascii="Times New Roman" w:hAnsi="Times New Roman"/>
          <w:b w:val="false"/>
          <w:i w:val="false"/>
          <w:color w:val="000000"/>
          <w:sz w:val="22"/>
        </w:rPr>
        <w:t> </w:t>
      </w:r>
      <w:r>
        <w:rPr>
          <w:rFonts w:ascii="Times New Roman" w:hAnsi="Times New Roman"/>
          <w:b w:val="false"/>
          <w:i w:val="false"/>
          <w:color w:val="000000"/>
          <w:sz w:val="22"/>
        </w:rPr>
        <w:t xml:space="preserve">The applicant shall have 30 days from notification of deficiencies to amend or request, for good cause, a reasonable extension of time to amend. In the event the applicant fails to amend within the time allowed or, after amendment, the application or portion thereof filed is not in substantial compliance with the requirements of rule </w:t>
      </w:r>
      <w:hyperlink r:id="rId19">
        <w:r>
          <w:rPr>
            <w:rStyle w:val="Hyperlink"/>
            <w:rFonts w:ascii="Times New Roman" w:hAnsi="Times New Roman"/>
            <w:b w:val="false"/>
            <w:i w:val="false"/>
            <w:color w:val="000000"/>
            <w:sz w:val="22"/>
          </w:rPr>
          <w:t>199—24.4(476A)</w:t>
        </w:r>
      </w:hyperlink>
      <w:r>
        <w:rPr>
          <w:rFonts w:ascii="Times New Roman" w:hAnsi="Times New Roman"/>
          <w:b w:val="false"/>
          <w:i w:val="false"/>
          <w:color w:val="000000"/>
          <w:sz w:val="22"/>
        </w:rPr>
        <w:t>, the commission may reject the application or such portion thereof. Such rejection shall constitute final agency action but shall not preclude reapplication.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24.5(3)</w:t>
      </w:r>
      <w:r>
        <w:rPr>
          <w:rFonts w:ascii="Times New Roman" w:hAnsi="Times New Roman"/>
          <w:b w:val="false"/>
          <w:i w:val="false"/>
          <w:color w:val="000000"/>
          <w:sz w:val="22"/>
        </w:rPr>
        <w:t> </w:t>
      </w:r>
      <w:r>
        <w:rPr>
          <w:rFonts w:ascii="Times New Roman" w:hAnsi="Times New Roman"/>
          <w:b w:val="false"/>
          <w:i w:val="false"/>
          <w:color w:val="000000"/>
          <w:sz w:val="22"/>
        </w:rPr>
        <w:t xml:space="preserve">If the application or portion thereof, after amendment or otherwise, is in substantial compliance with the requirements of rule </w:t>
      </w:r>
      <w:hyperlink r:id="rId20">
        <w:r>
          <w:rPr>
            <w:rStyle w:val="Hyperlink"/>
            <w:rFonts w:ascii="Times New Roman" w:hAnsi="Times New Roman"/>
            <w:b w:val="false"/>
            <w:i w:val="false"/>
            <w:color w:val="000000"/>
            <w:sz w:val="22"/>
          </w:rPr>
          <w:t>199—24.4(476A)</w:t>
        </w:r>
      </w:hyperlink>
      <w:r>
        <w:rPr>
          <w:rFonts w:ascii="Times New Roman" w:hAnsi="Times New Roman"/>
          <w:b w:val="false"/>
          <w:i w:val="false"/>
          <w:color w:val="000000"/>
          <w:sz w:val="22"/>
        </w:rPr>
        <w:t xml:space="preserve">, the commission shall, within 45 days of the filing of the application or portion thereof or amendment thereto, accept the application or portion thereof and set the time and place for hearing as provided in rule </w:t>
      </w:r>
      <w:hyperlink r:id="rId21">
        <w:r>
          <w:rPr>
            <w:rStyle w:val="Hyperlink"/>
            <w:rFonts w:ascii="Times New Roman" w:hAnsi="Times New Roman"/>
            <w:b w:val="false"/>
            <w:i w:val="false"/>
            <w:color w:val="000000"/>
            <w:sz w:val="22"/>
          </w:rPr>
          <w:t>199—24.6(476A)</w:t>
        </w:r>
      </w:hyperlink>
      <w:r>
        <w:rPr>
          <w:rFonts w:ascii="Times New Roman" w:hAnsi="Times New Roman"/>
          <w:b w:val="false"/>
          <w:i w:val="false"/>
          <w:color w:val="000000"/>
          <w:sz w:val="22"/>
        </w:rPr>
        <w:t xml:space="preserve">; provided that upon acceptance of a partial application, the commission may order separate proceedings on particular phases of the application, pursuant to rule </w:t>
      </w:r>
      <w:hyperlink r:id="rId22">
        <w:r>
          <w:rPr>
            <w:rStyle w:val="Hyperlink"/>
            <w:rFonts w:ascii="Times New Roman" w:hAnsi="Times New Roman"/>
            <w:b w:val="false"/>
            <w:i w:val="false"/>
            <w:color w:val="000000"/>
            <w:sz w:val="22"/>
          </w:rPr>
          <w:t>199—24.9(476A)</w:t>
        </w:r>
      </w:hyperlink>
      <w:r>
        <w:rPr>
          <w:rFonts w:ascii="Times New Roman" w:hAnsi="Times New Roman"/>
          <w:b w:val="false"/>
          <w:i w:val="false"/>
          <w:color w:val="000000"/>
          <w:sz w:val="22"/>
        </w:rPr>
        <w:t xml:space="preserve">, where such partial application permits a finding to be made with regard to any of the facility siting criteria contained in subrule </w:t>
      </w:r>
      <w:hyperlink r:id="rId23">
        <w:r>
          <w:rPr>
            <w:rStyle w:val="Hyperlink"/>
            <w:rFonts w:ascii="Times New Roman" w:hAnsi="Times New Roman"/>
            <w:b w:val="false"/>
            <w:i w:val="false"/>
            <w:color w:val="000000"/>
            <w:sz w:val="22"/>
          </w:rPr>
          <w:t>24.10(2)</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9182C</w:t>
      </w:r>
      <w:r>
        <w:rPr>
          <w:rFonts w:ascii="Times New Roman" w:hAnsi="Times New Roman"/>
          <w:b w:val="false"/>
          <w:i w:val="false"/>
          <w:color w:val="000000"/>
          <w:sz w:val="16"/>
        </w:rPr>
        <w:t>, IAB 4/30/25, effective 6/4/25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199—24.6</w:t>
      </w:r>
      <w:r>
        <w:rPr>
          <w:rFonts w:ascii="Times New Roman" w:hAnsi="Times New Roman"/>
          <w:b/>
          <w:i w:val="false"/>
          <w:color w:val="000000"/>
          <w:sz w:val="22"/>
        </w:rPr>
        <w:t xml:space="preserve">(476A) </w:t>
      </w:r>
      <w:r>
        <w:rPr>
          <w:rFonts w:ascii="Times New Roman" w:hAnsi="Times New Roman"/>
          <w:b/>
          <w:i w:val="false"/>
          <w:color w:val="000000"/>
          <w:sz w:val="22"/>
        </w:rPr>
        <w:t xml:space="preserve">Procedural schedule.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24.6(1)</w:t>
      </w:r>
      <w:r>
        <w:rPr>
          <w:rFonts w:ascii="Times New Roman" w:hAnsi="Times New Roman"/>
          <w:b w:val="false"/>
          <w:i w:val="false"/>
          <w:color w:val="000000"/>
          <w:sz w:val="22"/>
        </w:rPr>
        <w:t> </w:t>
      </w:r>
      <w:r>
        <w:rPr>
          <w:rFonts w:ascii="Times New Roman" w:hAnsi="Times New Roman"/>
          <w:b w:val="false"/>
          <w:i w:val="false"/>
          <w:color w:val="000000"/>
          <w:sz w:val="22"/>
        </w:rPr>
        <w:t>Upon acceptance of the application, the commission shall establish a schedule for the certification proceeding which includes: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A hearing to be commenced in accordance with rule </w:t>
      </w:r>
      <w:hyperlink r:id="rId24">
        <w:r>
          <w:rPr>
            <w:rStyle w:val="Hyperlink"/>
            <w:rFonts w:ascii="Times New Roman" w:hAnsi="Times New Roman"/>
            <w:b w:val="false"/>
            <w:i w:val="false"/>
            <w:color w:val="000000"/>
            <w:sz w:val="22"/>
          </w:rPr>
          <w:t>199—24.8(476A)</w:t>
        </w:r>
      </w:hyperlink>
      <w:r>
        <w:rPr>
          <w:rFonts w:ascii="Times New Roman" w:hAnsi="Times New Roman"/>
          <w:b w:val="false"/>
          <w:i w:val="false"/>
          <w:color w:val="000000"/>
          <w:sz w:val="22"/>
        </w:rPr>
        <w:t>, no earlier than 90 days nor later than 150 days from the date of acceptance, in the county in which the construction of the greater portion of the facility is being proposed.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Provision for the publication of notice of the schedule for the hearing held by the commission in the form provided in Iowa Code section </w:t>
      </w:r>
      <w:hyperlink r:id="rId25">
        <w:r>
          <w:rPr>
            <w:rStyle w:val="Hyperlink"/>
            <w:rFonts w:ascii="Times New Roman" w:hAnsi="Times New Roman"/>
            <w:b w:val="false"/>
            <w:i w:val="false"/>
            <w:color w:val="000000"/>
            <w:sz w:val="22"/>
          </w:rPr>
          <w:t>17A.12(2)</w:t>
        </w:r>
      </w:hyperlink>
      <w:r>
        <w:rPr>
          <w:rFonts w:ascii="Times New Roman" w:hAnsi="Times New Roman"/>
          <w:b w:val="false"/>
          <w:i w:val="false"/>
          <w:color w:val="000000"/>
          <w:sz w:val="22"/>
        </w:rPr>
        <w:t>, which notice shall be published in a newspaper of general circulation in each county in which the proposed site is located once each week for two consecutive weeks with the second publication being no later than 30 days after acceptance of the application.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24.6(2)</w:t>
      </w:r>
      <w:r>
        <w:rPr>
          <w:rFonts w:ascii="Times New Roman" w:hAnsi="Times New Roman"/>
          <w:b w:val="false"/>
          <w:i w:val="false"/>
          <w:color w:val="000000"/>
          <w:sz w:val="22"/>
        </w:rPr>
        <w:t> </w:t>
      </w:r>
      <w:r>
        <w:rPr>
          <w:rFonts w:ascii="Times New Roman" w:hAnsi="Times New Roman"/>
          <w:b w:val="false"/>
          <w:i w:val="false"/>
          <w:color w:val="000000"/>
          <w:sz w:val="22"/>
        </w:rPr>
        <w:t>The commission shall serve notice or direct the applicant to serve notice of the acceptance of the application and proceeding schedule upon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All regulatory agencies, including the Iowa department of transportation and the Iowa department of natural resources.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Interested agencies as determined by the commission, including the office of the state archaeologist and the state historic preservation office of the state historical society of Iowa.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County and city zoning authorities from the area in which the proposed site is located.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All owners of record of real property located within one mile of the intersection of the transverse center-line axis and longitudinal center-line axis of the generator, or all such generator axis intersections where the proposed facility includes multiple generators, and all owners of record of real property located within 1,000 linear feet of the proposed boundary, but outside any such one-mile radius.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All lessees of record of real property of one acre or more located within the site boundary or within 1,000 linear feet outside of the proposed site boundary.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Owners and lessees of real property for which the applicant seeks the power of eminent domain.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Other interested persons as determined by the commission.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24.6(3)</w:t>
      </w:r>
      <w:r>
        <w:rPr>
          <w:rFonts w:ascii="Times New Roman" w:hAnsi="Times New Roman"/>
          <w:b w:val="false"/>
          <w:i w:val="false"/>
          <w:color w:val="000000"/>
          <w:sz w:val="22"/>
        </w:rPr>
        <w:t> </w:t>
      </w:r>
      <w:r>
        <w:rPr>
          <w:rFonts w:ascii="Times New Roman" w:hAnsi="Times New Roman"/>
          <w:b w:val="false"/>
          <w:i w:val="false"/>
          <w:color w:val="000000"/>
          <w:sz w:val="22"/>
        </w:rPr>
        <w:t>Status of notice recipient.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Those receiving notice under paragraph </w:t>
      </w:r>
      <w:hyperlink r:id="rId26">
        <w:r>
          <w:rPr>
            <w:rStyle w:val="Hyperlink"/>
            <w:rFonts w:ascii="Times New Roman" w:hAnsi="Times New Roman"/>
            <w:b w:val="false"/>
            <w:i w:val="false"/>
            <w:color w:val="000000"/>
            <w:sz w:val="22"/>
          </w:rPr>
          <w:t>24.6(2)</w:t>
        </w:r>
      </w:hyperlink>
      <w:r>
        <w:rPr>
          <w:rFonts w:ascii="Times New Roman" w:hAnsi="Times New Roman"/>
          <w:b w:val="false"/>
          <w:i/>
          <w:color w:val="000000"/>
          <w:sz w:val="22"/>
        </w:rPr>
        <w:t>“a”</w:t>
      </w:r>
      <w:r>
        <w:rPr>
          <w:rFonts w:ascii="Times New Roman" w:hAnsi="Times New Roman"/>
          <w:b w:val="false"/>
          <w:i w:val="false"/>
          <w:color w:val="000000"/>
          <w:sz w:val="22"/>
        </w:rPr>
        <w:t xml:space="preserve"> may participate in the proceeding as a party by filing an appearance.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Such notice provided under paragraph </w:t>
      </w:r>
      <w:hyperlink r:id="rId27">
        <w:r>
          <w:rPr>
            <w:rStyle w:val="Hyperlink"/>
            <w:rFonts w:ascii="Times New Roman" w:hAnsi="Times New Roman"/>
            <w:b w:val="false"/>
            <w:i w:val="false"/>
            <w:color w:val="000000"/>
            <w:sz w:val="22"/>
          </w:rPr>
          <w:t>24.6(2)</w:t>
        </w:r>
      </w:hyperlink>
      <w:r>
        <w:rPr>
          <w:rFonts w:ascii="Times New Roman" w:hAnsi="Times New Roman"/>
          <w:b w:val="false"/>
          <w:i/>
          <w:color w:val="000000"/>
          <w:sz w:val="22"/>
        </w:rPr>
        <w:t>“b,”</w:t>
      </w:r>
      <w:r>
        <w:rPr>
          <w:rFonts w:ascii="Times New Roman" w:hAnsi="Times New Roman"/>
          <w:b w:val="false"/>
          <w:i/>
          <w:color w:val="000000"/>
          <w:sz w:val="22"/>
        </w:rPr>
        <w:t>“c,”</w:t>
      </w:r>
      <w:r>
        <w:rPr>
          <w:rFonts w:ascii="Times New Roman" w:hAnsi="Times New Roman"/>
          <w:b w:val="false"/>
          <w:i/>
          <w:color w:val="000000"/>
          <w:sz w:val="22"/>
        </w:rPr>
        <w:t xml:space="preserve">“d,” </w:t>
      </w:r>
      <w:r>
        <w:rPr>
          <w:rFonts w:ascii="Times New Roman" w:hAnsi="Times New Roman"/>
          <w:b w:val="false"/>
          <w:i/>
          <w:color w:val="000000"/>
          <w:sz w:val="22"/>
        </w:rPr>
        <w:t>“e,”</w:t>
      </w:r>
      <w:r>
        <w:rPr>
          <w:rFonts w:ascii="Times New Roman" w:hAnsi="Times New Roman"/>
          <w:b w:val="false"/>
          <w:i w:val="false"/>
          <w:color w:val="000000"/>
          <w:sz w:val="22"/>
        </w:rPr>
        <w:t xml:space="preserve"> or </w:t>
      </w:r>
      <w:r>
        <w:rPr>
          <w:rFonts w:ascii="Times New Roman" w:hAnsi="Times New Roman"/>
          <w:b w:val="false"/>
          <w:i/>
          <w:color w:val="000000"/>
          <w:sz w:val="22"/>
        </w:rPr>
        <w:t>“f”</w:t>
      </w:r>
      <w:r>
        <w:rPr>
          <w:rFonts w:ascii="Times New Roman" w:hAnsi="Times New Roman"/>
          <w:b w:val="false"/>
          <w:i w:val="false"/>
          <w:color w:val="000000"/>
          <w:sz w:val="22"/>
        </w:rPr>
        <w:t xml:space="preserve"> shall state that the recipient shall have the right to become an intervenor upon duly filing written notice of intervention.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9182C</w:t>
      </w:r>
      <w:r>
        <w:rPr>
          <w:rFonts w:ascii="Times New Roman" w:hAnsi="Times New Roman"/>
          <w:b w:val="false"/>
          <w:i w:val="false"/>
          <w:color w:val="000000"/>
          <w:sz w:val="16"/>
        </w:rPr>
        <w:t>, IAB 4/30/25, effective 6/4/25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199—24.7</w:t>
      </w:r>
      <w:r>
        <w:rPr>
          <w:rFonts w:ascii="Times New Roman" w:hAnsi="Times New Roman"/>
          <w:b/>
          <w:i w:val="false"/>
          <w:color w:val="000000"/>
          <w:sz w:val="22"/>
        </w:rPr>
        <w:t xml:space="preserve">(476A) </w:t>
      </w:r>
      <w:r>
        <w:rPr>
          <w:rFonts w:ascii="Times New Roman" w:hAnsi="Times New Roman"/>
          <w:b/>
          <w:i w:val="false"/>
          <w:color w:val="000000"/>
          <w:sz w:val="22"/>
        </w:rPr>
        <w:t xml:space="preserve">Informational meeting.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24.7(1)</w:t>
      </w:r>
      <w:r>
        <w:rPr>
          <w:rFonts w:ascii="Times New Roman" w:hAnsi="Times New Roman"/>
          <w:b w:val="false"/>
          <w:i w:val="false"/>
          <w:color w:val="000000"/>
          <w:sz w:val="22"/>
        </w:rPr>
        <w:t> </w:t>
      </w:r>
      <w:r>
        <w:rPr>
          <w:rFonts w:ascii="Times New Roman" w:hAnsi="Times New Roman"/>
          <w:b w:val="false"/>
          <w:i/>
          <w:color w:val="000000"/>
          <w:sz w:val="22"/>
        </w:rPr>
        <w:t xml:space="preserve">Place of meeting. </w:t>
      </w:r>
      <w:r>
        <w:rPr>
          <w:rFonts w:ascii="Times New Roman" w:hAnsi="Times New Roman"/>
          <w:b w:val="false"/>
          <w:i w:val="false"/>
          <w:color w:val="000000"/>
          <w:sz w:val="22"/>
        </w:rPr>
        <w:t>Not less than 30 days prior to the filing of an application, the applicant shall hold an informational meeting in the county of the proposed site for the facility. In the event the proposed site is in more than one county, such meeting shall be in that county containing the greatest portion of the proposed facility site.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24.7(2)</w:t>
      </w:r>
      <w:r>
        <w:rPr>
          <w:rFonts w:ascii="Times New Roman" w:hAnsi="Times New Roman"/>
          <w:b w:val="false"/>
          <w:i w:val="false"/>
          <w:color w:val="000000"/>
          <w:sz w:val="22"/>
        </w:rPr>
        <w:t> </w:t>
      </w:r>
      <w:r>
        <w:rPr>
          <w:rFonts w:ascii="Times New Roman" w:hAnsi="Times New Roman"/>
          <w:b w:val="false"/>
          <w:i/>
          <w:color w:val="000000"/>
          <w:sz w:val="22"/>
        </w:rPr>
        <w:t xml:space="preserve">Meeting facilities. </w:t>
      </w:r>
      <w:r>
        <w:rPr>
          <w:rFonts w:ascii="Times New Roman" w:hAnsi="Times New Roman"/>
          <w:b w:val="false"/>
          <w:i w:val="false"/>
          <w:color w:val="000000"/>
          <w:sz w:val="22"/>
        </w:rPr>
        <w:t>The applicant shall be responsible for all negotiations and compensation for a suitable facility to be used for the informational meeting, including but not limited to a building or facility that is in substantial compliance with the requirements of the Americans with Disabilities Act Accessibility Guidelines, Chapter 4, as effective on June 4, 2025, where such a building or facility is reasonably available.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24.7(3)</w:t>
      </w:r>
      <w:r>
        <w:rPr>
          <w:rFonts w:ascii="Times New Roman" w:hAnsi="Times New Roman"/>
          <w:b w:val="false"/>
          <w:i w:val="false"/>
          <w:color w:val="000000"/>
          <w:sz w:val="22"/>
        </w:rPr>
        <w:t> </w:t>
      </w:r>
      <w:r>
        <w:rPr>
          <w:rFonts w:ascii="Times New Roman" w:hAnsi="Times New Roman"/>
          <w:b w:val="false"/>
          <w:i/>
          <w:color w:val="000000"/>
          <w:sz w:val="22"/>
        </w:rPr>
        <w:t xml:space="preserve">Location. </w:t>
      </w:r>
      <w:r>
        <w:rPr>
          <w:rFonts w:ascii="Times New Roman" w:hAnsi="Times New Roman"/>
          <w:b w:val="false"/>
          <w:i w:val="false"/>
          <w:color w:val="000000"/>
          <w:sz w:val="22"/>
        </w:rPr>
        <w:t>The location of the meeting shall be reasonably accessible to all persons who may be affected by the granting of the certificate.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24.7(4)</w:t>
      </w:r>
      <w:r>
        <w:rPr>
          <w:rFonts w:ascii="Times New Roman" w:hAnsi="Times New Roman"/>
          <w:b w:val="false"/>
          <w:i w:val="false"/>
          <w:color w:val="000000"/>
          <w:sz w:val="22"/>
        </w:rPr>
        <w:t> </w:t>
      </w:r>
      <w:r>
        <w:rPr>
          <w:rFonts w:ascii="Times New Roman" w:hAnsi="Times New Roman"/>
          <w:b w:val="false"/>
          <w:i/>
          <w:color w:val="000000"/>
          <w:sz w:val="22"/>
        </w:rPr>
        <w:t xml:space="preserve">Commission approval. </w:t>
      </w:r>
      <w:r>
        <w:rPr>
          <w:rFonts w:ascii="Times New Roman" w:hAnsi="Times New Roman"/>
          <w:b w:val="false"/>
          <w:i w:val="false"/>
          <w:color w:val="000000"/>
          <w:sz w:val="22"/>
        </w:rPr>
        <w:t>Commission approval shall be obtained for the proposed informational meeting date, time, and location.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24.7(5)</w:t>
      </w:r>
      <w:r>
        <w:rPr>
          <w:rFonts w:ascii="Times New Roman" w:hAnsi="Times New Roman"/>
          <w:b w:val="false"/>
          <w:i w:val="false"/>
          <w:color w:val="000000"/>
          <w:sz w:val="22"/>
        </w:rPr>
        <w:t> </w:t>
      </w:r>
      <w:r>
        <w:rPr>
          <w:rFonts w:ascii="Times New Roman" w:hAnsi="Times New Roman"/>
          <w:b w:val="false"/>
          <w:i/>
          <w:color w:val="000000"/>
          <w:sz w:val="22"/>
        </w:rPr>
        <w:t xml:space="preserve">Personnel. </w:t>
      </w:r>
      <w:r>
        <w:rPr>
          <w:rFonts w:ascii="Times New Roman" w:hAnsi="Times New Roman"/>
          <w:b w:val="false"/>
          <w:i w:val="false"/>
          <w:color w:val="000000"/>
          <w:sz w:val="22"/>
        </w:rPr>
        <w:t>The applicant shall provide qualified personnel to speak for the applicant in matters relating to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Utility planning that has resulted in the proposed construction.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When the facility or significant alteration will be constructed.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In general terms the physical construction, appearance and location of major structures with respect to proposed property lines.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In general terms the property rights that the applicant seeks including purchase, option to buy, and easement.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Procedures to be followed in contacting affected parties for specific negotiations in acquiring property rights.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Methods and factors used in arriving at offered compensation.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Manner in which payments are made including discussion of conditional easements, signing fees and time of payment.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Other factors or damages for which compensation is made.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If the undertaking is a joint effort, other participants shall be represented at the informational meeting by qualified personnel designated to speak for them.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24.7(6)</w:t>
      </w:r>
      <w:r>
        <w:rPr>
          <w:rFonts w:ascii="Times New Roman" w:hAnsi="Times New Roman"/>
          <w:b w:val="false"/>
          <w:i w:val="false"/>
          <w:color w:val="000000"/>
          <w:sz w:val="22"/>
        </w:rPr>
        <w:t> </w:t>
      </w:r>
      <w:r>
        <w:rPr>
          <w:rFonts w:ascii="Times New Roman" w:hAnsi="Times New Roman"/>
          <w:b w:val="false"/>
          <w:i/>
          <w:color w:val="000000"/>
          <w:sz w:val="22"/>
        </w:rPr>
        <w:t xml:space="preserve">Conduct of the meeting. </w:t>
      </w:r>
      <w:r>
        <w:rPr>
          <w:rFonts w:ascii="Times New Roman" w:hAnsi="Times New Roman"/>
          <w:b w:val="false"/>
          <w:i w:val="false"/>
          <w:color w:val="000000"/>
          <w:sz w:val="22"/>
        </w:rPr>
        <w:t>A member of the commission or a presiding officer will conduct the meeting and present an agenda for such meeting, which shall include a summary of the legal rights of affected legal landowners. No formal record of the meeting is required. The meeting shall be considered an opportunity for interested members of the public to raise questions regarding the proposal and an opportunity for the applicant to respond.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24.7(7)</w:t>
      </w:r>
      <w:r>
        <w:rPr>
          <w:rFonts w:ascii="Times New Roman" w:hAnsi="Times New Roman"/>
          <w:b w:val="false"/>
          <w:i w:val="false"/>
          <w:color w:val="000000"/>
          <w:sz w:val="22"/>
        </w:rPr>
        <w:t> </w:t>
      </w:r>
      <w:r>
        <w:rPr>
          <w:rFonts w:ascii="Times New Roman" w:hAnsi="Times New Roman"/>
          <w:b w:val="false"/>
          <w:i/>
          <w:color w:val="000000"/>
          <w:sz w:val="22"/>
        </w:rPr>
        <w:t xml:space="preserve">Notice. </w:t>
      </w:r>
      <w:r>
        <w:rPr>
          <w:rFonts w:ascii="Times New Roman" w:hAnsi="Times New Roman"/>
          <w:b w:val="false"/>
          <w:i w:val="false"/>
          <w:color w:val="000000"/>
          <w:sz w:val="22"/>
        </w:rPr>
        <w:t>At least one week prior to the time set for the informational meeting, the applicant shall cause to be published a notice of such meeting in a newspaper of general circulation in each county containing a portion of the proposed site impact area. The notice of the informational meeting shall contain the following statement: Persons with disabilities requiring assistive services or devices to observe or participate should contact the commission at 515.725.7300 in advance of the scheduled date to request that appropriate arrangements be made. The applicant shall file proof of such notice in the commission’s electronic filing system. Additional notice shall be made through press release to all newspapers of general circulation in each county containing a portion of the proposed site impact area and, as deemed appropriate by the commission, electronic media.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24.7(8)</w:t>
      </w:r>
      <w:r>
        <w:rPr>
          <w:rFonts w:ascii="Times New Roman" w:hAnsi="Times New Roman"/>
          <w:b w:val="false"/>
          <w:i w:val="false"/>
          <w:color w:val="000000"/>
          <w:sz w:val="22"/>
        </w:rPr>
        <w:t> </w:t>
      </w:r>
      <w:r>
        <w:rPr>
          <w:rFonts w:ascii="Times New Roman" w:hAnsi="Times New Roman"/>
          <w:b w:val="false"/>
          <w:i/>
          <w:color w:val="000000"/>
          <w:sz w:val="22"/>
        </w:rPr>
        <w:t xml:space="preserve">Exception to informational meeting requirement. </w:t>
      </w:r>
      <w:r>
        <w:rPr>
          <w:rFonts w:ascii="Times New Roman" w:hAnsi="Times New Roman"/>
          <w:b w:val="false"/>
          <w:i w:val="false"/>
          <w:color w:val="000000"/>
          <w:sz w:val="22"/>
        </w:rPr>
        <w:t>An applicant is not required to request or hold an informational meeting if: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The applicant is seeking a generating certificate for a wind generating facility, a solar generating facility, an electric storage unit, or a combination thereof, and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applicant has acquired all necessary property rights for the project.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9182C</w:t>
      </w:r>
      <w:r>
        <w:rPr>
          <w:rFonts w:ascii="Times New Roman" w:hAnsi="Times New Roman"/>
          <w:b w:val="false"/>
          <w:i w:val="false"/>
          <w:color w:val="000000"/>
          <w:sz w:val="16"/>
        </w:rPr>
        <w:t>, IAB 4/30/25, effective 6/4/25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199—24.8</w:t>
      </w:r>
      <w:r>
        <w:rPr>
          <w:rFonts w:ascii="Times New Roman" w:hAnsi="Times New Roman"/>
          <w:b/>
          <w:i w:val="false"/>
          <w:color w:val="000000"/>
          <w:sz w:val="22"/>
        </w:rPr>
        <w:t xml:space="preserve">(476A) </w:t>
      </w:r>
      <w:r>
        <w:rPr>
          <w:rFonts w:ascii="Times New Roman" w:hAnsi="Times New Roman"/>
          <w:b/>
          <w:i w:val="false"/>
          <w:color w:val="000000"/>
          <w:sz w:val="22"/>
        </w:rPr>
        <w:t xml:space="preserve">Hearing procedure.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24.8(1)</w:t>
      </w:r>
      <w:r>
        <w:rPr>
          <w:rFonts w:ascii="Times New Roman" w:hAnsi="Times New Roman"/>
          <w:b w:val="false"/>
          <w:i w:val="false"/>
          <w:color w:val="000000"/>
          <w:sz w:val="22"/>
        </w:rPr>
        <w:t> </w:t>
      </w:r>
      <w:r>
        <w:rPr>
          <w:rFonts w:ascii="Times New Roman" w:hAnsi="Times New Roman"/>
          <w:b w:val="false"/>
          <w:i/>
          <w:color w:val="000000"/>
          <w:sz w:val="22"/>
        </w:rPr>
        <w:t xml:space="preserve">General. </w:t>
      </w:r>
      <w:r>
        <w:rPr>
          <w:rFonts w:ascii="Times New Roman" w:hAnsi="Times New Roman"/>
          <w:b w:val="false"/>
          <w:i w:val="false"/>
          <w:color w:val="000000"/>
          <w:sz w:val="22"/>
        </w:rPr>
        <w:t xml:space="preserve">The proceedings conducted by the commission pursuant to this chapter shall be treated in the same manner as a contested case pursuant to the provisions of Iowa Code chapter </w:t>
      </w:r>
      <w:hyperlink r:id="rId28">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 xml:space="preserve">. Except where contrary to express provisions below, the hearing procedure shall conform to the commission’s rules of practice and procedure, </w:t>
      </w:r>
      <w:hyperlink r:id="rId29">
        <w:r>
          <w:rPr>
            <w:rStyle w:val="Hyperlink"/>
            <w:rFonts w:ascii="Times New Roman" w:hAnsi="Times New Roman"/>
            <w:b w:val="false"/>
            <w:i w:val="false"/>
            <w:color w:val="000000"/>
            <w:sz w:val="22"/>
          </w:rPr>
          <w:t>199—Chapter 7</w:t>
        </w:r>
      </w:hyperlink>
      <w:r>
        <w:rPr>
          <w:rFonts w:ascii="Times New Roman" w:hAnsi="Times New Roman"/>
          <w:b w:val="false"/>
          <w:i w:val="false"/>
          <w:color w:val="000000"/>
          <w:sz w:val="22"/>
        </w:rPr>
        <w:t xml:space="preserve">. The proceeding for the issuance of certificate may be consolidated with the contested case proceeding for determination of applicable ratemaking principles under Iowa Code section </w:t>
      </w:r>
      <w:hyperlink r:id="rId30">
        <w:r>
          <w:rPr>
            <w:rStyle w:val="Hyperlink"/>
            <w:rFonts w:ascii="Times New Roman" w:hAnsi="Times New Roman"/>
            <w:b w:val="false"/>
            <w:i w:val="false"/>
            <w:color w:val="000000"/>
            <w:sz w:val="22"/>
          </w:rPr>
          <w:t>476.53</w:t>
        </w:r>
      </w:hyperlink>
      <w:r>
        <w:rPr>
          <w:rFonts w:ascii="Times New Roman" w:hAnsi="Times New Roman"/>
          <w:b w:val="false"/>
          <w:i w:val="false"/>
          <w:color w:val="000000"/>
          <w:sz w:val="22"/>
        </w:rPr>
        <w:t xml:space="preserv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24.8(2)</w:t>
      </w:r>
      <w:r>
        <w:rPr>
          <w:rFonts w:ascii="Times New Roman" w:hAnsi="Times New Roman"/>
          <w:b w:val="false"/>
          <w:i w:val="false"/>
          <w:color w:val="000000"/>
          <w:sz w:val="22"/>
        </w:rPr>
        <w:t> </w:t>
      </w:r>
      <w:r>
        <w:rPr>
          <w:rFonts w:ascii="Times New Roman" w:hAnsi="Times New Roman"/>
          <w:b w:val="false"/>
          <w:i/>
          <w:color w:val="000000"/>
          <w:sz w:val="22"/>
        </w:rPr>
        <w:t xml:space="preserve">Intervention.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Notice of intervention. </w:t>
      </w:r>
      <w:r>
        <w:rPr>
          <w:rFonts w:ascii="Times New Roman" w:hAnsi="Times New Roman"/>
          <w:b w:val="false"/>
          <w:i w:val="false"/>
          <w:color w:val="000000"/>
          <w:sz w:val="22"/>
        </w:rPr>
        <w:t xml:space="preserve">An agency not receiving notice pursuant to paragraph </w:t>
      </w:r>
      <w:hyperlink r:id="rId31">
        <w:r>
          <w:rPr>
            <w:rStyle w:val="Hyperlink"/>
            <w:rFonts w:ascii="Times New Roman" w:hAnsi="Times New Roman"/>
            <w:b w:val="false"/>
            <w:i w:val="false"/>
            <w:color w:val="000000"/>
            <w:sz w:val="22"/>
          </w:rPr>
          <w:t>24.6(2)</w:t>
        </w:r>
      </w:hyperlink>
      <w:r>
        <w:rPr>
          <w:rFonts w:ascii="Times New Roman" w:hAnsi="Times New Roman"/>
          <w:b w:val="false"/>
          <w:i/>
          <w:color w:val="000000"/>
          <w:sz w:val="22"/>
        </w:rPr>
        <w:t>“b”</w:t>
      </w:r>
      <w:r>
        <w:rPr>
          <w:rFonts w:ascii="Times New Roman" w:hAnsi="Times New Roman"/>
          <w:b w:val="false"/>
          <w:i w:val="false"/>
          <w:color w:val="000000"/>
          <w:sz w:val="22"/>
        </w:rPr>
        <w:t xml:space="preserve"> may become a party to the contested case proceeding by filing a notice of intervention. Such notice shall contain a statement of the jurisdiction or interest of the particular agency with respect to the proposed facility.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Petition to intervene. </w:t>
      </w:r>
      <w:r>
        <w:rPr>
          <w:rFonts w:ascii="Times New Roman" w:hAnsi="Times New Roman"/>
          <w:b w:val="false"/>
          <w:i w:val="false"/>
          <w:color w:val="000000"/>
          <w:sz w:val="22"/>
        </w:rPr>
        <w:t xml:space="preserve">Any other person wishing to become a party to the contested case proceeding may request to intervene in the proceeding by filing a petition to intervene pursuant to rule </w:t>
      </w:r>
      <w:hyperlink r:id="rId32">
        <w:r>
          <w:rPr>
            <w:rStyle w:val="Hyperlink"/>
            <w:rFonts w:ascii="Times New Roman" w:hAnsi="Times New Roman"/>
            <w:b w:val="false"/>
            <w:i w:val="false"/>
            <w:color w:val="000000"/>
            <w:sz w:val="22"/>
          </w:rPr>
          <w:t>199—7.13</w:t>
        </w:r>
      </w:hyperlink>
      <w:r>
        <w:rPr>
          <w:rFonts w:ascii="Times New Roman" w:hAnsi="Times New Roman"/>
          <w:b w:val="false"/>
          <w:i w:val="false"/>
          <w:color w:val="000000"/>
          <w:sz w:val="22"/>
        </w:rPr>
        <w:t>(17A,476) by the deadline set in the procedural schedule.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Commission discretion. </w:t>
      </w:r>
      <w:r>
        <w:rPr>
          <w:rFonts w:ascii="Times New Roman" w:hAnsi="Times New Roman"/>
          <w:b w:val="false"/>
          <w:i w:val="false"/>
          <w:color w:val="000000"/>
          <w:sz w:val="22"/>
        </w:rPr>
        <w:t xml:space="preserve">The commission may, in its discretion, grant or deny such petition in accordance with rule </w:t>
      </w:r>
      <w:hyperlink r:id="rId33">
        <w:r>
          <w:rPr>
            <w:rStyle w:val="Hyperlink"/>
            <w:rFonts w:ascii="Times New Roman" w:hAnsi="Times New Roman"/>
            <w:b w:val="false"/>
            <w:i w:val="false"/>
            <w:color w:val="000000"/>
            <w:sz w:val="22"/>
          </w:rPr>
          <w:t>199—7.13</w:t>
        </w:r>
      </w:hyperlink>
      <w:r>
        <w:rPr>
          <w:rFonts w:ascii="Times New Roman" w:hAnsi="Times New Roman"/>
          <w:b w:val="false"/>
          <w:i w:val="false"/>
          <w:color w:val="000000"/>
          <w:sz w:val="22"/>
        </w:rPr>
        <w:t>(17A,476).</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24.8(3)</w:t>
      </w:r>
      <w:r>
        <w:rPr>
          <w:rFonts w:ascii="Times New Roman" w:hAnsi="Times New Roman"/>
          <w:b w:val="false"/>
          <w:i w:val="false"/>
          <w:color w:val="000000"/>
          <w:sz w:val="22"/>
        </w:rPr>
        <w:t> </w:t>
      </w:r>
      <w:r>
        <w:rPr>
          <w:rFonts w:ascii="Times New Roman" w:hAnsi="Times New Roman"/>
          <w:b w:val="false"/>
          <w:i/>
          <w:color w:val="000000"/>
          <w:sz w:val="22"/>
        </w:rPr>
        <w:t xml:space="preserve">Appearance. </w:t>
      </w:r>
      <w:r>
        <w:rPr>
          <w:rFonts w:ascii="Times New Roman" w:hAnsi="Times New Roman"/>
          <w:b w:val="false"/>
          <w:i w:val="false"/>
          <w:color w:val="000000"/>
          <w:sz w:val="22"/>
        </w:rPr>
        <w:t>If any regulatory agency fails to appear of record in the contested case proceeding conducted by the commission, the commission shall conclusively presume that the facility meets the regulatory agency’s permit and licensing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24.8(4)</w:t>
      </w:r>
      <w:r>
        <w:rPr>
          <w:rFonts w:ascii="Times New Roman" w:hAnsi="Times New Roman"/>
          <w:b w:val="false"/>
          <w:i w:val="false"/>
          <w:color w:val="000000"/>
          <w:sz w:val="22"/>
        </w:rPr>
        <w:t> </w:t>
      </w:r>
      <w:r>
        <w:rPr>
          <w:rFonts w:ascii="Times New Roman" w:hAnsi="Times New Roman"/>
          <w:b w:val="false"/>
          <w:i/>
          <w:color w:val="000000"/>
          <w:sz w:val="22"/>
        </w:rPr>
        <w:t xml:space="preserve">Application for rehearing. </w:t>
      </w:r>
      <w:r>
        <w:rPr>
          <w:rFonts w:ascii="Times New Roman" w:hAnsi="Times New Roman"/>
          <w:b w:val="false"/>
          <w:i w:val="false"/>
          <w:color w:val="000000"/>
          <w:sz w:val="22"/>
        </w:rPr>
        <w:t xml:space="preserve">All applications for rehearing will be made and processed in accordance with Iowa Code sections </w:t>
      </w:r>
      <w:hyperlink r:id="rId34">
        <w:r>
          <w:rPr>
            <w:rStyle w:val="Hyperlink"/>
            <w:rFonts w:ascii="Times New Roman" w:hAnsi="Times New Roman"/>
            <w:b w:val="false"/>
            <w:i w:val="false"/>
            <w:color w:val="000000"/>
            <w:sz w:val="22"/>
          </w:rPr>
          <w:t>17A.16(2)</w:t>
        </w:r>
      </w:hyperlink>
      <w:r>
        <w:rPr>
          <w:rFonts w:ascii="Times New Roman" w:hAnsi="Times New Roman"/>
          <w:b w:val="false"/>
          <w:i w:val="false"/>
          <w:color w:val="000000"/>
          <w:sz w:val="22"/>
        </w:rPr>
        <w:t xml:space="preserve"> and </w:t>
      </w:r>
      <w:hyperlink r:id="rId35">
        <w:r>
          <w:rPr>
            <w:rStyle w:val="Hyperlink"/>
            <w:rFonts w:ascii="Times New Roman" w:hAnsi="Times New Roman"/>
            <w:b w:val="false"/>
            <w:i w:val="false"/>
            <w:color w:val="000000"/>
            <w:sz w:val="22"/>
          </w:rPr>
          <w:t>476.12</w:t>
        </w:r>
      </w:hyperlink>
      <w:r>
        <w:rPr>
          <w:rFonts w:ascii="Times New Roman" w:hAnsi="Times New Roman"/>
          <w:b w:val="false"/>
          <w:i w:val="false"/>
          <w:color w:val="000000"/>
          <w:sz w:val="22"/>
        </w:rPr>
        <w:t xml:space="preserve"> and rule </w:t>
      </w:r>
      <w:hyperlink r:id="rId36">
        <w:r>
          <w:rPr>
            <w:rStyle w:val="Hyperlink"/>
            <w:rFonts w:ascii="Times New Roman" w:hAnsi="Times New Roman"/>
            <w:b w:val="false"/>
            <w:i w:val="false"/>
            <w:color w:val="000000"/>
            <w:sz w:val="22"/>
          </w:rPr>
          <w:t>199—7.27</w:t>
        </w:r>
      </w:hyperlink>
      <w:r>
        <w:rPr>
          <w:rFonts w:ascii="Times New Roman" w:hAnsi="Times New Roman"/>
          <w:b w:val="false"/>
          <w:i w:val="false"/>
          <w:color w:val="000000"/>
          <w:sz w:val="22"/>
        </w:rPr>
        <w:t>(17A,476).</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9182C</w:t>
      </w:r>
      <w:r>
        <w:rPr>
          <w:rFonts w:ascii="Times New Roman" w:hAnsi="Times New Roman"/>
          <w:b w:val="false"/>
          <w:i w:val="false"/>
          <w:color w:val="000000"/>
          <w:sz w:val="16"/>
        </w:rPr>
        <w:t>, IAB 4/30/25, effective 6/4/25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199—24.9</w:t>
      </w:r>
      <w:r>
        <w:rPr>
          <w:rFonts w:ascii="Times New Roman" w:hAnsi="Times New Roman"/>
          <w:b/>
          <w:i w:val="false"/>
          <w:color w:val="000000"/>
          <w:sz w:val="22"/>
        </w:rPr>
        <w:t xml:space="preserve">(476A) </w:t>
      </w:r>
      <w:r>
        <w:rPr>
          <w:rFonts w:ascii="Times New Roman" w:hAnsi="Times New Roman"/>
          <w:b/>
          <w:i w:val="false"/>
          <w:color w:val="000000"/>
          <w:sz w:val="22"/>
        </w:rPr>
        <w:t xml:space="preserve">Separate hearings on separate issues.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24.9(1)</w:t>
      </w:r>
      <w:r>
        <w:rPr>
          <w:rFonts w:ascii="Times New Roman" w:hAnsi="Times New Roman"/>
          <w:b w:val="false"/>
          <w:i w:val="false"/>
          <w:color w:val="000000"/>
          <w:sz w:val="22"/>
        </w:rPr>
        <w:t> </w:t>
      </w:r>
      <w:r>
        <w:rPr>
          <w:rFonts w:ascii="Times New Roman" w:hAnsi="Times New Roman"/>
          <w:b w:val="false"/>
          <w:i/>
          <w:color w:val="000000"/>
          <w:sz w:val="22"/>
        </w:rPr>
        <w:t xml:space="preserve">By motion. </w:t>
      </w:r>
      <w:r>
        <w:rPr>
          <w:rFonts w:ascii="Times New Roman" w:hAnsi="Times New Roman"/>
          <w:b w:val="false"/>
          <w:i w:val="false"/>
          <w:color w:val="000000"/>
          <w:sz w:val="22"/>
        </w:rPr>
        <w:t xml:space="preserve">The commission, upon its own motion or on the motion of the applicant, may order separate phases on particular issues of the proceeding. Each phase shall be addressed to issues involved in applying one or more of the facility siting criteria set forth in subrule </w:t>
      </w:r>
      <w:hyperlink r:id="rId37">
        <w:r>
          <w:rPr>
            <w:rStyle w:val="Hyperlink"/>
            <w:rFonts w:ascii="Times New Roman" w:hAnsi="Times New Roman"/>
            <w:b w:val="false"/>
            <w:i w:val="false"/>
            <w:color w:val="000000"/>
            <w:sz w:val="22"/>
          </w:rPr>
          <w:t>24.10(2)</w:t>
        </w:r>
      </w:hyperlink>
      <w:r>
        <w:rPr>
          <w:rFonts w:ascii="Times New Roman" w:hAnsi="Times New Roman"/>
          <w:b w:val="false"/>
          <w:i w:val="false"/>
          <w:color w:val="000000"/>
          <w:sz w:val="22"/>
        </w:rPr>
        <w:t xml:space="preserve"> and shall result in commission findings with respect thereto.</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24.9(2)</w:t>
      </w:r>
      <w:r>
        <w:rPr>
          <w:rFonts w:ascii="Times New Roman" w:hAnsi="Times New Roman"/>
          <w:b w:val="false"/>
          <w:i w:val="false"/>
          <w:color w:val="000000"/>
          <w:sz w:val="22"/>
        </w:rPr>
        <w:t> </w:t>
      </w:r>
      <w:r>
        <w:rPr>
          <w:rFonts w:ascii="Times New Roman" w:hAnsi="Times New Roman"/>
          <w:b w:val="false"/>
          <w:i/>
          <w:color w:val="000000"/>
          <w:sz w:val="22"/>
        </w:rPr>
        <w:t xml:space="preserve">By agreement. </w:t>
      </w:r>
      <w:r>
        <w:rPr>
          <w:rFonts w:ascii="Times New Roman" w:hAnsi="Times New Roman"/>
          <w:b w:val="false"/>
          <w:i w:val="false"/>
          <w:color w:val="000000"/>
          <w:sz w:val="22"/>
        </w:rPr>
        <w:t xml:space="preserve">In accordance with agreements made pursuant to Iowa Code chapter </w:t>
      </w:r>
      <w:hyperlink r:id="rId38">
        <w:r>
          <w:rPr>
            <w:rStyle w:val="Hyperlink"/>
            <w:rFonts w:ascii="Times New Roman" w:hAnsi="Times New Roman"/>
            <w:b w:val="false"/>
            <w:i w:val="false"/>
            <w:color w:val="000000"/>
            <w:sz w:val="22"/>
          </w:rPr>
          <w:t>28E</w:t>
        </w:r>
      </w:hyperlink>
      <w:r>
        <w:rPr>
          <w:rFonts w:ascii="Times New Roman" w:hAnsi="Times New Roman"/>
          <w:b w:val="false"/>
          <w:i w:val="false"/>
          <w:color w:val="000000"/>
          <w:sz w:val="22"/>
        </w:rPr>
        <w:t>, with regulatory agencies, the commission may establish separate phases of the hearing process to determine whether the proposed facility will conform to the permit and licensing requirements of the regulatory agencies.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24.9(3)</w:t>
      </w:r>
      <w:r>
        <w:rPr>
          <w:rFonts w:ascii="Times New Roman" w:hAnsi="Times New Roman"/>
          <w:b w:val="false"/>
          <w:i w:val="false"/>
          <w:color w:val="000000"/>
          <w:sz w:val="22"/>
        </w:rPr>
        <w:t> </w:t>
      </w:r>
      <w:r>
        <w:rPr>
          <w:rFonts w:ascii="Times New Roman" w:hAnsi="Times New Roman"/>
          <w:b w:val="false"/>
          <w:i/>
          <w:color w:val="000000"/>
          <w:sz w:val="22"/>
        </w:rPr>
        <w:t xml:space="preserve">Procedure. </w:t>
      </w:r>
      <w:r>
        <w:rPr>
          <w:rFonts w:ascii="Times New Roman" w:hAnsi="Times New Roman"/>
          <w:b w:val="false"/>
          <w:i w:val="false"/>
          <w:color w:val="000000"/>
          <w:sz w:val="22"/>
        </w:rPr>
        <w:t xml:space="preserve">Each such hearing phase shall be conducted in conformance with the requirements of rule </w:t>
      </w:r>
      <w:hyperlink r:id="rId39">
        <w:r>
          <w:rPr>
            <w:rStyle w:val="Hyperlink"/>
            <w:rFonts w:ascii="Times New Roman" w:hAnsi="Times New Roman"/>
            <w:b w:val="false"/>
            <w:i w:val="false"/>
            <w:color w:val="000000"/>
            <w:sz w:val="22"/>
          </w:rPr>
          <w:t>199—24.8</w:t>
        </w:r>
      </w:hyperlink>
      <w:r>
        <w:rPr>
          <w:rFonts w:ascii="Times New Roman" w:hAnsi="Times New Roman"/>
          <w:b w:val="false"/>
          <w:i w:val="false"/>
          <w:color w:val="000000"/>
          <w:sz w:val="22"/>
        </w:rPr>
        <w:t xml:space="preserve">(476A) or other rules of practice and procedure designated in the applicable chapter </w:t>
      </w:r>
      <w:hyperlink r:id="rId40">
        <w:r>
          <w:rPr>
            <w:rStyle w:val="Hyperlink"/>
            <w:rFonts w:ascii="Times New Roman" w:hAnsi="Times New Roman"/>
            <w:b w:val="false"/>
            <w:i w:val="false"/>
            <w:color w:val="000000"/>
            <w:sz w:val="22"/>
          </w:rPr>
          <w:t>28E</w:t>
        </w:r>
      </w:hyperlink>
      <w:r>
        <w:rPr>
          <w:rFonts w:ascii="Times New Roman" w:hAnsi="Times New Roman"/>
          <w:b w:val="false"/>
          <w:i w:val="false"/>
          <w:color w:val="000000"/>
          <w:sz w:val="22"/>
        </w:rPr>
        <w:t xml:space="preserve"> agreement.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9182C</w:t>
      </w:r>
      <w:r>
        <w:rPr>
          <w:rFonts w:ascii="Times New Roman" w:hAnsi="Times New Roman"/>
          <w:b w:val="false"/>
          <w:i w:val="false"/>
          <w:color w:val="000000"/>
          <w:sz w:val="16"/>
        </w:rPr>
        <w:t>, IAB 4/30/25, effective 6/4/25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199—24.10</w:t>
      </w:r>
      <w:r>
        <w:rPr>
          <w:rFonts w:ascii="Times New Roman" w:hAnsi="Times New Roman"/>
          <w:b/>
          <w:i w:val="false"/>
          <w:color w:val="000000"/>
          <w:sz w:val="22"/>
        </w:rPr>
        <w:t xml:space="preserve">(476A) </w:t>
      </w:r>
      <w:r>
        <w:rPr>
          <w:rFonts w:ascii="Times New Roman" w:hAnsi="Times New Roman"/>
          <w:b/>
          <w:i w:val="false"/>
          <w:color w:val="000000"/>
          <w:sz w:val="22"/>
        </w:rPr>
        <w:t xml:space="preserve">Certification decision.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24.10(1)</w:t>
      </w:r>
      <w:r>
        <w:rPr>
          <w:rFonts w:ascii="Times New Roman" w:hAnsi="Times New Roman"/>
          <w:b w:val="false"/>
          <w:i w:val="false"/>
          <w:color w:val="000000"/>
          <w:sz w:val="22"/>
        </w:rPr>
        <w:t> </w:t>
      </w:r>
      <w:r>
        <w:rPr>
          <w:rFonts w:ascii="Times New Roman" w:hAnsi="Times New Roman"/>
          <w:b w:val="false"/>
          <w:i/>
          <w:color w:val="000000"/>
          <w:sz w:val="22"/>
        </w:rPr>
        <w:t xml:space="preserve">Issuance of decision. </w:t>
      </w:r>
      <w:r>
        <w:rPr>
          <w:rFonts w:ascii="Times New Roman" w:hAnsi="Times New Roman"/>
          <w:b w:val="false"/>
          <w:i w:val="false"/>
          <w:color w:val="000000"/>
          <w:sz w:val="22"/>
        </w:rPr>
        <w:t>Upon the close of the record in the proceeding, the commission shall expeditiously render a written decision with complete determinations as to the facility siting criteria or portion thereof under consideration, other necessary findings of fact or conclusions of law necessary to support the commission’s decision.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24.10(2)</w:t>
      </w:r>
      <w:r>
        <w:rPr>
          <w:rFonts w:ascii="Times New Roman" w:hAnsi="Times New Roman"/>
          <w:b w:val="false"/>
          <w:i w:val="false"/>
          <w:color w:val="000000"/>
          <w:sz w:val="22"/>
        </w:rPr>
        <w:t> </w:t>
      </w:r>
      <w:r>
        <w:rPr>
          <w:rFonts w:ascii="Times New Roman" w:hAnsi="Times New Roman"/>
          <w:b w:val="false"/>
          <w:i/>
          <w:color w:val="000000"/>
          <w:sz w:val="22"/>
        </w:rPr>
        <w:t xml:space="preserve">Facility siting criteria. </w:t>
      </w:r>
      <w:r>
        <w:rPr>
          <w:rFonts w:ascii="Times New Roman" w:hAnsi="Times New Roman"/>
          <w:b w:val="false"/>
          <w:i w:val="false"/>
          <w:color w:val="000000"/>
          <w:sz w:val="22"/>
        </w:rPr>
        <w:t>In rendering its certification decision, the commission shall consider the following criteria: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Whether the service and operations resulting from the construction of the facility are consistent with the legislative intent as expressed in Iowa Code section </w:t>
      </w:r>
      <w:hyperlink r:id="rId41">
        <w:r>
          <w:rPr>
            <w:rStyle w:val="Hyperlink"/>
            <w:rFonts w:ascii="Times New Roman" w:hAnsi="Times New Roman"/>
            <w:b w:val="false"/>
            <w:i w:val="false"/>
            <w:color w:val="000000"/>
            <w:sz w:val="22"/>
          </w:rPr>
          <w:t>476.53</w:t>
        </w:r>
      </w:hyperlink>
      <w:r>
        <w:rPr>
          <w:rFonts w:ascii="Times New Roman" w:hAnsi="Times New Roman"/>
          <w:b w:val="false"/>
          <w:i w:val="false"/>
          <w:color w:val="000000"/>
          <w:sz w:val="22"/>
        </w:rPr>
        <w:t xml:space="preserve"> and the economic development policy of the state as expressed in Iowa Code Title I, Subtitle 5, and will not be detrimental to the provision of adequate and reliable electric service, including whether the existing transmission network has the capability to reliably support the proposed additional generation interconnection to the network.</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Whether the construction, maintenance, and operation of the proposed facility will be consistent with reasonable land use and environmental policies, and consonant with reasonable utilization of air, land, and water resources, considering available technology and the economics of available alternatives. Such determination shall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Whether all adverse impacts attendant the construction, maintenance, and operation of the facility have been reduced to a reasonably acceptable level;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Whether the proposed site represents a reasonable choice among available alternatives;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Whether the proposed facility complies with applicable city, county, or airport zoning requirements and, if not, whether the location of the proposed facility at the proposed site is reasonably justified from an economic, technical, and social standpoint.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Whether the applicant is willing to construct, maintain, and operate the facility pursuant to the provisions of the certificate and the Act.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Whether the proposed facility meets the permit and licensing requirements of regulatory agencies.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24.10(3)</w:t>
      </w:r>
      <w:r>
        <w:rPr>
          <w:rFonts w:ascii="Times New Roman" w:hAnsi="Times New Roman"/>
          <w:b w:val="false"/>
          <w:i w:val="false"/>
          <w:color w:val="000000"/>
          <w:sz w:val="22"/>
        </w:rPr>
        <w:t> </w:t>
      </w:r>
      <w:r>
        <w:rPr>
          <w:rFonts w:ascii="Times New Roman" w:hAnsi="Times New Roman"/>
          <w:b w:val="false"/>
          <w:i/>
          <w:color w:val="000000"/>
          <w:sz w:val="22"/>
        </w:rPr>
        <w:t xml:space="preserve">Amendment. </w:t>
      </w:r>
      <w:r>
        <w:rPr>
          <w:rFonts w:ascii="Times New Roman" w:hAnsi="Times New Roman"/>
          <w:b w:val="false"/>
          <w:i w:val="false"/>
          <w:color w:val="000000"/>
          <w:sz w:val="22"/>
        </w:rPr>
        <w:t>If the commission finds that the application and record in the proceeding does not support affirmative findings with regard to these criteria, the commission will, in its order, specify any deficiencies determined to exist and the applicant may, within 30 days from the commission’s order, amend or, for good cause, request a reasonable extension of time to amend the application, or to request reopening of the record to correct the deficiencies, or both.</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24.10(4)</w:t>
      </w:r>
      <w:r>
        <w:rPr>
          <w:rFonts w:ascii="Times New Roman" w:hAnsi="Times New Roman"/>
          <w:b w:val="false"/>
          <w:i w:val="false"/>
          <w:color w:val="000000"/>
          <w:sz w:val="22"/>
        </w:rPr>
        <w:t> </w:t>
      </w:r>
      <w:r>
        <w:rPr>
          <w:rFonts w:ascii="Times New Roman" w:hAnsi="Times New Roman"/>
          <w:b w:val="false"/>
          <w:i/>
          <w:color w:val="000000"/>
          <w:sz w:val="22"/>
        </w:rPr>
        <w:t xml:space="preserve">Denial. </w:t>
      </w:r>
      <w:r>
        <w:rPr>
          <w:rFonts w:ascii="Times New Roman" w:hAnsi="Times New Roman"/>
          <w:b w:val="false"/>
          <w:i w:val="false"/>
          <w:color w:val="000000"/>
          <w:sz w:val="22"/>
        </w:rPr>
        <w:t xml:space="preserve">In the event the applicant fails to amend in a timely fashion, or after amendment or reopening the record, or both, the commission remains unable to make an affirmative finding, the commission will deny the application. The applicant may request rehearing on such denial in accordance with Iowa Code sections </w:t>
      </w:r>
      <w:hyperlink r:id="rId42">
        <w:r>
          <w:rPr>
            <w:rStyle w:val="Hyperlink"/>
            <w:rFonts w:ascii="Times New Roman" w:hAnsi="Times New Roman"/>
            <w:b w:val="false"/>
            <w:i w:val="false"/>
            <w:color w:val="000000"/>
            <w:sz w:val="22"/>
          </w:rPr>
          <w:t>17A.16(2)</w:t>
        </w:r>
      </w:hyperlink>
      <w:r>
        <w:rPr>
          <w:rFonts w:ascii="Times New Roman" w:hAnsi="Times New Roman"/>
          <w:b w:val="false"/>
          <w:i w:val="false"/>
          <w:color w:val="000000"/>
          <w:sz w:val="22"/>
        </w:rPr>
        <w:t xml:space="preserve"> and </w:t>
      </w:r>
      <w:hyperlink r:id="rId43">
        <w:r>
          <w:rPr>
            <w:rStyle w:val="Hyperlink"/>
            <w:rFonts w:ascii="Times New Roman" w:hAnsi="Times New Roman"/>
            <w:b w:val="false"/>
            <w:i w:val="false"/>
            <w:color w:val="000000"/>
            <w:sz w:val="22"/>
          </w:rPr>
          <w:t>476.12</w:t>
        </w:r>
      </w:hyperlink>
      <w:r>
        <w:rPr>
          <w:rFonts w:ascii="Times New Roman" w:hAnsi="Times New Roman"/>
          <w:b w:val="false"/>
          <w:i w:val="false"/>
          <w:color w:val="000000"/>
          <w:sz w:val="22"/>
        </w:rPr>
        <w:t xml:space="preserve"> and rule </w:t>
      </w:r>
      <w:hyperlink r:id="rId44">
        <w:r>
          <w:rPr>
            <w:rStyle w:val="Hyperlink"/>
            <w:rFonts w:ascii="Times New Roman" w:hAnsi="Times New Roman"/>
            <w:b w:val="false"/>
            <w:i w:val="false"/>
            <w:color w:val="000000"/>
            <w:sz w:val="22"/>
          </w:rPr>
          <w:t>199—7.27</w:t>
        </w:r>
      </w:hyperlink>
      <w:r>
        <w:rPr>
          <w:rFonts w:ascii="Times New Roman" w:hAnsi="Times New Roman"/>
          <w:b w:val="false"/>
          <w:i w:val="false"/>
          <w:color w:val="000000"/>
          <w:sz w:val="22"/>
        </w:rPr>
        <w:t>(17A,476).</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24.10(5)</w:t>
      </w:r>
      <w:r>
        <w:rPr>
          <w:rFonts w:ascii="Times New Roman" w:hAnsi="Times New Roman"/>
          <w:b w:val="false"/>
          <w:i w:val="false"/>
          <w:color w:val="000000"/>
          <w:sz w:val="22"/>
        </w:rPr>
        <w:t> </w:t>
      </w:r>
      <w:r>
        <w:rPr>
          <w:rFonts w:ascii="Times New Roman" w:hAnsi="Times New Roman"/>
          <w:b w:val="false"/>
          <w:i/>
          <w:color w:val="000000"/>
          <w:sz w:val="22"/>
        </w:rPr>
        <w:t xml:space="preserve">Application approval. </w:t>
      </w:r>
      <w:r>
        <w:rPr>
          <w:rFonts w:ascii="Times New Roman" w:hAnsi="Times New Roman"/>
          <w:b w:val="false"/>
          <w:i w:val="false"/>
          <w:color w:val="000000"/>
          <w:sz w:val="22"/>
        </w:rPr>
        <w:t xml:space="preserve">If the commission finds that the criteria support the issuance of a certificate, the commission will approve the application and, in accordance with rule </w:t>
      </w:r>
      <w:hyperlink r:id="rId45">
        <w:r>
          <w:rPr>
            <w:rStyle w:val="Hyperlink"/>
            <w:rFonts w:ascii="Times New Roman" w:hAnsi="Times New Roman"/>
            <w:b w:val="false"/>
            <w:i w:val="false"/>
            <w:color w:val="000000"/>
            <w:sz w:val="22"/>
          </w:rPr>
          <w:t>199—24.12(476A)</w:t>
        </w:r>
      </w:hyperlink>
      <w:r>
        <w:rPr>
          <w:rFonts w:ascii="Times New Roman" w:hAnsi="Times New Roman"/>
          <w:b w:val="false"/>
          <w:i w:val="false"/>
          <w:color w:val="000000"/>
          <w:sz w:val="22"/>
        </w:rPr>
        <w:t>, prepare a certificate for the facility.</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9182C</w:t>
      </w:r>
      <w:r>
        <w:rPr>
          <w:rFonts w:ascii="Times New Roman" w:hAnsi="Times New Roman"/>
          <w:b w:val="false"/>
          <w:i w:val="false"/>
          <w:color w:val="000000"/>
          <w:sz w:val="16"/>
        </w:rPr>
        <w:t>, IAB 4/30/25, effective 6/4/25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199—24.11</w:t>
      </w:r>
      <w:r>
        <w:rPr>
          <w:rFonts w:ascii="Times New Roman" w:hAnsi="Times New Roman"/>
          <w:b/>
          <w:i w:val="false"/>
          <w:color w:val="000000"/>
          <w:sz w:val="22"/>
        </w:rPr>
        <w:t xml:space="preserve">(476A) </w:t>
      </w:r>
      <w:r>
        <w:rPr>
          <w:rFonts w:ascii="Times New Roman" w:hAnsi="Times New Roman"/>
          <w:b/>
          <w:i w:val="false"/>
          <w:color w:val="000000"/>
          <w:sz w:val="22"/>
        </w:rPr>
        <w:t xml:space="preserve">Site preparation.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24.11(1)</w:t>
      </w:r>
      <w:r>
        <w:rPr>
          <w:rFonts w:ascii="Times New Roman" w:hAnsi="Times New Roman"/>
          <w:b w:val="false"/>
          <w:i w:val="false"/>
          <w:color w:val="000000"/>
          <w:sz w:val="22"/>
        </w:rPr>
        <w:t> </w:t>
      </w:r>
      <w:r>
        <w:rPr>
          <w:rFonts w:ascii="Times New Roman" w:hAnsi="Times New Roman"/>
          <w:b w:val="false"/>
          <w:i w:val="false"/>
          <w:color w:val="000000"/>
          <w:sz w:val="22"/>
        </w:rPr>
        <w:t>In the event no certificate has been issued after 90 days from the commencement of the hearing, the commission may permit the applicant to begin work to prepare the site for construction of the facility. Any activities conducted pursuant to this rule shall have no probative value to the commission’s decision concerning the actual issuance of a certificate.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24.11(2)</w:t>
      </w:r>
      <w:r>
        <w:rPr>
          <w:rFonts w:ascii="Times New Roman" w:hAnsi="Times New Roman"/>
          <w:b w:val="false"/>
          <w:i w:val="false"/>
          <w:color w:val="000000"/>
          <w:sz w:val="22"/>
        </w:rPr>
        <w:t> </w:t>
      </w:r>
      <w:r>
        <w:rPr>
          <w:rFonts w:ascii="Times New Roman" w:hAnsi="Times New Roman"/>
          <w:b w:val="false"/>
          <w:i w:val="false"/>
          <w:color w:val="000000"/>
          <w:sz w:val="22"/>
        </w:rPr>
        <w:t xml:space="preserve">In the event the commission denies an application for a certificate or an amendment to a certificate, applicants who have received permission to begin site preparation, pursuant to subrule </w:t>
      </w:r>
      <w:hyperlink r:id="rId46">
        <w:r>
          <w:rPr>
            <w:rStyle w:val="Hyperlink"/>
            <w:rFonts w:ascii="Times New Roman" w:hAnsi="Times New Roman"/>
            <w:b w:val="false"/>
            <w:i w:val="false"/>
            <w:color w:val="000000"/>
            <w:sz w:val="22"/>
          </w:rPr>
          <w:t>24.11(1)</w:t>
        </w:r>
      </w:hyperlink>
      <w:r>
        <w:rPr>
          <w:rFonts w:ascii="Times New Roman" w:hAnsi="Times New Roman"/>
          <w:b w:val="false"/>
          <w:i w:val="false"/>
          <w:color w:val="000000"/>
          <w:sz w:val="22"/>
        </w:rPr>
        <w:t xml:space="preserve">, shall restore the site, in accordance with the commission order denying the application. </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9182C</w:t>
      </w:r>
      <w:r>
        <w:rPr>
          <w:rFonts w:ascii="Times New Roman" w:hAnsi="Times New Roman"/>
          <w:b w:val="false"/>
          <w:i w:val="false"/>
          <w:color w:val="000000"/>
          <w:sz w:val="16"/>
        </w:rPr>
        <w:t>, IAB 4/30/25, effective 6/4/25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199—24.12</w:t>
      </w:r>
      <w:r>
        <w:rPr>
          <w:rFonts w:ascii="Times New Roman" w:hAnsi="Times New Roman"/>
          <w:b/>
          <w:i w:val="false"/>
          <w:color w:val="000000"/>
          <w:sz w:val="22"/>
        </w:rPr>
        <w:t xml:space="preserve">(476A) </w:t>
      </w:r>
      <w:r>
        <w:rPr>
          <w:rFonts w:ascii="Times New Roman" w:hAnsi="Times New Roman"/>
          <w:b/>
          <w:i w:val="false"/>
          <w:color w:val="000000"/>
          <w:sz w:val="22"/>
        </w:rPr>
        <w:t xml:space="preserve">Issuance of a certificate.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24.12(1)</w:t>
      </w:r>
      <w:r>
        <w:rPr>
          <w:rFonts w:ascii="Times New Roman" w:hAnsi="Times New Roman"/>
          <w:b w:val="false"/>
          <w:i w:val="false"/>
          <w:color w:val="000000"/>
          <w:sz w:val="22"/>
        </w:rPr>
        <w:t> </w:t>
      </w:r>
      <w:r>
        <w:rPr>
          <w:rFonts w:ascii="Times New Roman" w:hAnsi="Times New Roman"/>
          <w:b w:val="false"/>
          <w:i/>
          <w:color w:val="000000"/>
          <w:sz w:val="22"/>
        </w:rPr>
        <w:t xml:space="preserve">General. </w:t>
      </w:r>
      <w:r>
        <w:rPr>
          <w:rFonts w:ascii="Times New Roman" w:hAnsi="Times New Roman"/>
          <w:b w:val="false"/>
          <w:i w:val="false"/>
          <w:color w:val="000000"/>
          <w:sz w:val="22"/>
        </w:rPr>
        <w:t>The certificate shall authorize construction, maintenance, and operation of the facility on the site designated in the certificate according to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terms and conditions imposed by the commission and stated in the certificate.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terms and conditions in licenses and permits issued by regulatory agencies before and during the proceeding.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terms and conditions that have been specifically recommended by regulatory agencies in the proceeding and declared by those regulatory agencies or the commission as being necessary for the applicant to comply with requirements of licenses or permits then sought but not yet issued.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24.12(2)</w:t>
      </w:r>
      <w:r>
        <w:rPr>
          <w:rFonts w:ascii="Times New Roman" w:hAnsi="Times New Roman"/>
          <w:b w:val="false"/>
          <w:i w:val="false"/>
          <w:color w:val="000000"/>
          <w:sz w:val="22"/>
        </w:rPr>
        <w:t> </w:t>
      </w:r>
      <w:r>
        <w:rPr>
          <w:rFonts w:ascii="Times New Roman" w:hAnsi="Times New Roman"/>
          <w:b w:val="false"/>
          <w:i/>
          <w:color w:val="000000"/>
          <w:sz w:val="22"/>
        </w:rPr>
        <w:t xml:space="preserve">Eminent domain. </w:t>
      </w:r>
      <w:r>
        <w:rPr>
          <w:rFonts w:ascii="Times New Roman" w:hAnsi="Times New Roman"/>
          <w:b w:val="false"/>
          <w:i w:val="false"/>
          <w:color w:val="000000"/>
          <w:sz w:val="22"/>
        </w:rPr>
        <w:t xml:space="preserve">The certificate shall give the applicant the power of eminent domain to the extent and under such conditions as the commission approves, prescribes, and finds necessary for the public convenience, use, and necessity, proceeding in the manner of works of internal improvement under Iowa Code chapter </w:t>
      </w:r>
      <w:hyperlink r:id="rId47">
        <w:r>
          <w:rPr>
            <w:rStyle w:val="Hyperlink"/>
            <w:rFonts w:ascii="Times New Roman" w:hAnsi="Times New Roman"/>
            <w:b w:val="false"/>
            <w:i w:val="false"/>
            <w:color w:val="000000"/>
            <w:sz w:val="22"/>
          </w:rPr>
          <w:t>6B</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24.12(3)</w:t>
      </w:r>
      <w:r>
        <w:rPr>
          <w:rFonts w:ascii="Times New Roman" w:hAnsi="Times New Roman"/>
          <w:b w:val="false"/>
          <w:i w:val="false"/>
          <w:color w:val="000000"/>
          <w:sz w:val="22"/>
        </w:rPr>
        <w:t> </w:t>
      </w:r>
      <w:r>
        <w:rPr>
          <w:rFonts w:ascii="Times New Roman" w:hAnsi="Times New Roman"/>
          <w:b w:val="false"/>
          <w:i/>
          <w:color w:val="000000"/>
          <w:sz w:val="22"/>
        </w:rPr>
        <w:t xml:space="preserve">Certificate transfer. </w:t>
      </w:r>
      <w:r>
        <w:rPr>
          <w:rFonts w:ascii="Times New Roman" w:hAnsi="Times New Roman"/>
          <w:b w:val="false"/>
          <w:i w:val="false"/>
          <w:color w:val="000000"/>
          <w:sz w:val="22"/>
        </w:rPr>
        <w:t>A certificate may be transferred, subject to the approval of the commission, to a person who agrees to comply with the terms of the certificate including any amendments to the certificate. Certificates shall be transferable by operation of law to any receiver, trustee or similar assignee under a mortgage, deed of trust or similar instrument.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24.12(4)</w:t>
      </w:r>
      <w:r>
        <w:rPr>
          <w:rFonts w:ascii="Times New Roman" w:hAnsi="Times New Roman"/>
          <w:b w:val="false"/>
          <w:i w:val="false"/>
          <w:color w:val="000000"/>
          <w:sz w:val="22"/>
        </w:rPr>
        <w:t> </w:t>
      </w:r>
      <w:r>
        <w:rPr>
          <w:rFonts w:ascii="Times New Roman" w:hAnsi="Times New Roman"/>
          <w:b w:val="false"/>
          <w:i/>
          <w:color w:val="000000"/>
          <w:sz w:val="22"/>
        </w:rPr>
        <w:t xml:space="preserve">Application withdrawal. </w:t>
      </w:r>
      <w:r>
        <w:rPr>
          <w:rFonts w:ascii="Times New Roman" w:hAnsi="Times New Roman"/>
          <w:b w:val="false"/>
          <w:i w:val="false"/>
          <w:color w:val="000000"/>
          <w:sz w:val="22"/>
        </w:rPr>
        <w:t xml:space="preserve">Pursuant to Iowa Code section </w:t>
      </w:r>
      <w:hyperlink r:id="rId48">
        <w:r>
          <w:rPr>
            <w:rStyle w:val="Hyperlink"/>
            <w:rFonts w:ascii="Times New Roman" w:hAnsi="Times New Roman"/>
            <w:b w:val="false"/>
            <w:i w:val="false"/>
            <w:color w:val="000000"/>
            <w:sz w:val="22"/>
          </w:rPr>
          <w:t>476.53</w:t>
        </w:r>
      </w:hyperlink>
      <w:r>
        <w:rPr>
          <w:rFonts w:ascii="Times New Roman" w:hAnsi="Times New Roman"/>
          <w:b w:val="false"/>
          <w:i w:val="false"/>
          <w:color w:val="000000"/>
          <w:sz w:val="22"/>
        </w:rPr>
        <w:t>, a rate-regulated utility shall have the option of withdrawing its application for issuance of a certificate.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9182C</w:t>
      </w:r>
      <w:r>
        <w:rPr>
          <w:rFonts w:ascii="Times New Roman" w:hAnsi="Times New Roman"/>
          <w:b w:val="false"/>
          <w:i w:val="false"/>
          <w:color w:val="000000"/>
          <w:sz w:val="16"/>
        </w:rPr>
        <w:t>, IAB 4/30/25, effective 6/4/25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199—24.13</w:t>
      </w:r>
      <w:r>
        <w:rPr>
          <w:rFonts w:ascii="Times New Roman" w:hAnsi="Times New Roman"/>
          <w:b/>
          <w:i w:val="false"/>
          <w:color w:val="000000"/>
          <w:sz w:val="22"/>
        </w:rPr>
        <w:t xml:space="preserve">(476A) </w:t>
      </w:r>
      <w:r>
        <w:rPr>
          <w:rFonts w:ascii="Times New Roman" w:hAnsi="Times New Roman"/>
          <w:b/>
          <w:i w:val="false"/>
          <w:color w:val="000000"/>
          <w:sz w:val="22"/>
        </w:rPr>
        <w:t xml:space="preserve">Exemptions from certification application; application for amendment for certificate: Contents.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24.13(1)</w:t>
      </w:r>
      <w:r>
        <w:rPr>
          <w:rFonts w:ascii="Times New Roman" w:hAnsi="Times New Roman"/>
          <w:b w:val="false"/>
          <w:i w:val="false"/>
          <w:color w:val="000000"/>
          <w:sz w:val="22"/>
        </w:rPr>
        <w:t> </w:t>
      </w:r>
      <w:r>
        <w:rPr>
          <w:rFonts w:ascii="Times New Roman" w:hAnsi="Times New Roman"/>
          <w:b w:val="false"/>
          <w:i w:val="false"/>
          <w:color w:val="000000"/>
          <w:sz w:val="22"/>
        </w:rPr>
        <w:t>Application for amendment.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Each person or group of persons proposing a significant alteration to any facility that was constructed pursuant to a certificate issued by the commission shall file an application for an amendment to a certificate in lieu of an application for a certificate.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Each person or group of persons proposing a significant alteration to any facility that was not constructed pursuant to a certificate issued by the commission must file an application for such certificate unless: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facility has not attained full commercial rating and has not operated in excess of 80 percent of its maximum nameplate megawatt rating for ten hours daily for 45 consecutive days;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significant alteration requires no more land than was required for the facility, is within the scope of publicly announced plans for the facility’s construction, and entails no additional contracts for major components than those let for the facility.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24.13(2)</w:t>
      </w:r>
      <w:r>
        <w:rPr>
          <w:rFonts w:ascii="Times New Roman" w:hAnsi="Times New Roman"/>
          <w:b w:val="false"/>
          <w:i w:val="false"/>
          <w:color w:val="000000"/>
          <w:sz w:val="22"/>
        </w:rPr>
        <w:t> </w:t>
      </w:r>
      <w:r>
        <w:rPr>
          <w:rFonts w:ascii="Times New Roman" w:hAnsi="Times New Roman"/>
          <w:b w:val="false"/>
          <w:i w:val="false"/>
          <w:color w:val="000000"/>
          <w:sz w:val="22"/>
        </w:rPr>
        <w:t xml:space="preserve">All applications for amendment to a certificate shall be filed in accordance with rule </w:t>
      </w:r>
      <w:hyperlink r:id="rId49">
        <w:r>
          <w:rPr>
            <w:rStyle w:val="Hyperlink"/>
            <w:rFonts w:ascii="Times New Roman" w:hAnsi="Times New Roman"/>
            <w:b w:val="false"/>
            <w:i w:val="false"/>
            <w:color w:val="000000"/>
            <w:sz w:val="22"/>
          </w:rPr>
          <w:t>199—24.3(476A)</w:t>
        </w:r>
      </w:hyperlink>
      <w:r>
        <w:rPr>
          <w:rFonts w:ascii="Times New Roman" w:hAnsi="Times New Roman"/>
          <w:b w:val="false"/>
          <w:i w:val="false"/>
          <w:color w:val="000000"/>
          <w:sz w:val="22"/>
        </w:rPr>
        <w:t xml:space="preserve"> and shall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complete identification and discussion of the nature of the amendment proposed;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A complete enumeration of the effects the amendment has on the accuracy of the information contained in the application for a certificate filed pursuant to rule </w:t>
      </w:r>
      <w:hyperlink r:id="rId50">
        <w:r>
          <w:rPr>
            <w:rStyle w:val="Hyperlink"/>
            <w:rFonts w:ascii="Times New Roman" w:hAnsi="Times New Roman"/>
            <w:b w:val="false"/>
            <w:i w:val="false"/>
            <w:color w:val="000000"/>
            <w:sz w:val="22"/>
          </w:rPr>
          <w:t>199—24.4(476A)</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24.13(3)</w:t>
      </w:r>
      <w:r>
        <w:rPr>
          <w:rFonts w:ascii="Times New Roman" w:hAnsi="Times New Roman"/>
          <w:b w:val="false"/>
          <w:i w:val="false"/>
          <w:color w:val="000000"/>
          <w:sz w:val="22"/>
        </w:rPr>
        <w:t> </w:t>
      </w:r>
      <w:r>
        <w:rPr>
          <w:rFonts w:ascii="Times New Roman" w:hAnsi="Times New Roman"/>
          <w:b w:val="false"/>
          <w:i w:val="false"/>
          <w:color w:val="000000"/>
          <w:sz w:val="22"/>
        </w:rPr>
        <w:t xml:space="preserve">Upon commission acceptance of the application, the commission shall establish a hearing schedule. Unless otherwise ordered by the commission, an informational meeting under rule </w:t>
      </w:r>
      <w:hyperlink r:id="rId51">
        <w:r>
          <w:rPr>
            <w:rStyle w:val="Hyperlink"/>
            <w:rFonts w:ascii="Times New Roman" w:hAnsi="Times New Roman"/>
            <w:b w:val="false"/>
            <w:i w:val="false"/>
            <w:color w:val="000000"/>
            <w:sz w:val="22"/>
          </w:rPr>
          <w:t>199—24.7</w:t>
        </w:r>
      </w:hyperlink>
      <w:r>
        <w:rPr>
          <w:rFonts w:ascii="Times New Roman" w:hAnsi="Times New Roman"/>
          <w:b w:val="false"/>
          <w:i w:val="false"/>
          <w:color w:val="000000"/>
          <w:sz w:val="22"/>
        </w:rPr>
        <w:t xml:space="preserve">(476A) is not required. Notice shall be in accordance with subrule </w:t>
      </w:r>
      <w:hyperlink r:id="rId52">
        <w:r>
          <w:rPr>
            <w:rStyle w:val="Hyperlink"/>
            <w:rFonts w:ascii="Times New Roman" w:hAnsi="Times New Roman"/>
            <w:b w:val="false"/>
            <w:i w:val="false"/>
            <w:color w:val="000000"/>
            <w:sz w:val="22"/>
          </w:rPr>
          <w:t>24.6(2)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24.13(4)</w:t>
      </w:r>
      <w:r>
        <w:rPr>
          <w:rFonts w:ascii="Times New Roman" w:hAnsi="Times New Roman"/>
          <w:b w:val="false"/>
          <w:i w:val="false"/>
          <w:color w:val="000000"/>
          <w:sz w:val="22"/>
        </w:rPr>
        <w:t> </w:t>
      </w:r>
      <w:r>
        <w:rPr>
          <w:rFonts w:ascii="Times New Roman" w:hAnsi="Times New Roman"/>
          <w:b w:val="false"/>
          <w:i w:val="false"/>
          <w:color w:val="000000"/>
          <w:sz w:val="22"/>
        </w:rPr>
        <w:t xml:space="preserve">In the consideration of an application for a certificate pursuant to paragraph </w:t>
      </w:r>
      <w:hyperlink r:id="rId53">
        <w:r>
          <w:rPr>
            <w:rStyle w:val="Hyperlink"/>
            <w:rFonts w:ascii="Times New Roman" w:hAnsi="Times New Roman"/>
            <w:b w:val="false"/>
            <w:i w:val="false"/>
            <w:color w:val="000000"/>
            <w:sz w:val="22"/>
          </w:rPr>
          <w:t>24.13(1)</w:t>
        </w:r>
        <w:r>
          <w:rPr>
            <w:rFonts w:ascii="Times New Roman" w:hAnsi="Times New Roman"/>
            <w:b w:val="false"/>
            <w:i/>
            <w:color w:val="000000"/>
            <w:sz w:val="22"/>
          </w:rPr>
          <w:t xml:space="preserve">“b” </w:t>
        </w:r>
      </w:hyperlink>
      <w:r>
        <w:rPr>
          <w:rFonts w:ascii="Times New Roman" w:hAnsi="Times New Roman"/>
          <w:b w:val="false"/>
          <w:i w:val="false"/>
          <w:color w:val="000000"/>
          <w:sz w:val="22"/>
        </w:rPr>
        <w:t xml:space="preserve">or amendment to a certificate pursuant to paragraph </w:t>
      </w:r>
      <w:hyperlink r:id="rId54">
        <w:r>
          <w:rPr>
            <w:rStyle w:val="Hyperlink"/>
            <w:rFonts w:ascii="Times New Roman" w:hAnsi="Times New Roman"/>
            <w:b w:val="false"/>
            <w:i w:val="false"/>
            <w:color w:val="000000"/>
            <w:sz w:val="22"/>
          </w:rPr>
          <w:t>24.13(1)</w:t>
        </w:r>
      </w:hyperlink>
      <w:r>
        <w:rPr>
          <w:rFonts w:ascii="Times New Roman" w:hAnsi="Times New Roman"/>
          <w:b w:val="false"/>
          <w:i/>
          <w:color w:val="000000"/>
          <w:sz w:val="22"/>
        </w:rPr>
        <w:t>“a,”</w:t>
      </w:r>
      <w:r>
        <w:rPr>
          <w:rFonts w:ascii="Times New Roman" w:hAnsi="Times New Roman"/>
          <w:b w:val="false"/>
          <w:i w:val="false"/>
          <w:color w:val="000000"/>
          <w:sz w:val="22"/>
        </w:rPr>
        <w:t xml:space="preserve"> there shall be a rebuttable presumption that the decision criteria of subrule </w:t>
      </w:r>
      <w:hyperlink r:id="rId55">
        <w:r>
          <w:rPr>
            <w:rStyle w:val="Hyperlink"/>
            <w:rFonts w:ascii="Times New Roman" w:hAnsi="Times New Roman"/>
            <w:b w:val="false"/>
            <w:i w:val="false"/>
            <w:color w:val="000000"/>
            <w:sz w:val="22"/>
          </w:rPr>
          <w:t>24.10(2)</w:t>
        </w:r>
      </w:hyperlink>
      <w:r>
        <w:rPr>
          <w:rFonts w:ascii="Times New Roman" w:hAnsi="Times New Roman"/>
          <w:b w:val="false"/>
          <w:i w:val="false"/>
          <w:color w:val="000000"/>
          <w:sz w:val="22"/>
        </w:rPr>
        <w:t xml:space="preserve"> are satisfied.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24.13(5)</w:t>
      </w:r>
      <w:r>
        <w:rPr>
          <w:rFonts w:ascii="Times New Roman" w:hAnsi="Times New Roman"/>
          <w:b w:val="false"/>
          <w:i w:val="false"/>
          <w:color w:val="000000"/>
          <w:sz w:val="22"/>
        </w:rPr>
        <w:t> </w:t>
      </w:r>
      <w:r>
        <w:rPr>
          <w:rFonts w:ascii="Times New Roman" w:hAnsi="Times New Roman"/>
          <w:b w:val="false"/>
          <w:i w:val="false"/>
          <w:color w:val="000000"/>
          <w:sz w:val="22"/>
        </w:rPr>
        <w:t xml:space="preserve">Amendment to a certificate. In determining whether an amendment to a certificate will be issued to the applicant, the commission will be guided by the criteria set forth in subrule </w:t>
      </w:r>
      <w:hyperlink r:id="rId56">
        <w:r>
          <w:rPr>
            <w:rStyle w:val="Hyperlink"/>
            <w:rFonts w:ascii="Times New Roman" w:hAnsi="Times New Roman"/>
            <w:b w:val="false"/>
            <w:i w:val="false"/>
            <w:color w:val="000000"/>
            <w:sz w:val="22"/>
          </w:rPr>
          <w:t>24.10(2)</w:t>
        </w:r>
      </w:hyperlink>
      <w:r>
        <w:rPr>
          <w:rFonts w:ascii="Times New Roman" w:hAnsi="Times New Roman"/>
          <w:b w:val="false"/>
          <w:i w:val="false"/>
          <w:color w:val="000000"/>
          <w:sz w:val="22"/>
        </w:rPr>
        <w:t xml:space="preserve"> to the extent applicable and appropriate.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9182C</w:t>
      </w:r>
      <w:r>
        <w:rPr>
          <w:rFonts w:ascii="Times New Roman" w:hAnsi="Times New Roman"/>
          <w:b w:val="false"/>
          <w:i w:val="false"/>
          <w:color w:val="000000"/>
          <w:sz w:val="16"/>
        </w:rPr>
        <w:t>, IAB 4/30/25, effective 6/4/25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199—24.14</w:t>
      </w:r>
      <w:r>
        <w:rPr>
          <w:rFonts w:ascii="Times New Roman" w:hAnsi="Times New Roman"/>
          <w:b/>
          <w:i w:val="false"/>
          <w:color w:val="000000"/>
          <w:sz w:val="22"/>
        </w:rPr>
        <w:t xml:space="preserve">(476A) </w:t>
      </w:r>
      <w:r>
        <w:rPr>
          <w:rFonts w:ascii="Times New Roman" w:hAnsi="Times New Roman"/>
          <w:b/>
          <w:i w:val="false"/>
          <w:color w:val="000000"/>
          <w:sz w:val="22"/>
        </w:rPr>
        <w:t xml:space="preserve">Waiver.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24.14(1)</w:t>
      </w:r>
      <w:r>
        <w:rPr>
          <w:rFonts w:ascii="Times New Roman" w:hAnsi="Times New Roman"/>
          <w:b w:val="false"/>
          <w:i w:val="false"/>
          <w:color w:val="000000"/>
          <w:sz w:val="22"/>
        </w:rPr>
        <w:t> </w:t>
      </w:r>
      <w:r>
        <w:rPr>
          <w:rFonts w:ascii="Times New Roman" w:hAnsi="Times New Roman"/>
          <w:b w:val="false"/>
          <w:i w:val="false"/>
          <w:color w:val="000000"/>
          <w:sz w:val="22"/>
        </w:rPr>
        <w:t xml:space="preserve">The commission, if it determines that the public interest would not be adversely affected, may waive any of the requirements of this chapter.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24.14(2)</w:t>
      </w:r>
      <w:r>
        <w:rPr>
          <w:rFonts w:ascii="Times New Roman" w:hAnsi="Times New Roman"/>
          <w:b w:val="false"/>
          <w:i w:val="false"/>
          <w:color w:val="000000"/>
          <w:sz w:val="22"/>
        </w:rPr>
        <w:t> </w:t>
      </w:r>
      <w:r>
        <w:rPr>
          <w:rFonts w:ascii="Times New Roman" w:hAnsi="Times New Roman"/>
          <w:b w:val="false"/>
          <w:i w:val="false"/>
          <w:color w:val="000000"/>
          <w:sz w:val="22"/>
        </w:rPr>
        <w:t xml:space="preserve">In addition to any other service requirements, an applicant requesting a waiver must serve a copy of the waiver on all owners or record of real property that adjoins the proposed facility site.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24.14(3)</w:t>
      </w:r>
      <w:r>
        <w:rPr>
          <w:rFonts w:ascii="Times New Roman" w:hAnsi="Times New Roman"/>
          <w:b w:val="false"/>
          <w:i w:val="false"/>
          <w:color w:val="000000"/>
          <w:sz w:val="22"/>
        </w:rPr>
        <w:t> </w:t>
      </w:r>
      <w:r>
        <w:rPr>
          <w:rFonts w:ascii="Times New Roman" w:hAnsi="Times New Roman"/>
          <w:b w:val="false"/>
          <w:i w:val="false"/>
          <w:color w:val="000000"/>
          <w:sz w:val="22"/>
        </w:rPr>
        <w:t>In determining whether the public interest would not be adversely affected, the commission may consider the following factors: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purpose of the facility.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type of facility.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Whether the facility is for the applicant’s own needs.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effect of the facility on existing transmission systems.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Any other relevant factors.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9182C</w:t>
      </w:r>
      <w:r>
        <w:rPr>
          <w:rFonts w:ascii="Times New Roman" w:hAnsi="Times New Roman"/>
          <w:b w:val="false"/>
          <w:i w:val="false"/>
          <w:color w:val="000000"/>
          <w:sz w:val="16"/>
        </w:rPr>
        <w:t>, IAB 4/30/25, effective 6/4/25</w:t>
      </w:r>
      <w:r>
        <w:rPr>
          <w:rFonts w:ascii="Times New Roman" w:hAnsi="Times New Roman"/>
          <w:b w:val="false"/>
          <w:i w:val="false"/>
          <w:color w:val="000000"/>
          <w:sz w:val="16"/>
        </w:rPr>
        <w:t>]</w:t>
      </w:r>
    </w:p>
    <w:p>
      <w:pPr>
        <w:spacing w:before="0" w:after="0"/>
        <w:ind w:left="120"/>
        <w:jc w:val="both"/>
      </w:pPr>
      <w:r>
        <w:rPr>
          <w:rFonts w:ascii="Times New Roman" w:hAnsi="Times New Roman"/>
          <w:b w:val="false"/>
          <w:i w:val="false"/>
          <w:color w:val="000000"/>
          <w:sz w:val="22"/>
        </w:rPr>
        <w:t xml:space="preserve">These rules are intended to implement Iowa Code chapter </w:t>
      </w:r>
      <w:hyperlink r:id="rId57">
        <w:r>
          <w:rPr>
            <w:rStyle w:val="Hyperlink"/>
            <w:rFonts w:ascii="Times New Roman" w:hAnsi="Times New Roman"/>
            <w:b w:val="false"/>
            <w:i w:val="false"/>
            <w:color w:val="000000"/>
            <w:sz w:val="22"/>
          </w:rPr>
          <w:t>476A.</w:t>
        </w:r>
      </w:hyperlink>
    </w:p>
    <w:p>
      <w:pPr>
        <w:spacing w:before="0" w:after="0"/>
        <w:ind w:left="120"/>
        <w:jc w:val="center"/>
      </w:pPr>
      <w:r>
        <w:rPr>
          <w:rFonts w:ascii="Times New Roman" w:hAnsi="Times New Roman"/>
          <w:b w:val="false"/>
          <w:i w:val="false"/>
          <w:color w:val="000000"/>
          <w:sz w:val="21"/>
        </w:rPr>
        <w:t>[Filed 2/18/77, Notices 8/23/76, 11/3/76—published 3/9/77, effective 4/13/77]</w:t>
      </w:r>
    </w:p>
    <w:p>
      <w:pPr>
        <w:spacing w:before="0" w:after="0"/>
        <w:ind w:left="120"/>
        <w:jc w:val="center"/>
      </w:pPr>
      <w:r>
        <w:rPr>
          <w:rFonts w:ascii="Times New Roman" w:hAnsi="Times New Roman"/>
          <w:b w:val="false"/>
          <w:i w:val="false"/>
          <w:color w:val="000000"/>
          <w:sz w:val="21"/>
        </w:rPr>
        <w:t>[Filed 9/30/77, Notice 6/29/77—published 10/19/77, effective 11/23/77]</w:t>
      </w:r>
    </w:p>
    <w:p>
      <w:pPr>
        <w:spacing w:before="0" w:after="0"/>
        <w:ind w:left="120"/>
        <w:jc w:val="center"/>
      </w:pPr>
      <w:r>
        <w:rPr>
          <w:rFonts w:ascii="Times New Roman" w:hAnsi="Times New Roman"/>
          <w:b w:val="false"/>
          <w:i w:val="false"/>
          <w:color w:val="000000"/>
          <w:sz w:val="21"/>
        </w:rPr>
        <w:t>[Filed emergency after Notice 9/30/77, Notice 6/29/77—published 10/19/77,</w:t>
      </w:r>
    </w:p>
    <w:p>
      <w:pPr>
        <w:spacing w:before="0" w:after="0"/>
        <w:ind w:left="120"/>
        <w:jc w:val="center"/>
      </w:pPr>
      <w:r>
        <w:rPr>
          <w:rFonts w:ascii="Times New Roman" w:hAnsi="Times New Roman"/>
          <w:b w:val="false"/>
          <w:i w:val="false"/>
          <w:color w:val="000000"/>
          <w:sz w:val="21"/>
        </w:rPr>
        <w:t>effective 9/30/77]</w:t>
      </w:r>
    </w:p>
    <w:p>
      <w:pPr>
        <w:spacing w:before="0" w:after="0"/>
        <w:ind w:left="120"/>
        <w:jc w:val="center"/>
      </w:pPr>
      <w:r>
        <w:rPr>
          <w:rFonts w:ascii="Times New Roman" w:hAnsi="Times New Roman"/>
          <w:b w:val="false"/>
          <w:i w:val="false"/>
          <w:color w:val="000000"/>
          <w:sz w:val="21"/>
        </w:rPr>
        <w:t>[Filed 4/10/79, Notices 5/3/78, 8/23/78—published 5/2/79, effective 6/6/79]</w:t>
      </w:r>
    </w:p>
    <w:p>
      <w:pPr>
        <w:spacing w:before="0" w:after="0"/>
        <w:ind w:left="120"/>
        <w:jc w:val="center"/>
      </w:pPr>
      <w:r>
        <w:rPr>
          <w:rFonts w:ascii="Times New Roman" w:hAnsi="Times New Roman"/>
          <w:b w:val="false"/>
          <w:i w:val="false"/>
          <w:color w:val="000000"/>
          <w:sz w:val="21"/>
        </w:rPr>
        <w:t>[Filed emergency 6/28/82—published 7/21/82, effective 6/28/82]</w:t>
      </w:r>
    </w:p>
    <w:p>
      <w:pPr>
        <w:spacing w:before="0" w:after="0"/>
        <w:ind w:left="120"/>
        <w:jc w:val="center"/>
      </w:pPr>
      <w:r>
        <w:rPr>
          <w:rFonts w:ascii="Times New Roman" w:hAnsi="Times New Roman"/>
          <w:b w:val="false"/>
          <w:i w:val="false"/>
          <w:color w:val="000000"/>
          <w:sz w:val="21"/>
        </w:rPr>
        <w:t>[Filed 11/19/82, Notice 9/1/82—published 12/8/82, effective 1/12/83]</w:t>
      </w:r>
    </w:p>
    <w:p>
      <w:pPr>
        <w:spacing w:before="0" w:after="0"/>
        <w:ind w:left="120"/>
        <w:jc w:val="center"/>
      </w:pPr>
      <w:r>
        <w:rPr>
          <w:rFonts w:ascii="Times New Roman" w:hAnsi="Times New Roman"/>
          <w:b w:val="false"/>
          <w:i w:val="false"/>
          <w:color w:val="000000"/>
          <w:sz w:val="21"/>
        </w:rPr>
        <w:t>[Filed 11/16/84, Notice 9/12/84—published 12/5/84, effective 1/16/85]</w:t>
      </w:r>
    </w:p>
    <w:p>
      <w:pPr>
        <w:spacing w:before="0" w:after="0"/>
        <w:ind w:left="120"/>
        <w:jc w:val="center"/>
      </w:pPr>
      <w:r>
        <w:rPr>
          <w:rFonts w:ascii="Times New Roman" w:hAnsi="Times New Roman"/>
          <w:b w:val="false"/>
          <w:i w:val="false"/>
          <w:color w:val="000000"/>
          <w:sz w:val="21"/>
        </w:rPr>
        <w:t>[Filed emergency 9/18/86—published 10/8/86, effective 9/18/86]</w:t>
      </w:r>
    </w:p>
    <w:p>
      <w:pPr>
        <w:spacing w:before="0" w:after="0"/>
        <w:ind w:left="120"/>
        <w:jc w:val="center"/>
      </w:pPr>
      <w:r>
        <w:rPr>
          <w:rFonts w:ascii="Times New Roman" w:hAnsi="Times New Roman"/>
          <w:b w:val="false"/>
          <w:i w:val="false"/>
          <w:color w:val="000000"/>
          <w:sz w:val="21"/>
        </w:rPr>
        <w:t>[Filed 5/10/91, Notice 2/6/91—published 5/29/91, effective 7/3/91]</w:t>
      </w:r>
    </w:p>
    <w:p>
      <w:pPr>
        <w:spacing w:before="0" w:after="0"/>
        <w:ind w:left="120"/>
        <w:jc w:val="center"/>
      </w:pPr>
      <w:r>
        <w:rPr>
          <w:rFonts w:ascii="Times New Roman" w:hAnsi="Times New Roman"/>
          <w:b w:val="false"/>
          <w:i w:val="false"/>
          <w:color w:val="000000"/>
          <w:sz w:val="21"/>
        </w:rPr>
        <w:t>[Filed 7/1/93, Notice 3/17/93—published 7/21/93, effective 8/25/93]</w:t>
      </w:r>
    </w:p>
    <w:p>
      <w:pPr>
        <w:spacing w:before="0" w:after="0"/>
        <w:ind w:left="120"/>
        <w:jc w:val="center"/>
      </w:pPr>
      <w:r>
        <w:rPr>
          <w:rFonts w:ascii="Times New Roman" w:hAnsi="Times New Roman"/>
          <w:b w:val="false"/>
          <w:i w:val="false"/>
          <w:color w:val="000000"/>
          <w:sz w:val="21"/>
        </w:rPr>
        <w:t>[Filed 7/27/93, Notice 3/3/93—published 8/18/93, effective 9/22/93]</w:t>
      </w:r>
    </w:p>
    <w:p>
      <w:pPr>
        <w:spacing w:before="0" w:after="0"/>
        <w:ind w:left="120"/>
        <w:jc w:val="center"/>
      </w:pPr>
      <w:r>
        <w:rPr>
          <w:rFonts w:ascii="Times New Roman" w:hAnsi="Times New Roman"/>
          <w:b w:val="false"/>
          <w:i w:val="false"/>
          <w:color w:val="000000"/>
          <w:sz w:val="21"/>
        </w:rPr>
        <w:t>[Published 6/17/98 to update name and address of board]</w:t>
      </w:r>
    </w:p>
    <w:p>
      <w:pPr>
        <w:spacing w:before="0" w:after="0"/>
        <w:ind w:left="120"/>
        <w:jc w:val="center"/>
      </w:pPr>
      <w:r>
        <w:rPr>
          <w:rFonts w:ascii="Times New Roman" w:hAnsi="Times New Roman"/>
          <w:b w:val="false"/>
          <w:i w:val="false"/>
          <w:color w:val="000000"/>
          <w:sz w:val="21"/>
        </w:rPr>
        <w:t>[Filed 2/15/02, Notice 8/22/01—published 3/6/02, effective 4/10/02]</w:t>
      </w:r>
    </w:p>
    <w:p>
      <w:pPr>
        <w:spacing w:before="0" w:after="0"/>
        <w:ind w:left="120"/>
        <w:jc w:val="center"/>
      </w:pPr>
      <w:r>
        <w:rPr>
          <w:rFonts w:ascii="Times New Roman" w:hAnsi="Times New Roman"/>
          <w:b w:val="false"/>
          <w:i w:val="false"/>
          <w:color w:val="000000"/>
          <w:sz w:val="21"/>
        </w:rPr>
        <w:t>[Filed 2/13/04, Notice 12/24/03—published 3/3/04, effective 4/7/04]</w:t>
      </w:r>
    </w:p>
    <w:p>
      <w:pPr>
        <w:spacing w:before="0" w:after="0"/>
        <w:ind w:left="120"/>
        <w:jc w:val="center"/>
      </w:pPr>
      <w:r>
        <w:rPr>
          <w:rFonts w:ascii="Times New Roman" w:hAnsi="Times New Roman"/>
          <w:b w:val="false"/>
          <w:i w:val="false"/>
          <w:color w:val="000000"/>
          <w:sz w:val="21"/>
        </w:rPr>
        <w:t>[Filed 5/2/07, Notice 3/28/07—published 5/23/07, effective 6/27/07]</w:t>
      </w:r>
    </w:p>
    <w:p>
      <w:pPr>
        <w:spacing w:before="0" w:after="0"/>
        <w:ind w:left="120"/>
        <w:jc w:val="center"/>
      </w:pPr>
      <w:r>
        <w:rPr>
          <w:rFonts w:ascii="Times New Roman" w:hAnsi="Times New Roman"/>
          <w:b w:val="false"/>
          <w:i w:val="false"/>
          <w:color w:val="000000"/>
          <w:sz w:val="21"/>
        </w:rPr>
        <w:t xml:space="preserve">[Filed </w:t>
      </w:r>
      <w:r>
        <w:rPr>
          <w:rFonts w:ascii="Times New Roman" w:hAnsi="Times New Roman"/>
          <w:b w:val="false"/>
          <w:i w:val="false"/>
          <w:color w:val="000000"/>
          <w:sz w:val="21"/>
        </w:rPr>
        <w:t>4/18/08</w:t>
      </w:r>
      <w:r>
        <w:rPr>
          <w:rFonts w:ascii="Times New Roman" w:hAnsi="Times New Roman"/>
          <w:b w:val="false"/>
          <w:i w:val="false"/>
          <w:color w:val="000000"/>
          <w:sz w:val="21"/>
        </w:rPr>
        <w:t xml:space="preserve">, Notice </w:t>
      </w:r>
      <w:r>
        <w:rPr>
          <w:rFonts w:ascii="Times New Roman" w:hAnsi="Times New Roman"/>
          <w:b w:val="false"/>
          <w:i w:val="false"/>
          <w:color w:val="000000"/>
          <w:sz w:val="21"/>
        </w:rPr>
        <w:t>3/12/08</w:t>
      </w:r>
      <w:r>
        <w:rPr>
          <w:rFonts w:ascii="Times New Roman" w:hAnsi="Times New Roman"/>
          <w:b w:val="false"/>
          <w:i w:val="false"/>
          <w:color w:val="000000"/>
          <w:sz w:val="21"/>
        </w:rPr>
        <w:t xml:space="preserve">—published </w:t>
      </w:r>
      <w:r>
        <w:rPr>
          <w:rFonts w:ascii="Times New Roman" w:hAnsi="Times New Roman"/>
          <w:b w:val="false"/>
          <w:i w:val="false"/>
          <w:color w:val="000000"/>
          <w:sz w:val="21"/>
        </w:rPr>
        <w:t>5/7/08</w:t>
      </w:r>
      <w:r>
        <w:rPr>
          <w:rFonts w:ascii="Times New Roman" w:hAnsi="Times New Roman"/>
          <w:b w:val="false"/>
          <w:i w:val="false"/>
          <w:color w:val="000000"/>
          <w:sz w:val="21"/>
        </w:rPr>
        <w:t xml:space="preserve">, effective </w:t>
      </w:r>
      <w:r>
        <w:rPr>
          <w:rFonts w:ascii="Times New Roman" w:hAnsi="Times New Roman"/>
          <w:b w:val="false"/>
          <w:i w:val="false"/>
          <w:color w:val="000000"/>
          <w:sz w:val="21"/>
        </w:rPr>
        <w:t>6/11/08</w:t>
      </w:r>
      <w:r>
        <w:rPr>
          <w:rFonts w:ascii="Times New Roman" w:hAnsi="Times New Roman"/>
          <w:b w:val="false"/>
          <w:i w:val="false"/>
          <w:color w:val="000000"/>
          <w:sz w:val="21"/>
        </w:rPr>
        <w:t>]</w:t>
      </w:r>
    </w:p>
    <w:p>
      <w:pPr>
        <w:spacing w:before="0" w:after="0"/>
        <w:ind w:left="120"/>
        <w:jc w:val="center"/>
      </w:pPr>
      <w:r>
        <w:rPr>
          <w:rFonts w:ascii="Times New Roman" w:hAnsi="Times New Roman"/>
          <w:b w:val="false"/>
          <w:i w:val="false"/>
          <w:color w:val="000000"/>
          <w:sz w:val="21"/>
        </w:rPr>
        <w:t>[Editorial change: IAC Supplement 12/29/10]</w:t>
      </w:r>
    </w:p>
    <w:p>
      <w:pPr>
        <w:spacing w:before="0" w:after="0"/>
        <w:ind w:left="120"/>
        <w:jc w:val="center"/>
      </w:pPr>
      <w:r>
        <w:rPr>
          <w:rFonts w:ascii="Times New Roman" w:hAnsi="Times New Roman"/>
          <w:b w:val="false"/>
          <w:i w:val="false"/>
          <w:color w:val="000000"/>
          <w:sz w:val="21"/>
        </w:rPr>
        <w:t>[Filed ARC 3751C</w:t>
      </w:r>
      <w:r>
        <w:rPr>
          <w:rFonts w:ascii="Times New Roman" w:hAnsi="Times New Roman"/>
          <w:b w:val="false"/>
          <w:i w:val="false"/>
          <w:color w:val="000000"/>
          <w:sz w:val="21"/>
        </w:rPr>
        <w:t xml:space="preserve"> (Notice ARC 3416C, IAB 10/25/17)</w:t>
      </w:r>
      <w:r>
        <w:rPr>
          <w:rFonts w:ascii="Times New Roman" w:hAnsi="Times New Roman"/>
          <w:b w:val="false"/>
          <w:i w:val="false"/>
          <w:color w:val="000000"/>
          <w:sz w:val="21"/>
        </w:rPr>
        <w:t>, IAB 4/11/18, effective 5/16/18]</w:t>
      </w:r>
    </w:p>
    <w:p>
      <w:pPr>
        <w:spacing w:before="0" w:after="0"/>
        <w:ind w:left="120"/>
        <w:jc w:val="center"/>
      </w:pPr>
      <w:r>
        <w:rPr>
          <w:rFonts w:ascii="Times New Roman" w:hAnsi="Times New Roman"/>
          <w:b w:val="false"/>
          <w:i w:val="false"/>
          <w:color w:val="000000"/>
          <w:sz w:val="21"/>
        </w:rPr>
        <w:t>[Editorial change: IAC Supplement 7/24/24]</w:t>
      </w:r>
    </w:p>
    <w:p>
      <w:pPr>
        <w:spacing w:before="0" w:after="0"/>
        <w:ind w:left="120"/>
        <w:jc w:val="center"/>
      </w:pPr>
      <w:r>
        <w:rPr>
          <w:rFonts w:ascii="Times New Roman" w:hAnsi="Times New Roman"/>
          <w:b w:val="false"/>
          <w:i w:val="false"/>
          <w:color w:val="000000"/>
          <w:sz w:val="21"/>
        </w:rPr>
        <w:t>[Filed ARC 9182C</w:t>
      </w:r>
      <w:r>
        <w:rPr>
          <w:rFonts w:ascii="Times New Roman" w:hAnsi="Times New Roman"/>
          <w:b w:val="false"/>
          <w:i w:val="false"/>
          <w:color w:val="000000"/>
          <w:sz w:val="21"/>
        </w:rPr>
        <w:t xml:space="preserve"> (Notice ARC 8346C, IAB 11/13/24)</w:t>
      </w:r>
      <w:r>
        <w:rPr>
          <w:rFonts w:ascii="Times New Roman" w:hAnsi="Times New Roman"/>
          <w:b w:val="false"/>
          <w:i w:val="false"/>
          <w:color w:val="000000"/>
          <w:sz w:val="21"/>
        </w:rPr>
        <w:t>, IAB 4/30/25, effective 6/4/25]</w:t>
      </w:r>
    </w:p>
    <w:sectPr>
      <w:pgSz w:w="11907" w:h="16839" w:code="9"/>
      <w:pgMar w:top="1440" w:right="1440" w:bottom="1440" w:left="1440"/>
    </w:sectPr>
  </w:body>
</w:document>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476A.pdf" Type="http://schemas.openxmlformats.org/officeDocument/2006/relationships/hyperlink" Id="rId5"/>
    <Relationship TargetMode="External" Target="https://www.legis.iowa.gov/docs/ico/chapter/476A.pdf" Type="http://schemas.openxmlformats.org/officeDocument/2006/relationships/hyperlink" Id="rId6"/>
    <Relationship TargetMode="External" Target="https://www.legis.iowa.gov/docs/ico/chapter/17A.2.pdf" Type="http://schemas.openxmlformats.org/officeDocument/2006/relationships/hyperlink" Id="rId7"/>
    <Relationship TargetMode="External" Target="https://www.legis.iowa.gov/docs/ico/chapter/476A.1.pdf" Type="http://schemas.openxmlformats.org/officeDocument/2006/relationships/hyperlink" Id="rId8"/>
    <Relationship TargetMode="External" Target="https://www.legis.iowa.gov/docs/ico/chapter/476A.4.pdf" Type="http://schemas.openxmlformats.org/officeDocument/2006/relationships/hyperlink" Id="rId9"/>
    <Relationship TargetMode="External" Target="https://www.legis.iowa.gov/docs/ico/chapter/476A.1.pdf" Type="http://schemas.openxmlformats.org/officeDocument/2006/relationships/hyperlink" Id="rId10"/>
    <Relationship TargetMode="External" Target="https://www.legis.iowa.gov/docs/iac/rule/199.24.6.pdf" Type="http://schemas.openxmlformats.org/officeDocument/2006/relationships/hyperlink" Id="rId11"/>
    <Relationship TargetMode="External" Target="https://www.legis.iowa.gov/docs/iac/rule/199.7.13.pdf" Type="http://schemas.openxmlformats.org/officeDocument/2006/relationships/hyperlink" Id="rId12"/>
    <Relationship TargetMode="External" Target="https://www.legis.iowa.gov/docs/ico/chapter/4.1.pdf" Type="http://schemas.openxmlformats.org/officeDocument/2006/relationships/hyperlink" Id="rId13"/>
    <Relationship TargetMode="External" Target="https://www.legis.iowa.gov/docs/ico/chapter/476.1.pdf" Type="http://schemas.openxmlformats.org/officeDocument/2006/relationships/hyperlink" Id="rId14"/>
    <Relationship TargetMode="External" Target="https://www.legis.iowa.gov/docs/ico/chapter/476A.1.pdf" Type="http://schemas.openxmlformats.org/officeDocument/2006/relationships/hyperlink" Id="rId15"/>
    <Relationship TargetMode="External" Target="https://www.legis.iowa.gov/docs/iac/rule/199.24.9.pdf" Type="http://schemas.openxmlformats.org/officeDocument/2006/relationships/hyperlink" Id="rId16"/>
    <Relationship TargetMode="External" Target="https://www.legis.iowa.gov/docs/iac/rule/199.24.6.pdf" Type="http://schemas.openxmlformats.org/officeDocument/2006/relationships/hyperlink" Id="rId17"/>
    <Relationship TargetMode="External" Target="https://www.legis.iowa.gov/docs/iac/rule/199.24.4.pdf" Type="http://schemas.openxmlformats.org/officeDocument/2006/relationships/hyperlink" Id="rId18"/>
    <Relationship TargetMode="External" Target="https://www.legis.iowa.gov/docs/iac/rule/199.24.4.pdf" Type="http://schemas.openxmlformats.org/officeDocument/2006/relationships/hyperlink" Id="rId19"/>
    <Relationship TargetMode="External" Target="https://www.legis.iowa.gov/docs/iac/rule/199.24.4.pdf" Type="http://schemas.openxmlformats.org/officeDocument/2006/relationships/hyperlink" Id="rId20"/>
    <Relationship TargetMode="External" Target="https://www.legis.iowa.gov/docs/iac/rule/199.24.6.pdf" Type="http://schemas.openxmlformats.org/officeDocument/2006/relationships/hyperlink" Id="rId21"/>
    <Relationship TargetMode="External" Target="https://www.legis.iowa.gov/docs/iac/rule/199.24.9.pdf" Type="http://schemas.openxmlformats.org/officeDocument/2006/relationships/hyperlink" Id="rId22"/>
    <Relationship TargetMode="External" Target="https://www.legis.iowa.gov/docs/iac/rule/199.24.10.pdf" Type="http://schemas.openxmlformats.org/officeDocument/2006/relationships/hyperlink" Id="rId23"/>
    <Relationship TargetMode="External" Target="https://www.legis.iowa.gov/docs/iac/rule/199.24.8.pdf" Type="http://schemas.openxmlformats.org/officeDocument/2006/relationships/hyperlink" Id="rId24"/>
    <Relationship TargetMode="External" Target="https://www.legis.iowa.gov/docs/ico/chapter/17A.12.pdf" Type="http://schemas.openxmlformats.org/officeDocument/2006/relationships/hyperlink" Id="rId25"/>
    <Relationship TargetMode="External" Target="https://www.legis.iowa.gov/docs/iac/rule/199.24.6.pdf" Type="http://schemas.openxmlformats.org/officeDocument/2006/relationships/hyperlink" Id="rId26"/>
    <Relationship TargetMode="External" Target="https://www.legis.iowa.gov/docs/iac/rule/199.24.6.pdf" Type="http://schemas.openxmlformats.org/officeDocument/2006/relationships/hyperlink" Id="rId27"/>
    <Relationship TargetMode="External" Target="https://www.legis.iowa.gov/docs/ico/chapter/17A.pdf" Type="http://schemas.openxmlformats.org/officeDocument/2006/relationships/hyperlink" Id="rId28"/>
    <Relationship TargetMode="External" Target="https://www.legis.iowa.gov/docs/iac/chapter/199.7.pdf" Type="http://schemas.openxmlformats.org/officeDocument/2006/relationships/hyperlink" Id="rId29"/>
    <Relationship TargetMode="External" Target="https://www.legis.iowa.gov/docs/ico/chapter/476.53.pdf" Type="http://schemas.openxmlformats.org/officeDocument/2006/relationships/hyperlink" Id="rId30"/>
    <Relationship TargetMode="External" Target="https://www.legis.iowa.gov/docs/iac/rule/199.24.6.pdf" Type="http://schemas.openxmlformats.org/officeDocument/2006/relationships/hyperlink" Id="rId31"/>
    <Relationship TargetMode="External" Target="https://www.legis.iowa.gov/docs/iac/rule/199.7.13.pdf" Type="http://schemas.openxmlformats.org/officeDocument/2006/relationships/hyperlink" Id="rId32"/>
    <Relationship TargetMode="External" Target="https://www.legis.iowa.gov/docs/iac/rule/199.7.13.pdf" Type="http://schemas.openxmlformats.org/officeDocument/2006/relationships/hyperlink" Id="rId33"/>
    <Relationship TargetMode="External" Target="https://www.legis.iowa.gov/docs/ico/chapter/17A.16.pdf" Type="http://schemas.openxmlformats.org/officeDocument/2006/relationships/hyperlink" Id="rId34"/>
    <Relationship TargetMode="External" Target="https://www.legis.iowa.gov/docs/ico/chapter/476.12.pdf" Type="http://schemas.openxmlformats.org/officeDocument/2006/relationships/hyperlink" Id="rId35"/>
    <Relationship TargetMode="External" Target="https://www.legis.iowa.gov/docs/iac/rule/199.7.27.pdf" Type="http://schemas.openxmlformats.org/officeDocument/2006/relationships/hyperlink" Id="rId36"/>
    <Relationship TargetMode="External" Target="https://www.legis.iowa.gov/docs/iac/rule/199.24.10.pdf" Type="http://schemas.openxmlformats.org/officeDocument/2006/relationships/hyperlink" Id="rId37"/>
    <Relationship TargetMode="External" Target="https://www.legis.iowa.gov/docs/ico/chapter/28E.pdf" Type="http://schemas.openxmlformats.org/officeDocument/2006/relationships/hyperlink" Id="rId38"/>
    <Relationship TargetMode="External" Target="https://www.legis.iowa.gov/docs/iac/rule/199.24.8.pdf" Type="http://schemas.openxmlformats.org/officeDocument/2006/relationships/hyperlink" Id="rId39"/>
    <Relationship TargetMode="External" Target="https://www.legis.iowa.gov/docs/ico/chapter/28E.pdf" Type="http://schemas.openxmlformats.org/officeDocument/2006/relationships/hyperlink" Id="rId40"/>
    <Relationship TargetMode="External" Target="https://www.legis.iowa.gov/docs/ico/chapter/476.53.pdf" Type="http://schemas.openxmlformats.org/officeDocument/2006/relationships/hyperlink" Id="rId41"/>
    <Relationship TargetMode="External" Target="https://www.legis.iowa.gov/docs/ico/chapter/17A.16.pdf" Type="http://schemas.openxmlformats.org/officeDocument/2006/relationships/hyperlink" Id="rId42"/>
    <Relationship TargetMode="External" Target="https://www.legis.iowa.gov/docs/ico/chapter/476.12.pdf" Type="http://schemas.openxmlformats.org/officeDocument/2006/relationships/hyperlink" Id="rId43"/>
    <Relationship TargetMode="External" Target="https://www.legis.iowa.gov/docs/iac/rule/199.7.27.pdf" Type="http://schemas.openxmlformats.org/officeDocument/2006/relationships/hyperlink" Id="rId44"/>
    <Relationship TargetMode="External" Target="https://www.legis.iowa.gov/docs/iac/rule/199.24.12.pdf" Type="http://schemas.openxmlformats.org/officeDocument/2006/relationships/hyperlink" Id="rId45"/>
    <Relationship TargetMode="External" Target="https://www.legis.iowa.gov/docs/iac/rule/199.24.11.pdf" Type="http://schemas.openxmlformats.org/officeDocument/2006/relationships/hyperlink" Id="rId46"/>
    <Relationship TargetMode="External" Target="https://www.legis.iowa.gov/docs/ico/chapter/6B.pdf" Type="http://schemas.openxmlformats.org/officeDocument/2006/relationships/hyperlink" Id="rId47"/>
    <Relationship TargetMode="External" Target="https://www.legis.iowa.gov/docs/ico/chapter/476.53.pdf" Type="http://schemas.openxmlformats.org/officeDocument/2006/relationships/hyperlink" Id="rId48"/>
    <Relationship TargetMode="External" Target="https://www.legis.iowa.gov/docs/iac/rule/199.24.3.pdf" Type="http://schemas.openxmlformats.org/officeDocument/2006/relationships/hyperlink" Id="rId49"/>
    <Relationship TargetMode="External" Target="https://www.legis.iowa.gov/docs/iac/rule/199.24.4.pdf" Type="http://schemas.openxmlformats.org/officeDocument/2006/relationships/hyperlink" Id="rId50"/>
    <Relationship TargetMode="External" Target="https://www.legis.iowa.gov/docs/iac/rule/199.24.7.pdf" Type="http://schemas.openxmlformats.org/officeDocument/2006/relationships/hyperlink" Id="rId51"/>
    <Relationship TargetMode="External" Target="https://www.legis.iowa.gov/docs/iac/rule/199.24.6.pdf" Type="http://schemas.openxmlformats.org/officeDocument/2006/relationships/hyperlink" Id="rId52"/>
    <Relationship TargetMode="External" Target="https://www.legis.iowa.gov/docs/iac/rule/199.24.13.pdf" Type="http://schemas.openxmlformats.org/officeDocument/2006/relationships/hyperlink" Id="rId53"/>
    <Relationship TargetMode="External" Target="https://www.legis.iowa.gov/docs/iac/rule/199.24.13.pdf" Type="http://schemas.openxmlformats.org/officeDocument/2006/relationships/hyperlink" Id="rId54"/>
    <Relationship TargetMode="External" Target="https://www.legis.iowa.gov/docs/iac/rule/199.24.10.pdf" Type="http://schemas.openxmlformats.org/officeDocument/2006/relationships/hyperlink" Id="rId55"/>
    <Relationship TargetMode="External" Target="https://www.legis.iowa.gov/docs/iac/rule/199.24.10.pdf" Type="http://schemas.openxmlformats.org/officeDocument/2006/relationships/hyperlink" Id="rId56"/>
    <Relationship TargetMode="External" Target="https://www.legis.iowa.gov/docs/ico/chapter/476A.pdf" Type="http://schemas.openxmlformats.org/officeDocument/2006/relationships/hyperlink" Id="rId57"/>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