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ANNUAL REPORT</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5/8/29</w:t>
      </w:r>
    </w:p>
    <w:p>
      <w:pPr>
        <w:spacing w:before="0" w:after="0"/>
        <w:ind w:left="120"/>
        <w:jc w:val="both"/>
      </w:pPr>
      <w:r>
        <w:rPr>
          <w:rFonts w:ascii="Times New Roman" w:hAnsi="Times New Roman"/>
          <w:b/>
          <w:i w:val="false"/>
          <w:color w:val="000000"/>
          <w:sz w:val="22"/>
        </w:rPr>
        <w:t>199—23.1</w:t>
      </w:r>
      <w:r>
        <w:rPr>
          <w:rFonts w:ascii="Times New Roman" w:hAnsi="Times New Roman"/>
          <w:b/>
          <w:i w:val="false"/>
          <w:color w:val="000000"/>
          <w:sz w:val="22"/>
        </w:rPr>
        <w:t xml:space="preserve">(476)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w:t>
      </w:r>
      <w:r>
        <w:rPr>
          <w:rFonts w:ascii="Times New Roman" w:hAnsi="Times New Roman"/>
          <w:b w:val="false"/>
          <w:i w:val="false"/>
          <w:color w:val="000000"/>
          <w:sz w:val="22"/>
        </w:rPr>
        <w:t> </w:t>
      </w:r>
      <w:r>
        <w:rPr>
          <w:rFonts w:ascii="Times New Roman" w:hAnsi="Times New Roman"/>
          <w:b w:val="false"/>
          <w:i w:val="false"/>
          <w:color w:val="000000"/>
          <w:sz w:val="22"/>
        </w:rPr>
        <w:t>Every public utility shall keep and render its books, accounts, papers, and records accurately and faithfully in the manner and form prescribed by the commission and comply with all directions of the commission relating to such books, accounts, papers,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public utility subject to Iowa Code chapter </w:t>
      </w:r>
      <w:hyperlink r:id="rId5">
        <w:r>
          <w:rPr>
            <w:rStyle w:val="Hyperlink"/>
            <w:rFonts w:ascii="Times New Roman" w:hAnsi="Times New Roman"/>
            <w:b w:val="false"/>
            <w:i w:val="false"/>
            <w:color w:val="000000"/>
            <w:sz w:val="22"/>
          </w:rPr>
          <w:t>476</w:t>
        </w:r>
      </w:hyperlink>
      <w:r>
        <w:rPr>
          <w:rFonts w:ascii="Times New Roman" w:hAnsi="Times New Roman"/>
          <w:b w:val="false"/>
          <w:i w:val="false"/>
          <w:color w:val="000000"/>
          <w:sz w:val="22"/>
        </w:rPr>
        <w:t xml:space="preserve"> shall file an annual report with this commission on or before April 1 of each year covering operations during the immediately preceding calendar year. This information will be used for a number of purposes, including to apportion the costs of the utilities commission pursuant to Iowa Code section </w:t>
      </w:r>
      <w:hyperlink r:id="rId6">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 xml:space="preserve"> and to determine whether rate-regulated utilities’ earnings are excessive pursuant to Iowa Code section </w:t>
      </w:r>
      <w:hyperlink r:id="rId7">
        <w:r>
          <w:rPr>
            <w:rStyle w:val="Hyperlink"/>
            <w:rFonts w:ascii="Times New Roman" w:hAnsi="Times New Roman"/>
            <w:b w:val="false"/>
            <w:i w:val="false"/>
            <w:color w:val="000000"/>
            <w:sz w:val="22"/>
          </w:rPr>
          <w:t>476.32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w:t>
      </w:r>
      <w:r>
        <w:rPr>
          <w:rFonts w:ascii="Times New Roman" w:hAnsi="Times New Roman"/>
          <w:b w:val="false"/>
          <w:i w:val="false"/>
          <w:color w:val="000000"/>
          <w:sz w:val="22"/>
        </w:rPr>
        <w:t> </w:t>
      </w:r>
      <w:r>
        <w:rPr>
          <w:rFonts w:ascii="Times New Roman" w:hAnsi="Times New Roman"/>
          <w:b w:val="false"/>
          <w:i w:val="false"/>
          <w:color w:val="000000"/>
          <w:sz w:val="22"/>
        </w:rPr>
        <w:t>The forms that are to be completed by each utility will be made publicly available on the commission’s website or by other means readily accessible. The commission may direct the utilities to file the completed forms through a portal on the commission’s website or the commission’s electronic filing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7752C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199—23.2</w:t>
      </w:r>
      <w:r>
        <w:rPr>
          <w:rFonts w:ascii="Times New Roman" w:hAnsi="Times New Roman"/>
          <w:b/>
          <w:i w:val="false"/>
          <w:color w:val="000000"/>
          <w:sz w:val="22"/>
        </w:rPr>
        <w:t xml:space="preserve">(476) </w:t>
      </w:r>
      <w:r>
        <w:rPr>
          <w:rFonts w:ascii="Times New Roman" w:hAnsi="Times New Roman"/>
          <w:b/>
          <w:i w:val="false"/>
          <w:color w:val="000000"/>
          <w:sz w:val="22"/>
        </w:rPr>
        <w:t xml:space="preserve">Annual report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The following annual report forms shall be filed by the following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Investor-owned, rate-regulated electric utilities file Form IE-1 with a copy of that utility’s Federal Energy Regulatory Commission (FERC) Annual Report Form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 or 1A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Investor-owned, non-rate-regulated electric utilities file Form EC-1.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Investor-owned gas utilities file Form IG-1 with a copy of that utility’s FERC Annual Report Form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 or 2A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Regulated water utilities file Form WA-1.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Cooperative electric utilities file Form EC-1.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Municipally owned electric utilities file Form ME-1.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Municipally owned gas utilities file Form MG-1.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Providers of telecommunications service file Form TC-1.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Competitive natural gas providers and aggregators file Form CNGP-1.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Generation and transmission cooperatives file Form EC-1N.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Storm water drainage and sanitary sewage utilities file Form SW-1.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w:t>
      </w:r>
      <w:r>
        <w:rPr>
          <w:rFonts w:ascii="Times New Roman" w:hAnsi="Times New Roman"/>
          <w:b w:val="false"/>
          <w:i w:val="false"/>
          <w:color w:val="000000"/>
          <w:sz w:val="22"/>
        </w:rPr>
        <w:t> </w:t>
      </w:r>
      <w:r>
        <w:rPr>
          <w:rFonts w:ascii="Times New Roman" w:hAnsi="Times New Roman"/>
          <w:b w:val="false"/>
          <w:i/>
          <w:color w:val="000000"/>
          <w:sz w:val="22"/>
        </w:rPr>
        <w:t xml:space="preserve">Additional requirements for rate-regulated utilities. </w:t>
      </w:r>
      <w:r>
        <w:rPr>
          <w:rFonts w:ascii="Times New Roman" w:hAnsi="Times New Roman"/>
          <w:b w:val="false"/>
          <w:i w:val="false"/>
          <w:color w:val="000000"/>
          <w:sz w:val="22"/>
        </w:rPr>
        <w:t>A rate-regulated utility shall include information concerning its Iowa operations in its report as requested on the forms and file as part of its annual report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list (by title, author and date) of any financial, statistical, technical or operational reviews or reports that a company may prepare for distribution to stockholders, bondholders, utility organizations or associations or other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list (by form number and title) of all financial, statistical, technical and operational review-related documents filed with an agency of the federal government.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7752C</w:t>
      </w:r>
      <w:r>
        <w:rPr>
          <w:rFonts w:ascii="Times New Roman" w:hAnsi="Times New Roman"/>
          <w:b w:val="false"/>
          <w:i w:val="false"/>
          <w:color w:val="000000"/>
          <w:sz w:val="16"/>
        </w:rPr>
        <w:t>, IAB 4/3/24, effective 5/8/24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476.9</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476.10</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476.22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476.31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12/12/67]</w:t>
      </w:r>
    </w:p>
    <w:p>
      <w:pPr>
        <w:spacing w:before="0" w:after="0"/>
        <w:ind w:left="120"/>
        <w:jc w:val="center"/>
      </w:pPr>
      <w:r>
        <w:rPr>
          <w:rFonts w:ascii="Times New Roman" w:hAnsi="Times New Roman"/>
          <w:b w:val="false"/>
          <w:i w:val="false"/>
          <w:color w:val="000000"/>
          <w:sz w:val="21"/>
        </w:rPr>
        <w:t>[Filed 9/30/77, Notice 6/29/77—published 10/19/77, effective 11/23/77]</w:t>
      </w:r>
    </w:p>
    <w:p>
      <w:pPr>
        <w:spacing w:before="0" w:after="0"/>
        <w:ind w:left="120"/>
        <w:jc w:val="center"/>
      </w:pPr>
      <w:r>
        <w:rPr>
          <w:rFonts w:ascii="Times New Roman" w:hAnsi="Times New Roman"/>
          <w:b w:val="false"/>
          <w:i w:val="false"/>
          <w:color w:val="000000"/>
          <w:sz w:val="21"/>
        </w:rPr>
        <w:t>[Filed 4/11/83, Notice 1/19/83—published 4/27/83, effective 6/1/83]</w:t>
      </w:r>
    </w:p>
    <w:p>
      <w:pPr>
        <w:spacing w:before="0" w:after="0"/>
        <w:ind w:left="120"/>
        <w:jc w:val="center"/>
      </w:pPr>
      <w:r>
        <w:rPr>
          <w:rFonts w:ascii="Times New Roman" w:hAnsi="Times New Roman"/>
          <w:b w:val="false"/>
          <w:i w:val="false"/>
          <w:color w:val="000000"/>
          <w:sz w:val="21"/>
        </w:rPr>
        <w:t>[Filed 5/20/83, Notice 4/13/83—published 6/8/83, effective 7/13/83]</w:t>
      </w:r>
    </w:p>
    <w:p>
      <w:pPr>
        <w:spacing w:before="0" w:after="0"/>
        <w:ind w:left="120"/>
        <w:jc w:val="center"/>
      </w:pPr>
      <w:r>
        <w:rPr>
          <w:rFonts w:ascii="Times New Roman" w:hAnsi="Times New Roman"/>
          <w:b w:val="false"/>
          <w:i w:val="false"/>
          <w:color w:val="000000"/>
          <w:sz w:val="21"/>
        </w:rPr>
        <w:t>[Filed 9/10/84, Notice 2/15/84—published 9/26/84, effective 10/31/84]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3/16/90, Notice 11/29/89—published 4/4/90, effective 5/9/90]</w:t>
      </w:r>
    </w:p>
    <w:p>
      <w:pPr>
        <w:spacing w:before="0" w:after="0"/>
        <w:ind w:left="120"/>
        <w:jc w:val="center"/>
      </w:pPr>
      <w:r>
        <w:rPr>
          <w:rFonts w:ascii="Times New Roman" w:hAnsi="Times New Roman"/>
          <w:b w:val="false"/>
          <w:i w:val="false"/>
          <w:color w:val="000000"/>
          <w:sz w:val="21"/>
        </w:rPr>
        <w:t>[Filed 4/14/00, Notice 2/23/00—published 5/3/00, effective 6/7/00]</w:t>
      </w:r>
    </w:p>
    <w:p>
      <w:pPr>
        <w:spacing w:before="0" w:after="0"/>
        <w:ind w:left="120"/>
        <w:jc w:val="center"/>
      </w:pPr>
      <w:r>
        <w:rPr>
          <w:rFonts w:ascii="Times New Roman" w:hAnsi="Times New Roman"/>
          <w:b w:val="false"/>
          <w:i w:val="false"/>
          <w:color w:val="000000"/>
          <w:sz w:val="21"/>
        </w:rPr>
        <w:t>[Filed 6/6/03, Notice 12/25/02—published 6/25/03, effective 7/30/03]</w:t>
      </w:r>
    </w:p>
    <w:p>
      <w:pPr>
        <w:spacing w:before="0" w:after="0"/>
        <w:ind w:left="120"/>
        <w:jc w:val="center"/>
      </w:pPr>
      <w:r>
        <w:rPr>
          <w:rFonts w:ascii="Times New Roman" w:hAnsi="Times New Roman"/>
          <w:b w:val="false"/>
          <w:i w:val="false"/>
          <w:color w:val="000000"/>
          <w:sz w:val="21"/>
        </w:rPr>
        <w:t>[Editorial change: IAC Supplement 1/8/14]</w:t>
      </w:r>
    </w:p>
    <w:p>
      <w:pPr>
        <w:spacing w:before="0" w:after="0"/>
        <w:ind w:left="120"/>
        <w:jc w:val="center"/>
      </w:pPr>
      <w:r>
        <w:rPr>
          <w:rFonts w:ascii="Times New Roman" w:hAnsi="Times New Roman"/>
          <w:b w:val="false"/>
          <w:i w:val="false"/>
          <w:color w:val="000000"/>
          <w:sz w:val="21"/>
        </w:rPr>
        <w:t>[Filed ARC 4616C</w:t>
      </w:r>
      <w:r>
        <w:rPr>
          <w:rFonts w:ascii="Times New Roman" w:hAnsi="Times New Roman"/>
          <w:b w:val="false"/>
          <w:i w:val="false"/>
          <w:color w:val="000000"/>
          <w:sz w:val="21"/>
        </w:rPr>
        <w:t xml:space="preserve"> (Notice ARC 4420C, IAB 5/8/19)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7752C</w:t>
      </w:r>
      <w:r>
        <w:rPr>
          <w:rFonts w:ascii="Times New Roman" w:hAnsi="Times New Roman"/>
          <w:b w:val="false"/>
          <w:i w:val="false"/>
          <w:color w:val="000000"/>
          <w:sz w:val="21"/>
        </w:rPr>
        <w:t xml:space="preserve"> (Notice ARC 7579C, IAB 2/7/24)</w:t>
      </w:r>
      <w:r>
        <w:rPr>
          <w:rFonts w:ascii="Times New Roman" w:hAnsi="Times New Roman"/>
          <w:b w:val="false"/>
          <w:i w:val="false"/>
          <w:color w:val="000000"/>
          <w:sz w:val="21"/>
        </w:rPr>
        <w:t>, IAB 4/3/24, effective 5/8/24]</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76.10.pdf" Type="http://schemas.openxmlformats.org/officeDocument/2006/relationships/hyperlink" Id="rId6"/>
    <Relationship TargetMode="External" Target="https://www.legis.iowa.gov/docs/ico/chapter/476.32.pdf" Type="http://schemas.openxmlformats.org/officeDocument/2006/relationships/hyperlink" Id="rId7"/>
    <Relationship TargetMode="External" Target="https://www.legis.iowa.gov/docs/ico/chapter/476.2.pdf" Type="http://schemas.openxmlformats.org/officeDocument/2006/relationships/hyperlink" Id="rId8"/>
    <Relationship TargetMode="External" Target="https://www.legis.iowa.gov/docs/ico/chapter/476.9.pdf" Type="http://schemas.openxmlformats.org/officeDocument/2006/relationships/hyperlink" Id="rId9"/>
    <Relationship TargetMode="External" Target="https://www.legis.iowa.gov/docs/ico/chapter/476.10.pdf" Type="http://schemas.openxmlformats.org/officeDocument/2006/relationships/hyperlink" Id="rId10"/>
    <Relationship TargetMode="External" Target="https://www.legis.iowa.gov/docs/ico/chapter/476.22.pdf" Type="http://schemas.openxmlformats.org/officeDocument/2006/relationships/hyperlink" Id="rId11"/>
    <Relationship TargetMode="External" Target="https://www.legis.iowa.gov/docs/ico/chapter/476.31.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