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w:t>
      </w:r>
    </w:p>
    <w:p>
      <w:pPr>
        <w:spacing w:before="0" w:after="0"/>
        <w:ind w:left="120"/>
        <w:jc w:val="center"/>
      </w:pPr>
      <w:r>
        <w:rPr>
          <w:rFonts w:ascii="Times New Roman" w:hAnsi="Times New Roman"/>
          <w:b w:val="false"/>
          <w:i w:val="false"/>
          <w:color w:val="000000"/>
          <w:sz w:val="21"/>
        </w:rPr>
        <w:t>REGULATION OF TELECOMMUNICATIONS SERVICE</w:t>
      </w:r>
    </w:p>
    <w:p>
      <w:pPr>
        <w:spacing w:before="0" w:after="0"/>
        <w:ind w:left="120"/>
        <w:jc w:val="center"/>
      </w:pPr>
      <w:r>
        <w:rPr>
          <w:rFonts w:ascii="Times New Roman" w:hAnsi="Times New Roman"/>
          <w:b w:val="false"/>
          <w:i w:val="false"/>
          <w:color w:val="000000"/>
          <w:sz w:val="14"/>
        </w:rPr>
        <w:t>[Prior to 10/8/86, Commerce Commission[250]]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4/9/30</w:t>
      </w:r>
    </w:p>
    <w:p>
      <w:pPr>
        <w:spacing w:before="0" w:after="0"/>
        <w:ind w:left="120"/>
        <w:jc w:val="both"/>
      </w:pPr>
      <w:r>
        <w:rPr>
          <w:rFonts w:ascii="Times New Roman" w:hAnsi="Times New Roman"/>
          <w:b/>
          <w:i w:val="false"/>
          <w:color w:val="000000"/>
          <w:sz w:val="22"/>
        </w:rPr>
        <w:t>199—22.1</w:t>
      </w:r>
      <w:r>
        <w:rPr>
          <w:rFonts w:ascii="Times New Roman" w:hAnsi="Times New Roman"/>
          <w:b/>
          <w:i w:val="false"/>
          <w:color w:val="000000"/>
          <w:sz w:val="22"/>
        </w:rPr>
        <w:t xml:space="preserve">(476)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purpose of rules. </w:t>
      </w:r>
      <w:r>
        <w:rPr>
          <w:rFonts w:ascii="Times New Roman" w:hAnsi="Times New Roman"/>
          <w:b w:val="false"/>
          <w:i w:val="false"/>
          <w:color w:val="000000"/>
          <w:sz w:val="22"/>
        </w:rPr>
        <w:t xml:space="preserve">These rules shall apply to any telecommunications service provider operating within the state of Iowa subject to Iowa Code chapter </w:t>
      </w:r>
      <w:hyperlink r:id="rId5">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 These rules are intended to govern the exercise of the commission’s powers and duties relating to the provision of telecommunications service in the state of Iowa, and to govern the form, contents, and filing of registrations, tariffs, and other documents necessary to carry out the commission’s powers and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administration and interpretation of these rules, the following words and terms shall have the meanings indicated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“Alternative operator services company”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“AOS company”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476.91(1)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“Calls” </w:t>
      </w:r>
      <w:r>
        <w:rPr>
          <w:rFonts w:ascii="Times New Roman" w:hAnsi="Times New Roman"/>
          <w:b w:val="false"/>
          <w:i w:val="false"/>
          <w:color w:val="000000"/>
          <w:sz w:val="22"/>
        </w:rPr>
        <w:t>means telephone messages attempted by customers or users.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“Code of Federal Regulations”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“CFR” </w:t>
      </w:r>
      <w:r>
        <w:rPr>
          <w:rFonts w:ascii="Times New Roman" w:hAnsi="Times New Roman"/>
          <w:b w:val="false"/>
          <w:i w:val="false"/>
          <w:color w:val="000000"/>
          <w:sz w:val="22"/>
        </w:rPr>
        <w:t>means the Code of Federal Regulations, which contains the general administrative rules adopted by federal departments and agencies, in effect as of April 9, 2025, unless a separate effective date is identified in a specific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Iowa utilities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“Competitive local exchange carrier”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“CLEC” </w:t>
      </w:r>
      <w:r>
        <w:rPr>
          <w:rFonts w:ascii="Times New Roman" w:hAnsi="Times New Roman"/>
          <w:b w:val="false"/>
          <w:i w:val="false"/>
          <w:color w:val="000000"/>
          <w:sz w:val="22"/>
        </w:rPr>
        <w:t>means any local exchange carrier that is not an incumbent local exchange carrier.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“Customer” </w:t>
      </w:r>
      <w:r>
        <w:rPr>
          <w:rFonts w:ascii="Times New Roman" w:hAnsi="Times New Roman"/>
          <w:b w:val="false"/>
          <w:i w:val="false"/>
          <w:color w:val="000000"/>
          <w:sz w:val="22"/>
        </w:rPr>
        <w:t xml:space="preserve">means any person as defined in Iowa Code section </w:t>
      </w:r>
      <w:hyperlink r:id="rId7">
        <w:r>
          <w:rPr>
            <w:rStyle w:val="Hyperlink"/>
            <w:rFonts w:ascii="Times New Roman" w:hAnsi="Times New Roman"/>
            <w:b w:val="false"/>
            <w:i w:val="false"/>
            <w:color w:val="000000"/>
            <w:sz w:val="22"/>
          </w:rPr>
          <w:t>4.1(20)</w:t>
        </w:r>
      </w:hyperlink>
      <w:r>
        <w:rPr>
          <w:rFonts w:ascii="Times New Roman" w:hAnsi="Times New Roman"/>
          <w:b w:val="false"/>
          <w:i w:val="false"/>
          <w:color w:val="000000"/>
          <w:sz w:val="22"/>
        </w:rPr>
        <w:t xml:space="preserve"> responsible by law for payment for communications service from the telecommunications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“Exchange” </w:t>
      </w:r>
      <w:r>
        <w:rPr>
          <w:rFonts w:ascii="Times New Roman" w:hAnsi="Times New Roman"/>
          <w:b w:val="false"/>
          <w:i w:val="false"/>
          <w:color w:val="000000"/>
          <w:sz w:val="22"/>
        </w:rPr>
        <w:t>means a unit established by a telecommunications service provider for the administration of communications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“Exchange area” </w:t>
      </w:r>
      <w:r>
        <w:rPr>
          <w:rFonts w:ascii="Times New Roman" w:hAnsi="Times New Roman"/>
          <w:b w:val="false"/>
          <w:i w:val="false"/>
          <w:color w:val="000000"/>
          <w:sz w:val="22"/>
        </w:rPr>
        <w:t>means the general area in which the telecommunications service provider holds itself out to furnish local exchange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“High-volume access service”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“HVAS” </w:t>
      </w:r>
      <w:r>
        <w:rPr>
          <w:rFonts w:ascii="Times New Roman" w:hAnsi="Times New Roman"/>
          <w:b w:val="false"/>
          <w:i w:val="false"/>
          <w:color w:val="000000"/>
          <w:sz w:val="22"/>
        </w:rPr>
        <w:t>means any service that results in an increase in total billings for intrastate exchange access for a local exchange carrier in excess of 100 percent in less than six months. By way of illustration and not limitation, HVAS typically results in significant increases in interexchange call volumes and can include chat lines, conference bridges, call center operations, help desk provisioning, or similar operations. These services may be advertised to consumers as being free or for the cost of a long distance call. The call service operators often provide marketing activities for HVAS in exchange for direct payments, revenue sharing, concessions, or commissions from local telecommunications service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“Incumbent local exchange carrier”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“ILEC” </w:t>
      </w:r>
      <w:r>
        <w:rPr>
          <w:rFonts w:ascii="Times New Roman" w:hAnsi="Times New Roman"/>
          <w:b w:val="false"/>
          <w:i w:val="false"/>
          <w:color w:val="000000"/>
          <w:sz w:val="22"/>
        </w:rPr>
        <w:t>means a local exchange carrier, or its successor, that was the historical provider of local exchange service pursuant to an authorized certificate of public convenience and necessity within a specific geographic area described in maps approved by the commission as of September 30, 1992.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“Interexchange carrier” </w:t>
      </w:r>
      <w:r>
        <w:rPr>
          <w:rFonts w:ascii="Times New Roman" w:hAnsi="Times New Roman"/>
          <w:b w:val="false"/>
          <w:i w:val="false"/>
          <w:color w:val="000000"/>
          <w:sz w:val="22"/>
        </w:rPr>
        <w:t>means a telecommunications service provider, a resale telecommunications service provider, or other entity that provides intrastate interexchange services, without regard to how such traffic is carried. A local exchange carrier that provides interexchange service may also be considered an interexchange carrier. An interexchange carrier that provides local exchange service may also be considered a local exchange carrier.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“Interexchange service” </w:t>
      </w:r>
      <w:r>
        <w:rPr>
          <w:rFonts w:ascii="Times New Roman" w:hAnsi="Times New Roman"/>
          <w:b w:val="false"/>
          <w:i w:val="false"/>
          <w:color w:val="000000"/>
          <w:sz w:val="22"/>
        </w:rPr>
        <w:t>means the provision of intrastate telecommunications services and facilities between local exchanges.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“InterLATA toll service” </w:t>
      </w:r>
      <w:r>
        <w:rPr>
          <w:rFonts w:ascii="Times New Roman" w:hAnsi="Times New Roman"/>
          <w:b w:val="false"/>
          <w:i w:val="false"/>
          <w:color w:val="000000"/>
          <w:sz w:val="22"/>
        </w:rPr>
        <w:t>means toll service that originates and terminates between local access transport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“Internet protocol-enabled service”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476.95(1)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“IntraLATA toll service” </w:t>
      </w:r>
      <w:r>
        <w:rPr>
          <w:rFonts w:ascii="Times New Roman" w:hAnsi="Times New Roman"/>
          <w:b w:val="false"/>
          <w:i w:val="false"/>
          <w:color w:val="000000"/>
          <w:sz w:val="22"/>
        </w:rPr>
        <w:t>means toll service that originates and terminates within the same local access transport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“Intrastate access services” </w:t>
      </w:r>
      <w:r>
        <w:rPr>
          <w:rFonts w:ascii="Times New Roman" w:hAnsi="Times New Roman"/>
          <w:b w:val="false"/>
          <w:i w:val="false"/>
          <w:color w:val="000000"/>
          <w:sz w:val="22"/>
        </w:rPr>
        <w:t>means services of telecommunications service providers that provide the capability to deliver intrastate telecommunications services that originate from end users to interexchange carriers and the capability to deliver intrastate telecommunications services from interexchange carriers to end users.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exchange carrier” </w:t>
      </w:r>
      <w:r>
        <w:rPr>
          <w:rFonts w:ascii="Times New Roman" w:hAnsi="Times New Roman"/>
          <w:b w:val="false"/>
          <w:i w:val="false"/>
          <w:color w:val="000000"/>
          <w:sz w:val="22"/>
        </w:rPr>
        <w:t>means a telecommunications service provider that provides local exchange service or exchange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exchange service” </w:t>
      </w:r>
      <w:r>
        <w:rPr>
          <w:rFonts w:ascii="Times New Roman" w:hAnsi="Times New Roman"/>
          <w:b w:val="false"/>
          <w:i w:val="false"/>
          <w:color w:val="000000"/>
          <w:sz w:val="22"/>
        </w:rPr>
        <w:t>means telecommunications service furnished between customers or users located within an exchange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“Message” </w:t>
      </w:r>
      <w:r>
        <w:rPr>
          <w:rFonts w:ascii="Times New Roman" w:hAnsi="Times New Roman"/>
          <w:b w:val="false"/>
          <w:i w:val="false"/>
          <w:color w:val="000000"/>
          <w:sz w:val="22"/>
        </w:rPr>
        <w:t>means a completed telephone call by a customer or user.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“Rates” </w:t>
      </w:r>
      <w:r>
        <w:rPr>
          <w:rFonts w:ascii="Times New Roman" w:hAnsi="Times New Roman"/>
          <w:b w:val="false"/>
          <w:i w:val="false"/>
          <w:color w:val="000000"/>
          <w:sz w:val="22"/>
        </w:rPr>
        <w:t>means amounts billed to customers for alternative operator services or intrastate access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“Retail services” </w:t>
      </w:r>
      <w:r>
        <w:rPr>
          <w:rFonts w:ascii="Times New Roman" w:hAnsi="Times New Roman"/>
          <w:b w:val="false"/>
          <w:i w:val="false"/>
          <w:color w:val="000000"/>
          <w:sz w:val="22"/>
        </w:rPr>
        <w:t>means those communications services furnished by a telecommunications service provider directly to end-user customers. For an alternative operator services company, the terms and conditions of its retail services are addressed in an approved intrastate tariff.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“Tariff” </w:t>
      </w:r>
      <w:r>
        <w:rPr>
          <w:rFonts w:ascii="Times New Roman" w:hAnsi="Times New Roman"/>
          <w:b w:val="false"/>
          <w:i w:val="false"/>
          <w:color w:val="000000"/>
          <w:sz w:val="22"/>
        </w:rPr>
        <w:t>means such rates, classifications, rules, procedures, policies, etc., adopted and filed with the commission by a telecommunications service provider to the extent required by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“Telecommunications” </w:t>
      </w:r>
      <w:r>
        <w:rPr>
          <w:rFonts w:ascii="Times New Roman" w:hAnsi="Times New Roman"/>
          <w:b w:val="false"/>
          <w:i w:val="false"/>
          <w:color w:val="000000"/>
          <w:sz w:val="22"/>
        </w:rPr>
        <w:t>means the transmission, between or among points specified by the user, of information of the user’s choosing, without change in the form or content of the information as sent and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“Telecommunications Act”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“federal Telecommunications Act” </w:t>
      </w:r>
      <w:r>
        <w:rPr>
          <w:rFonts w:ascii="Times New Roman" w:hAnsi="Times New Roman"/>
          <w:b w:val="false"/>
          <w:i w:val="false"/>
          <w:color w:val="000000"/>
          <w:sz w:val="22"/>
        </w:rPr>
        <w:t>means the Telecommunications Act of 1996, as of October 17, 2020.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“Telecommunications service” </w:t>
      </w:r>
      <w:r>
        <w:rPr>
          <w:rFonts w:ascii="Times New Roman" w:hAnsi="Times New Roman"/>
          <w:b w:val="false"/>
          <w:i w:val="false"/>
          <w:color w:val="000000"/>
          <w:sz w:val="22"/>
        </w:rPr>
        <w:t xml:space="preserve">means the offering of telecommunications to the public for compensation, or to such classes of users as to be effectively available to the public, regardless of facilities used.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“Telecommunications service provider”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“service provider” </w:t>
      </w:r>
      <w:r>
        <w:rPr>
          <w:rFonts w:ascii="Times New Roman" w:hAnsi="Times New Roman"/>
          <w:b w:val="false"/>
          <w:i w:val="false"/>
          <w:color w:val="000000"/>
          <w:sz w:val="22"/>
        </w:rPr>
        <w:t xml:space="preserve">means a provider of telecommunications service, except for a provider of commercial mobile radio service. A telecommunications service provider or service provider includes without limitation alternative operator service companies and providers of wholesale services. The commission’s jurisdiction over any Internet-protocol enabled services or provider of Internet-protocol enabled services shall be limited as provided in Iowa Code section </w:t>
      </w:r>
      <w:hyperlink r:id="rId9">
        <w:r>
          <w:rPr>
            <w:rStyle w:val="Hyperlink"/>
            <w:rFonts w:ascii="Times New Roman" w:hAnsi="Times New Roman"/>
            <w:b w:val="false"/>
            <w:i w:val="false"/>
            <w:color w:val="000000"/>
            <w:sz w:val="22"/>
          </w:rPr>
          <w:t>476.95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“Traffic” </w:t>
      </w:r>
      <w:r>
        <w:rPr>
          <w:rFonts w:ascii="Times New Roman" w:hAnsi="Times New Roman"/>
          <w:b w:val="false"/>
          <w:i w:val="false"/>
          <w:color w:val="000000"/>
          <w:sz w:val="22"/>
        </w:rPr>
        <w:t>means telephone call volume, based on number and duration of calls.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“Voice over Internet protocol service”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476.95(1)</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“Wholesale services” </w:t>
      </w:r>
      <w:r>
        <w:rPr>
          <w:rFonts w:ascii="Times New Roman" w:hAnsi="Times New Roman"/>
          <w:b w:val="false"/>
          <w:i w:val="false"/>
          <w:color w:val="000000"/>
          <w:sz w:val="22"/>
        </w:rPr>
        <w:t xml:space="preserve">means those communications services furnished by one telecommunications service provider to another provider of communications services. The terms and conditions of wholesale services may be addressed in a telecommunications service provider’s approved intrastate access tariff, local interconnection tariff, interconnection agreement reached under Sections 251 and 252 of the federal Telecommunications Act (2020), or in a commercial agreement reached between the providers. Nothing in this chapter affects, limits, modifies, or expands an entity’s obligations under Sections 251 and 252 of the federal Telecommunications Act (2020); any commission authority over wholesale telecommunications rates, services, agreements, interconnection, providers, or tariffs; or any commission authority addressing or affecting the resolution of disputes regarding compensation between telecommunications service providers.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199—22.2</w:t>
      </w:r>
      <w:r>
        <w:rPr>
          <w:rFonts w:ascii="Times New Roman" w:hAnsi="Times New Roman"/>
          <w:b/>
          <w:i w:val="false"/>
          <w:color w:val="000000"/>
          <w:sz w:val="22"/>
        </w:rPr>
        <w:t xml:space="preserve">(476) </w:t>
      </w:r>
      <w:r>
        <w:rPr>
          <w:rFonts w:ascii="Times New Roman" w:hAnsi="Times New Roman"/>
          <w:b/>
          <w:i w:val="false"/>
          <w:color w:val="000000"/>
          <w:sz w:val="22"/>
        </w:rPr>
        <w:t xml:space="preserve">Tariffs.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22.2(1)</w:t>
      </w:r>
      <w:r>
        <w:rPr>
          <w:rFonts w:ascii="Times New Roman" w:hAnsi="Times New Roman"/>
          <w:b w:val="false"/>
          <w:i w:val="false"/>
          <w:color w:val="000000"/>
          <w:sz w:val="22"/>
        </w:rPr>
        <w:t> </w:t>
      </w:r>
      <w:r>
        <w:rPr>
          <w:rFonts w:ascii="Times New Roman" w:hAnsi="Times New Roman"/>
          <w:b w:val="false"/>
          <w:i/>
          <w:color w:val="000000"/>
          <w:sz w:val="22"/>
        </w:rPr>
        <w:t xml:space="preserve">Tariffs to be filed with the commission. </w:t>
      </w:r>
      <w:r>
        <w:rPr>
          <w:rFonts w:ascii="Times New Roman" w:hAnsi="Times New Roman"/>
          <w:b w:val="false"/>
          <w:i w:val="false"/>
          <w:color w:val="000000"/>
          <w:sz w:val="22"/>
        </w:rPr>
        <w:t>Telecommunications service providers that are required to file tariffs with the commission shall maintain tariffs in a current status. The tariffs shall be classified, designated, arranged, and submitted so as to conform to the requirements of this chapter or commission order. Provisions in the tariffs shall be definite and stated so as to minimize ambiguity or the possibility of misinterpretation. The form, identification, and content of tariffs shall be in accordance with these rules unless otherwise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22.2(2)</w:t>
      </w:r>
      <w:r>
        <w:rPr>
          <w:rFonts w:ascii="Times New Roman" w:hAnsi="Times New Roman"/>
          <w:b w:val="false"/>
          <w:i w:val="false"/>
          <w:color w:val="000000"/>
          <w:sz w:val="22"/>
        </w:rPr>
        <w:t> </w:t>
      </w:r>
      <w:r>
        <w:rPr>
          <w:rFonts w:ascii="Times New Roman" w:hAnsi="Times New Roman"/>
          <w:b w:val="false"/>
          <w:i/>
          <w:color w:val="000000"/>
          <w:sz w:val="22"/>
        </w:rPr>
        <w:t xml:space="preserve">Form and identification. </w:t>
      </w:r>
      <w:r>
        <w:rPr>
          <w:rFonts w:ascii="Times New Roman" w:hAnsi="Times New Roman"/>
          <w:b w:val="false"/>
          <w:i w:val="false"/>
          <w:color w:val="000000"/>
          <w:sz w:val="22"/>
        </w:rPr>
        <w:t>All tariffs shall conform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tariff shall be formatted so as to result in a clear and permanent record. The sheets of the tariff should be ruled or spaced to set off a border on the left side. In the case of telecommunications service providers subject to regulation by any federal agency, the format of the sheets of the tariff filed with the commission may be the same format as is required by the federal agency, provided that the requirements of the commission as to title page; identity of superseding, replacing, or revising sheets; identity of amending sheets; and identity of the filing telecommunications service provider, issuing official, date of issue, and effective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title page of every tariff and supplement shall show the following in the order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first page shall be the title page, which shall show:</w:t>
      </w:r>
    </w:p>
    <w:tbl>
      <w:tblPr>
        <w:tblW w:w="5000" w:type="pct"/>
        <w:tblCellSpacing w:w="0" w:type="auto"/>
        <w:tblBorders>
          <w:top w:val="none"/>
          <w:left w:val="none"/>
          <w:bottom w:val="none"/>
          <w:right w:val="none"/>
          <w:insideH w:val="none"/>
          <w:insideV w:val="none"/>
        </w:tblBorders>
        <w:tblLayout w:type="fixed"/>
      </w:tblPr>
      <w:tblGrid>
        <w:gridCol w:w="11190"/>
      </w:tblGrid>
      <w:tr>
        <w:trPr>
          <w:trHeight w:val="270" w:hRule="atLeast"/>
        </w:trPr>
        <w:tc>
          <w:tcPr>
            <w:tcW w:w="1119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w:t>
            </w:r>
          </w:p>
          <w:p>
            <w:pPr>
              <w:spacing w:before="0" w:after="0"/>
              <w:ind w:left="0"/>
              <w:jc w:val="left"/>
            </w:pPr>
            <w:r>
              <w:rPr>
                <w:rFonts w:ascii="Times New Roman" w:hAnsi="Times New Roman"/>
                <w:b w:val="false"/>
                <w:i w:val="false"/>
                <w:color w:val="000000"/>
                <w:sz w:val="21"/>
              </w:rPr>
              <w:t>Name of Telecommunications Service Provider</w:t>
            </w:r>
          </w:p>
        </w:tc>
      </w:tr>
      <w:tr>
        <w:trPr>
          <w:trHeight w:val="270" w:hRule="atLeast"/>
        </w:trPr>
        <w:tc>
          <w:tcPr>
            <w:tcW w:w="1119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w:t>
            </w:r>
          </w:p>
          <w:p>
            <w:pPr>
              <w:spacing w:before="0" w:after="0"/>
              <w:ind w:left="0"/>
              <w:jc w:val="left"/>
            </w:pPr>
            <w:r>
              <w:rPr>
                <w:rFonts w:ascii="Times New Roman" w:hAnsi="Times New Roman"/>
                <w:b w:val="false"/>
                <w:i w:val="false"/>
                <w:color w:val="000000"/>
                <w:sz w:val="21"/>
              </w:rPr>
              <w:t>Telecommunications Tariff</w:t>
            </w:r>
          </w:p>
        </w:tc>
      </w:tr>
      <w:tr>
        <w:trPr>
          <w:trHeight w:val="270" w:hRule="atLeast"/>
        </w:trPr>
        <w:tc>
          <w:tcPr>
            <w:tcW w:w="1119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w:t>
            </w:r>
          </w:p>
          <w:p>
            <w:pPr>
              <w:spacing w:before="0" w:after="0"/>
              <w:ind w:left="0"/>
              <w:jc w:val="left"/>
            </w:pPr>
            <w:r>
              <w:rPr>
                <w:rFonts w:ascii="Times New Roman" w:hAnsi="Times New Roman"/>
                <w:b w:val="false"/>
                <w:i w:val="false"/>
                <w:color w:val="000000"/>
                <w:sz w:val="21"/>
              </w:rPr>
              <w:t>Filed with Iowa Utilities Commission</w:t>
            </w:r>
          </w:p>
        </w:tc>
      </w:tr>
      <w:tr>
        <w:trPr>
          <w:trHeight w:val="270" w:hRule="atLeast"/>
        </w:trPr>
        <w:tc>
          <w:tcPr>
            <w:tcW w:w="1119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w:t>
            </w:r>
          </w:p>
          <w:p>
            <w:pPr>
              <w:spacing w:before="0" w:after="0"/>
              <w:ind w:left="0"/>
              <w:jc w:val="left"/>
            </w:pPr>
            <w:r>
              <w:rPr>
                <w:rFonts w:ascii="Times New Roman" w:hAnsi="Times New Roman"/>
                <w:b w:val="false"/>
                <w:i w:val="false"/>
                <w:color w:val="000000"/>
                <w:sz w:val="21"/>
              </w:rPr>
              <w:t>Date</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tariff is to be superseded or replaced in its entirety, the replacing tariff shall show on its title page that it is a revision of a tariff on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a revision or amendment is made to a filed tariff, the revision or amendment shall show on each sheet the designation of the original tariff or the number of the immediately preceding revision or amendment that it replaces.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a new part of a tariff eliminates an existing part of a tariff, it shall state and clearly identify the part eliminated.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tariff modifications as described above shall be marked in the right-hand margin of the replacing tariff sheet with symbols as here described to indicate the place, nature, and extent of the change in text. The marked version shall show all additions and deletions, with all new language marked by underlined text and all deleted language indicated by strike-through. The following symbols are to be used in identifying changes to tariffs:</w:t>
      </w:r>
    </w:p>
    <w:tbl>
      <w:tblPr>
        <w:tblW w:w="5000" w:type="pct"/>
        <w:tblCellSpacing w:w="0" w:type="auto"/>
        <w:tblBorders>
          <w:top w:val="none"/>
          <w:left w:val="none"/>
          <w:bottom w:val="none"/>
          <w:right w:val="none"/>
          <w:insideH w:val="none"/>
          <w:insideV w:val="none"/>
        </w:tblBorders>
        <w:tblLayout w:type="fixed"/>
      </w:tblPr>
      <w:tblGrid>
        <w:gridCol w:w="2132"/>
        <w:gridCol w:w="9388"/>
      </w:tblGrid>
      <w:tr>
        <w:trPr>
          <w:trHeight w:val="270" w:hRule="atLeast"/>
        </w:trPr>
        <w:tc>
          <w:tcPr>
            <w:tcW w:w="2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u w:val="single"/>
              </w:rPr>
              <w:t>Symbol</w:t>
            </w:r>
          </w:p>
        </w:tc>
        <w:tc>
          <w:tcPr>
            <w:tcW w:w="93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u w:val="single"/>
              </w:rPr>
              <w:t>Meaning</w:t>
            </w:r>
          </w:p>
        </w:tc>
      </w:tr>
      <w:tr>
        <w:trPr>
          <w:trHeight w:val="270" w:hRule="atLeast"/>
        </w:trPr>
        <w:tc>
          <w:tcPr>
            <w:tcW w:w="213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w:t>
            </w:r>
          </w:p>
          <w:p>
            <w:pPr>
              <w:spacing w:before="0" w:after="0"/>
              <w:ind w:left="0"/>
              <w:jc w:val="left"/>
            </w:pPr>
            <w:r>
              <w:rPr>
                <w:rFonts w:ascii="Times New Roman" w:hAnsi="Times New Roman"/>
                <w:b w:val="false"/>
                <w:i w:val="false"/>
                <w:color w:val="000000"/>
                <w:sz w:val="21"/>
              </w:rPr>
              <w:t>(C)</w:t>
            </w:r>
          </w:p>
        </w:tc>
        <w:tc>
          <w:tcPr>
            <w:tcW w:w="93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 change in regulation.</w:t>
            </w:r>
          </w:p>
        </w:tc>
      </w:tr>
      <w:tr>
        <w:trPr>
          <w:trHeight w:val="270" w:hRule="atLeast"/>
        </w:trPr>
        <w:tc>
          <w:tcPr>
            <w:tcW w:w="213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w:t>
            </w:r>
          </w:p>
          <w:p>
            <w:pPr>
              <w:spacing w:before="0" w:after="0"/>
              <w:ind w:left="0"/>
              <w:jc w:val="left"/>
            </w:pPr>
            <w:r>
              <w:rPr>
                <w:rFonts w:ascii="Times New Roman" w:hAnsi="Times New Roman"/>
                <w:b w:val="false"/>
                <w:i w:val="false"/>
                <w:color w:val="000000"/>
                <w:sz w:val="21"/>
              </w:rPr>
              <w:t>(D)</w:t>
            </w:r>
          </w:p>
        </w:tc>
        <w:tc>
          <w:tcPr>
            <w:tcW w:w="93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 discontinued rate or regulation.</w:t>
            </w:r>
          </w:p>
        </w:tc>
      </w:tr>
      <w:tr>
        <w:trPr>
          <w:trHeight w:val="270" w:hRule="atLeast"/>
        </w:trPr>
        <w:tc>
          <w:tcPr>
            <w:tcW w:w="213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w:t>
            </w:r>
          </w:p>
          <w:p>
            <w:pPr>
              <w:spacing w:before="0" w:after="0"/>
              <w:ind w:left="0"/>
              <w:jc w:val="left"/>
            </w:pPr>
            <w:r>
              <w:rPr>
                <w:rFonts w:ascii="Times New Roman" w:hAnsi="Times New Roman"/>
                <w:b w:val="false"/>
                <w:i w:val="false"/>
                <w:color w:val="000000"/>
                <w:sz w:val="21"/>
              </w:rPr>
              <w:t>(I)</w:t>
            </w:r>
          </w:p>
        </w:tc>
        <w:tc>
          <w:tcPr>
            <w:tcW w:w="93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An increased rate.</w:t>
            </w:r>
          </w:p>
        </w:tc>
      </w:tr>
      <w:tr>
        <w:trPr>
          <w:trHeight w:val="270" w:hRule="atLeast"/>
        </w:trPr>
        <w:tc>
          <w:tcPr>
            <w:tcW w:w="213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w:t>
            </w:r>
          </w:p>
          <w:p>
            <w:pPr>
              <w:spacing w:before="0" w:after="0"/>
              <w:ind w:left="0"/>
              <w:jc w:val="left"/>
            </w:pPr>
            <w:r>
              <w:rPr>
                <w:rFonts w:ascii="Times New Roman" w:hAnsi="Times New Roman"/>
                <w:b w:val="false"/>
                <w:i w:val="false"/>
                <w:color w:val="000000"/>
                <w:sz w:val="21"/>
              </w:rPr>
              <w:t>(L)</w:t>
            </w:r>
          </w:p>
        </w:tc>
        <w:tc>
          <w:tcPr>
            <w:tcW w:w="93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Changed text location.</w:t>
            </w:r>
          </w:p>
        </w:tc>
      </w:tr>
      <w:tr>
        <w:trPr>
          <w:trHeight w:val="270" w:hRule="atLeast"/>
        </w:trPr>
        <w:tc>
          <w:tcPr>
            <w:tcW w:w="213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w:t>
            </w:r>
          </w:p>
          <w:p>
            <w:pPr>
              <w:spacing w:before="0" w:after="0"/>
              <w:ind w:left="0"/>
              <w:jc w:val="left"/>
            </w:pPr>
            <w:r>
              <w:rPr>
                <w:rFonts w:ascii="Times New Roman" w:hAnsi="Times New Roman"/>
                <w:b w:val="false"/>
                <w:i w:val="false"/>
                <w:color w:val="000000"/>
                <w:sz w:val="21"/>
              </w:rPr>
              <w:t>(N)</w:t>
            </w:r>
          </w:p>
        </w:tc>
        <w:tc>
          <w:tcPr>
            <w:tcW w:w="93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 new rate, treatment, or regulation.</w:t>
            </w:r>
          </w:p>
        </w:tc>
      </w:tr>
      <w:tr>
        <w:trPr>
          <w:trHeight w:val="270" w:hRule="atLeast"/>
        </w:trPr>
        <w:tc>
          <w:tcPr>
            <w:tcW w:w="213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w:t>
            </w:r>
          </w:p>
          <w:p>
            <w:pPr>
              <w:spacing w:before="0" w:after="0"/>
              <w:ind w:left="0"/>
              <w:jc w:val="left"/>
            </w:pPr>
            <w:r>
              <w:rPr>
                <w:rFonts w:ascii="Times New Roman" w:hAnsi="Times New Roman"/>
                <w:b w:val="false"/>
                <w:i w:val="false"/>
                <w:color w:val="000000"/>
                <w:sz w:val="21"/>
              </w:rPr>
              <w:t>(R)</w:t>
            </w:r>
          </w:p>
        </w:tc>
        <w:tc>
          <w:tcPr>
            <w:tcW w:w="93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 reduced rate or new treatment resulting in a reduced rate.</w:t>
            </w:r>
          </w:p>
        </w:tc>
      </w:tr>
      <w:tr>
        <w:trPr>
          <w:trHeight w:val="495" w:hRule="atLeast"/>
        </w:trPr>
        <w:tc>
          <w:tcPr>
            <w:tcW w:w="213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w:t>
            </w:r>
          </w:p>
          <w:p>
            <w:pPr>
              <w:spacing w:before="0" w:after="0"/>
              <w:ind w:left="0"/>
              <w:jc w:val="left"/>
            </w:pPr>
            <w:r>
              <w:rPr>
                <w:rFonts w:ascii="Times New Roman" w:hAnsi="Times New Roman"/>
                <w:b w:val="false"/>
                <w:i w:val="false"/>
                <w:color w:val="000000"/>
                <w:sz w:val="21"/>
              </w:rPr>
              <w:t>(T)</w:t>
            </w:r>
          </w:p>
        </w:tc>
        <w:tc>
          <w:tcPr>
            <w:tcW w:w="93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 change in the text that does not include a change in rate, treatment, or regulation.</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sheets except the title page shall have, in addition to the information required above, the following further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telecommunications service provider, which shall be set forth above the words “Telecommunications Service Provider Tariff” under which shall be set forth the words “Filed with commission.” If the telecommunications service provider is not a corporation and a trade name is used, the name of the individual or partners must precede the trade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issue date and the name of the issuing official.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effective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199—22.3</w:t>
      </w:r>
      <w:r>
        <w:rPr>
          <w:rFonts w:ascii="Times New Roman" w:hAnsi="Times New Roman"/>
          <w:b/>
          <w:i w:val="false"/>
          <w:color w:val="000000"/>
          <w:sz w:val="22"/>
        </w:rPr>
        <w:t xml:space="preserve">(476) </w:t>
      </w:r>
      <w:r>
        <w:rPr>
          <w:rFonts w:ascii="Times New Roman" w:hAnsi="Times New Roman"/>
          <w:b/>
          <w:i w:val="false"/>
          <w:color w:val="000000"/>
          <w:sz w:val="22"/>
        </w:rPr>
        <w:t xml:space="preserve">Customer complaints. </w:t>
      </w:r>
      <w:r>
        <w:rPr>
          <w:rFonts w:ascii="Times New Roman" w:hAnsi="Times New Roman"/>
          <w:b w:val="false"/>
          <w:i w:val="false"/>
          <w:color w:val="000000"/>
          <w:sz w:val="22"/>
        </w:rPr>
        <w:t xml:space="preserve">Complaints from customers about telecommunications service shall be processed pursuant to the commission’s rules in </w:t>
      </w:r>
      <w:hyperlink r:id="rId11">
        <w:r>
          <w:rPr>
            <w:rStyle w:val="Hyperlink"/>
            <w:rFonts w:ascii="Times New Roman" w:hAnsi="Times New Roman"/>
            <w:b w:val="false"/>
            <w:i w:val="false"/>
            <w:color w:val="000000"/>
            <w:sz w:val="22"/>
          </w:rPr>
          <w:t>199—Chapter 6</w:t>
        </w:r>
      </w:hyperlink>
      <w:r>
        <w:rPr>
          <w:rFonts w:ascii="Times New Roman" w:hAnsi="Times New Roman"/>
          <w:b w:val="false"/>
          <w:i w:val="false"/>
          <w:color w:val="000000"/>
          <w:sz w:val="22"/>
        </w:rPr>
        <w:t>. Unless a customer agrees to an alternative form of notice, local exchange carriers shall notify customers by bill insert or notice on the bill form of the address and telephone number where a telecommunications service provider representative can be reached. The bill insert or notice shall also include a statement: “If (telecommunications service provider name) does not resolve your complaint, you may request assistance from the Iowa Utilities Commission by writing to the Iowa Utilities Commission, 1375 E. Court Avenue, Des Moines, Iowa 50319; by calling 515.725.7321 or toll-free 877.565.4450; or by email to customer@iuc.iowa.gov.” The bill insert or notice on the bill shall be provided no less than annually. Service providers should attempt to resolve customer complaints regarding unauthorized changes in service without involvement of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199—22.4</w:t>
      </w:r>
      <w:r>
        <w:rPr>
          <w:rFonts w:ascii="Times New Roman" w:hAnsi="Times New Roman"/>
          <w:b/>
          <w:i w:val="false"/>
          <w:color w:val="000000"/>
          <w:sz w:val="22"/>
        </w:rPr>
        <w:t xml:space="preserve">(476) </w:t>
      </w:r>
      <w:r>
        <w:rPr>
          <w:rFonts w:ascii="Times New Roman" w:hAnsi="Times New Roman"/>
          <w:b/>
          <w:i w:val="false"/>
          <w:color w:val="000000"/>
          <w:sz w:val="22"/>
        </w:rPr>
        <w:t xml:space="preserve">Intrastate access charge application, tariff procedures, and rates.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22.4(1)</w:t>
      </w:r>
      <w:r>
        <w:rPr>
          <w:rFonts w:ascii="Times New Roman" w:hAnsi="Times New Roman"/>
          <w:b w:val="false"/>
          <w:i w:val="false"/>
          <w:color w:val="000000"/>
          <w:sz w:val="22"/>
        </w:rPr>
        <w:t> </w:t>
      </w:r>
      <w:r>
        <w:rPr>
          <w:rFonts w:ascii="Times New Roman" w:hAnsi="Times New Roman"/>
          <w:b w:val="false"/>
          <w:i/>
          <w:color w:val="000000"/>
          <w:sz w:val="22"/>
        </w:rPr>
        <w:t xml:space="preserve">Application of intrastate access charges.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Intrastate access charges shall apply to all intrastate access services rendered to interexchange carriers. Intrastate access charges shall not apply to extended area service (EAS) traffic. In the case of resale of services of interexchange carriers, access charges shall apply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interexchange carrier shall be billed as if no resale were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resale telecommunications service provider shall be billed only for access services not already billed to the underlying interexchange carrier.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Specific billing treatment and administration shall be provided pursuant to tariff.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subparagraph </w:t>
      </w:r>
      <w:hyperlink r:id="rId12">
        <w:r>
          <w:rPr>
            <w:rStyle w:val="Hyperlink"/>
            <w:rFonts w:ascii="Times New Roman" w:hAnsi="Times New Roman"/>
            <w:b w:val="false"/>
            <w:i w:val="false"/>
            <w:color w:val="000000"/>
            <w:sz w:val="22"/>
          </w:rPr>
          <w:t>22.4(1)</w:t>
        </w:r>
      </w:hyperlink>
      <w:r>
        <w:rPr>
          <w:rFonts w:ascii="Times New Roman" w:hAnsi="Times New Roman"/>
          <w:b w:val="false"/>
          <w:i/>
          <w:color w:val="000000"/>
          <w:sz w:val="22"/>
        </w:rPr>
        <w:t>“b”</w:t>
      </w:r>
      <w:r>
        <w:rPr>
          <w:rFonts w:ascii="Times New Roman" w:hAnsi="Times New Roman"/>
          <w:b w:val="false"/>
          <w:i w:val="false"/>
          <w:color w:val="000000"/>
          <w:sz w:val="22"/>
        </w:rPr>
        <w:t>(3), no person shall make any communication of the type and nature transmitted by telecommunications service providers, between exchanges located within Iowa, over any system or facilities, which are or can be connected by any means to the intrastate telecommunications network, and uses local exchange carrier facilities, unless the person shall pay to the local exchange carrier or telecommunications service providers that provide service to the exchange where the communication is originated and the exchange where it is terminated, in lieu of the carrier common line charge, a charge in the amount of $25 per month per circuit that is capable of interconnection. However, if the person provides actual access minutes to the local exchange carrier, the charge shall be the charge per access minute or fraction thereof, not to exceed $25 per line per month. The charge shall apply in all exchanges. However, if the person attests in writing that the person’s facility cannot interconnect and is not interconnected with the exchange in question, the person will not be subject to the charge in that exchange.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event that a communication is made without compliance with this rule, the telecommunications service provider or telecommunications service providers serving the person shall terminate telecommunications service after notice to the person. The telecommunications service provider shall not reinstate service until the commission orders the telecommunications service provider to restore service. The commission shall order service to be restored when the commission has reasonable assurance that the person will comply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any action concerning this rule, the burden of proof shall be upon the person making intrastate communications.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This rule shall be inapplicable to administrative communications made by or to a telecommunications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22.4(2)</w:t>
      </w:r>
      <w:r>
        <w:rPr>
          <w:rFonts w:ascii="Times New Roman" w:hAnsi="Times New Roman"/>
          <w:b w:val="false"/>
          <w:i w:val="false"/>
          <w:color w:val="000000"/>
          <w:sz w:val="22"/>
        </w:rPr>
        <w:t> </w:t>
      </w:r>
      <w:r>
        <w:rPr>
          <w:rFonts w:ascii="Times New Roman" w:hAnsi="Times New Roman"/>
          <w:b w:val="false"/>
          <w:i/>
          <w:color w:val="000000"/>
          <w:sz w:val="22"/>
        </w:rPr>
        <w:t xml:space="preserve">Filing of intrastate access service tariffs.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Tariffs providing for intrastate switched access services shall be filed with the commission by a local exchange carrier that provides such services. Except in situations involving HVAS, a local exchange carrier may concur in the intrastate access tariff filed by another local exchange carrier serving the same exchange area. However, a competitive local exchange carrier may not concur in the intrastate access tariff of an incumbent local exchange carrier that qualifies as a rural telephone company pursuant to 47 U.S.C. §153(44) as amended through January 5, 2023, unless the competitive local exchange carrier is also a rural CLEC pursuant to </w:t>
      </w:r>
      <w:r>
        <w:rPr>
          <w:rFonts w:ascii="Times New Roman" w:hAnsi="Times New Roman"/>
          <w:b w:val="false"/>
          <w:i w:val="false"/>
          <w:color w:val="000000"/>
          <w:sz w:val="22"/>
        </w:rPr>
        <w:t>47 CFR 61.26(a)</w:t>
      </w:r>
      <w:r>
        <w:rPr>
          <w:rFonts w:ascii="Times New Roman" w:hAnsi="Times New Roman"/>
          <w:b w:val="false"/>
          <w:i w:val="false"/>
          <w:color w:val="000000"/>
          <w:sz w:val="22"/>
        </w:rPr>
        <w:t>(6).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Alternatively, a local exchange carrier may voluntarily elect to join another local exchange carrier or telecommunications service provider in forming an association of local exchange carriers. The association may file intrastate access service tariffs.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elements of the filings under this rule, including access service rate elements, shall be subject to review and approval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intrastate access service tariffs shall incorporate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Carrier common line charge. The rate for the intrastate carrier common line charge shall be three cents per access minute or fraction thereof for the originating segments of the communication unless numbered paragraphs </w:t>
      </w:r>
      <w:hyperlink r:id="rId13">
        <w:r>
          <w:rPr>
            <w:rStyle w:val="Hyperlink"/>
            <w:rFonts w:ascii="Times New Roman" w:hAnsi="Times New Roman"/>
            <w:b w:val="false"/>
            <w:i w:val="false"/>
            <w:color w:val="000000"/>
            <w:sz w:val="22"/>
          </w:rPr>
          <w:t>22.4(2)</w:t>
        </w:r>
      </w:hyperlink>
      <w:r>
        <w:rPr>
          <w:rFonts w:ascii="Times New Roman" w:hAnsi="Times New Roman"/>
          <w:b w:val="false"/>
          <w:i/>
          <w:color w:val="000000"/>
          <w:sz w:val="22"/>
        </w:rPr>
        <w:t>“b”</w:t>
      </w:r>
      <w:r>
        <w:rPr>
          <w:rFonts w:ascii="Times New Roman" w:hAnsi="Times New Roman"/>
          <w:b w:val="false"/>
          <w:i w:val="false"/>
          <w:color w:val="000000"/>
          <w:sz w:val="22"/>
        </w:rPr>
        <w:t xml:space="preserve">(1)“1,” “2,” and “3” are applicable. The carrier common line charge shall be assessed to exchange access made by an interexchange carrier, including resale telecommunications service providers. In lieu of this charge, interconnected private systems shall pay for access as provided in paragraph </w:t>
      </w:r>
      <w:hyperlink r:id="rId14">
        <w:r>
          <w:rPr>
            <w:rStyle w:val="Hyperlink"/>
            <w:rFonts w:ascii="Times New Roman" w:hAnsi="Times New Roman"/>
            <w:b w:val="false"/>
            <w:i w:val="false"/>
            <w:color w:val="000000"/>
            <w:sz w:val="22"/>
          </w:rPr>
          <w:t>22.4(1)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Incumbent local exchange carrier intrastate access service tariffs shall include the carrier common line charges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competitive local exchange carrier that concurs in or mirrors the rates in the access services tariff of the Iowa Communications Alliance, or its successor, shall deduct the originating and terminating carrier common line charges from its intrastate access service tariff.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Carrier common line charge for originating segments of the communication may be stepped down in compliance with requirements established by the Federal Communications Commission for originating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End-user charge. No intrastate end-user charge shall be assessed.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Universal service fund. No universal service fund shall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Transitional and premium rates. There shall be no discounted transitional rate elements applied in Iowa except as otherwise specifically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telecommunications service provider may, pursuant to tariff, bill for access on the basis of assumed minutes of use where measurement is not practical. However, if the interexchange carrier provides actual minutes of use to the billing telecommunications service provider, the actual minutes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 the absence of a waiver granted by the commission, a local exchange carrier shall allow any interexchange carrier the option to use its own facilities that were in service on March 19, 1992, to provide local access transport service to terminate its own traffic to the local exchange carrier. The interexchange carrier may use its facilities in the manner and to a meet point agreed upon by the local exchange carrier and the interexchange carrier as of March 19, 1992. Changes mutually agreeable to the local exchange carrier and the interexchange carrier after that date also shall be recognized in allowing the interexchange carrier to use its own local access transport facilities to terminate its own traffic. Recognition under this rule will also be extended to improvements by an interexchange carrier that provided all the transport facilities to an exchange on March 19, 1992, whether the improvements were mutually agreeable or not, unless the improvements are inconsistent with an agreement between the interexchange carrier and the local exchange carrier.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provision prohibiting the application of association access service rates to HVAS traffic.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local exchange carrier that is adding a new HVAS customer or otherwise reasonably anticipates an HVAS situation shall provide notice of the situation, the telephone numbers that will be assigned to the HVAS customer (if applicable), and the expected date service to the HVAS customer will be initiated, if applicable. Notice may be sent to each interexchange carrier that paid for intrastate access services from the local exchange carrier in the preceding 12 months; to any telecommunications service provider with whom the local exchange carrier exchanged traffic in the preceding 12 months; and to all other local exchange carriers authorized to provide service in the subject exchange, by a method calculated to provide adequate notice. Any interexchange carrier may request negotiations concerning the access rates applicable to calls to or from the HVAS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Any interexchange carrier that believes a situation has occurred or is occurring that does not specifically meet the HVAS threshold requirements defined in subrule </w:t>
      </w:r>
      <w:hyperlink r:id="rId15">
        <w:r>
          <w:rPr>
            <w:rStyle w:val="Hyperlink"/>
            <w:rFonts w:ascii="Times New Roman" w:hAnsi="Times New Roman"/>
            <w:b w:val="false"/>
            <w:i w:val="false"/>
            <w:color w:val="000000"/>
            <w:sz w:val="22"/>
          </w:rPr>
          <w:t>22.1(2)</w:t>
        </w:r>
      </w:hyperlink>
      <w:r>
        <w:rPr>
          <w:rFonts w:ascii="Times New Roman" w:hAnsi="Times New Roman"/>
          <w:b w:val="false"/>
          <w:i w:val="false"/>
          <w:color w:val="000000"/>
          <w:sz w:val="22"/>
        </w:rPr>
        <w:t>, but which raises the same general concerns and issues as an HVAS situation, may file a complaint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local exchange carrier that experiences an increase in intrastate access billings that qualifies as an HVAS situation, but did not add a new HVAS customer or otherwise anticipate the situation, shall notify interexchange carriers of the HVAS situation at the earliest reasonable opportunity as described in the preceding paragraph. Any interexchange carriers may request negotiations concerning whether the local exchange carrier’s access rates, as a whole or for HVAS only, should be changed to reflect the increased access traffic. When a telecommunications service provider requests negotiation concerning intrastate access services, the companies shall negotiate in good faith to achieve reasonable terms and procedures for the exchange of traffic. No access charges shall apply to the HVAS traffic until an access tariff for HVAS has been approved by the commission. At any time that any telecommunications service provider believes negotiations will not be successful, the telecommunications service provider may file a written complaint with the commission. In any such proceeding, the commission will consider setting the rate for access services for HVAS traffic based upon the incremental cost of providing HVAS, although any other relevant evidence may also be considered. The incremental cost will not include marketing or other payments made to HVAS customers. The resulting rates for access services may include a range of rates based upon the volume of access traffic or other relevant factors. Any negotiations pursuant to this subparagraph shall conclude within 60 days. After 60 days, a telecommunications service provider may petition the commission to extend the period of negotiations or may petition the commission to establish a procedural schedule and hearing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22.4(3)</w:t>
      </w:r>
      <w:r>
        <w:rPr>
          <w:rFonts w:ascii="Times New Roman" w:hAnsi="Times New Roman"/>
          <w:b w:val="false"/>
          <w:i w:val="false"/>
          <w:color w:val="000000"/>
          <w:sz w:val="22"/>
        </w:rPr>
        <w:t> </w:t>
      </w:r>
      <w:r>
        <w:rPr>
          <w:rFonts w:ascii="Times New Roman" w:hAnsi="Times New Roman"/>
          <w:b w:val="false"/>
          <w:i/>
          <w:color w:val="000000"/>
          <w:sz w:val="22"/>
        </w:rPr>
        <w:t xml:space="preserve">Notice of intrastate access service tariffs.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telecommunications service provider that files new or changed tariffs relating to access charges or access service shall give written notice of the new or changed tariffs to the telecommunications service provider’s interexchange carrier access customers, the commission, and the consumer advocate. Notice shall be given on or before the date of the filing of the tariff. The notice shall consist of the file date and proposed effective date of the tariff, a description of the proposed changes, and the tariff section number where the service description is located. If two or more local exchange carriers concur in a single tariff filing, the local exchange carriers may send a joint written notice to the commission, the consumer advocate, and the interexchange carriers.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shall not approve any new or changed tariff described in paragraph </w:t>
      </w:r>
      <w:hyperlink r:id="rId16">
        <w:r>
          <w:rPr>
            <w:rStyle w:val="Hyperlink"/>
            <w:rFonts w:ascii="Times New Roman" w:hAnsi="Times New Roman"/>
            <w:b w:val="false"/>
            <w:i w:val="false"/>
            <w:color w:val="000000"/>
            <w:sz w:val="22"/>
          </w:rPr>
          <w:t>22.4(3)</w:t>
        </w:r>
      </w:hyperlink>
      <w:r>
        <w:rPr>
          <w:rFonts w:ascii="Times New Roman" w:hAnsi="Times New Roman"/>
          <w:b w:val="false"/>
          <w:i/>
          <w:color w:val="000000"/>
          <w:sz w:val="22"/>
        </w:rPr>
        <w:t>“a”</w:t>
      </w:r>
      <w:r>
        <w:rPr>
          <w:rFonts w:ascii="Times New Roman" w:hAnsi="Times New Roman"/>
          <w:b w:val="false"/>
          <w:i w:val="false"/>
          <w:color w:val="000000"/>
          <w:sz w:val="22"/>
        </w:rPr>
        <w:t xml:space="preserve"> until after the period for resistance.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22.4(4)</w:t>
      </w:r>
      <w:r>
        <w:rPr>
          <w:rFonts w:ascii="Times New Roman" w:hAnsi="Times New Roman"/>
          <w:b w:val="false"/>
          <w:i w:val="false"/>
          <w:color w:val="000000"/>
          <w:sz w:val="22"/>
        </w:rPr>
        <w:t> </w:t>
      </w:r>
      <w:r>
        <w:rPr>
          <w:rFonts w:ascii="Times New Roman" w:hAnsi="Times New Roman"/>
          <w:b w:val="false"/>
          <w:i/>
          <w:color w:val="000000"/>
          <w:sz w:val="22"/>
        </w:rPr>
        <w:t xml:space="preserve">Resistance to intrastate access service tariffs.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an interexchange carrier affected by an access service filing or the consumer advocate desires to file a resistance to a proposed new or changed access service tariff, it shall file its resistance within 14 days after the filing of the proposed tariff. The interexchange carrier shall send a copy of the resistance to all telecommunications service providers filing or concurring in the proposed tariff.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receipt of a timely resistance, the commission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Deny the resistance if it does not on its face present a material issue of adjudicative fact or the commission determines the resistance to be frivolous or otherwise without merit and approve the tariff;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Either suspend the tariff or approve the tariff to become effective subject to refund; and initiate informal complaint proceedings;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Either suspend the tariff or approve the tariff to become effective subject to refund; and initiate contested case proceedings;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Reject the tariff, stating the grounds for rejection.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interexchange carrier or the consumer advocate shall have the burden to support its resistance.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contested case proceedings are initiated upon resistance filed by an interexchange carrier, the interexchange carrier may be required to pay the expenses reasonably attributable to the proceedings. The commission will assess the costs of the proceeding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22.4(5)</w:t>
      </w:r>
      <w:r>
        <w:rPr>
          <w:rFonts w:ascii="Times New Roman" w:hAnsi="Times New Roman"/>
          <w:b w:val="false"/>
          <w:i w:val="false"/>
          <w:color w:val="000000"/>
          <w:sz w:val="22"/>
        </w:rPr>
        <w:t> </w:t>
      </w:r>
      <w:r>
        <w:rPr>
          <w:rFonts w:ascii="Times New Roman" w:hAnsi="Times New Roman"/>
          <w:b w:val="false"/>
          <w:i/>
          <w:color w:val="000000"/>
          <w:sz w:val="22"/>
        </w:rPr>
        <w:t xml:space="preserve">Access charge rules to prevail. </w:t>
      </w:r>
      <w:r>
        <w:rPr>
          <w:rFonts w:ascii="Times New Roman" w:hAnsi="Times New Roman"/>
          <w:b w:val="false"/>
          <w:i w:val="false"/>
          <w:color w:val="000000"/>
          <w:sz w:val="22"/>
        </w:rPr>
        <w:t xml:space="preserve">The provisions of this rule shall be determinative of the procedures relating to intrastate access service tariffs and shall prevail over all inconsistent rules.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199—22.5</w:t>
      </w:r>
      <w:r>
        <w:rPr>
          <w:rFonts w:ascii="Times New Roman" w:hAnsi="Times New Roman"/>
          <w:b/>
          <w:i w:val="false"/>
          <w:color w:val="000000"/>
          <w:sz w:val="22"/>
        </w:rPr>
        <w:t xml:space="preserve">(476) </w:t>
      </w:r>
      <w:r>
        <w:rPr>
          <w:rFonts w:ascii="Times New Roman" w:hAnsi="Times New Roman"/>
          <w:b/>
          <w:i w:val="false"/>
          <w:color w:val="000000"/>
          <w:sz w:val="22"/>
        </w:rPr>
        <w:t xml:space="preserve">Interexchange service and access.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22.5(1)</w:t>
      </w:r>
      <w:r>
        <w:rPr>
          <w:rFonts w:ascii="Times New Roman" w:hAnsi="Times New Roman"/>
          <w:b w:val="false"/>
          <w:i w:val="false"/>
          <w:color w:val="000000"/>
          <w:sz w:val="22"/>
        </w:rPr>
        <w:t> </w:t>
      </w:r>
      <w:r>
        <w:rPr>
          <w:rFonts w:ascii="Times New Roman" w:hAnsi="Times New Roman"/>
          <w:b w:val="false"/>
          <w:i/>
          <w:color w:val="000000"/>
          <w:sz w:val="22"/>
        </w:rPr>
        <w:t xml:space="preserve">Interexchange service. </w:t>
      </w:r>
      <w:r>
        <w:rPr>
          <w:rFonts w:ascii="Times New Roman" w:hAnsi="Times New Roman"/>
          <w:b w:val="false"/>
          <w:i w:val="false"/>
          <w:color w:val="000000"/>
          <w:sz w:val="22"/>
        </w:rPr>
        <w:t>An interexchange carrier may provide interexchange service by complying with the laws of this state and the rules of this commission. Any company or other entity accessing local exchange facilities or services in order to provide interexchange services to the public shall be considered to be an interexchange carrier and subject to the rules herein, unless otherwise exempted. Such telecommunications service providers are required to file a registration form, reports, and other items and are subject to service standards as specified in commission rules, unless otherwise exempted.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22.5(2)</w:t>
      </w:r>
      <w:r>
        <w:rPr>
          <w:rFonts w:ascii="Times New Roman" w:hAnsi="Times New Roman"/>
          <w:b w:val="false"/>
          <w:i w:val="false"/>
          <w:color w:val="000000"/>
          <w:sz w:val="22"/>
        </w:rPr>
        <w:t> </w:t>
      </w:r>
      <w:r>
        <w:rPr>
          <w:rFonts w:ascii="Times New Roman" w:hAnsi="Times New Roman"/>
          <w:b w:val="false"/>
          <w:i/>
          <w:color w:val="000000"/>
          <w:sz w:val="22"/>
        </w:rPr>
        <w:t xml:space="preserve">Interexchange intrastate access. </w:t>
      </w:r>
      <w:r>
        <w:rPr>
          <w:rFonts w:ascii="Times New Roman" w:hAnsi="Times New Roman"/>
          <w:b w:val="false"/>
          <w:i w:val="false"/>
          <w:color w:val="000000"/>
          <w:sz w:val="22"/>
        </w:rPr>
        <w:t>Intrastate access to local exchange services or facilities may be obtained by an interexchange carrier by ordering and paying for such intrastate access pursuant to the applicable tariff filed by the local exchange carrier in question, or as otherwise provided by agreement between the parties.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199—22.6</w:t>
      </w:r>
      <w:r>
        <w:rPr>
          <w:rFonts w:ascii="Times New Roman" w:hAnsi="Times New Roman"/>
          <w:b/>
          <w:i w:val="false"/>
          <w:color w:val="000000"/>
          <w:sz w:val="22"/>
        </w:rPr>
        <w:t xml:space="preserve">(476) </w:t>
      </w:r>
      <w:r>
        <w:rPr>
          <w:rFonts w:ascii="Times New Roman" w:hAnsi="Times New Roman"/>
          <w:b/>
          <w:i w:val="false"/>
          <w:color w:val="000000"/>
          <w:sz w:val="22"/>
        </w:rPr>
        <w:t xml:space="preserve">Alternative operator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22.6(1)</w:t>
      </w:r>
      <w:r>
        <w:rPr>
          <w:rFonts w:ascii="Times New Roman" w:hAnsi="Times New Roman"/>
          <w:b w:val="false"/>
          <w:i w:val="false"/>
          <w:color w:val="000000"/>
          <w:sz w:val="22"/>
        </w:rPr>
        <w:t> </w:t>
      </w:r>
      <w:r>
        <w:rPr>
          <w:rFonts w:ascii="Times New Roman" w:hAnsi="Times New Roman"/>
          <w:b w:val="false"/>
          <w:i/>
          <w:color w:val="000000"/>
          <w:sz w:val="22"/>
        </w:rPr>
        <w:t xml:space="preserve">Tariffs. </w:t>
      </w:r>
      <w:r>
        <w:rPr>
          <w:rFonts w:ascii="Times New Roman" w:hAnsi="Times New Roman"/>
          <w:b w:val="false"/>
          <w:i w:val="false"/>
          <w:color w:val="000000"/>
          <w:sz w:val="22"/>
        </w:rPr>
        <w:t>AOS companies must provide service pursuant to commission-approved tariffs covering both rates and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22.6(2)</w:t>
      </w:r>
      <w:r>
        <w:rPr>
          <w:rFonts w:ascii="Times New Roman" w:hAnsi="Times New Roman"/>
          <w:b w:val="false"/>
          <w:i w:val="false"/>
          <w:color w:val="000000"/>
          <w:sz w:val="22"/>
        </w:rPr>
        <w:t> </w:t>
      </w:r>
      <w:r>
        <w:rPr>
          <w:rFonts w:ascii="Times New Roman" w:hAnsi="Times New Roman"/>
          <w:b w:val="false"/>
          <w:i/>
          <w:color w:val="000000"/>
          <w:sz w:val="22"/>
        </w:rPr>
        <w:t xml:space="preserve">Blocking. </w:t>
      </w:r>
      <w:r>
        <w:rPr>
          <w:rFonts w:ascii="Times New Roman" w:hAnsi="Times New Roman"/>
          <w:b w:val="false"/>
          <w:i w:val="false"/>
          <w:color w:val="000000"/>
          <w:sz w:val="22"/>
        </w:rPr>
        <w:t>AOS companies shall not block the completion of calls that would allow the caller to reach a long-distance telecommunications service provider different from the AOS company. All AOS company contracts with contracting entities must prohibit call blocking by the contracting entity. The contracting entity shall not violate that contract provision.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22.6(3)</w:t>
      </w:r>
      <w:r>
        <w:rPr>
          <w:rFonts w:ascii="Times New Roman" w:hAnsi="Times New Roman"/>
          <w:b w:val="false"/>
          <w:i w:val="false"/>
          <w:color w:val="000000"/>
          <w:sz w:val="22"/>
        </w:rPr>
        <w:t> </w:t>
      </w:r>
      <w:r>
        <w:rPr>
          <w:rFonts w:ascii="Times New Roman" w:hAnsi="Times New Roman"/>
          <w:b w:val="false"/>
          <w:i/>
          <w:color w:val="000000"/>
          <w:sz w:val="22"/>
        </w:rPr>
        <w:t xml:space="preserve">Posting.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Contracting entities must post on or in close proximity to all telephones served by an AOS company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AOS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customer service number for receipt of further service and billing information;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Dialing directions to the AOS operator for specific rate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Contracts between AOS companies and contracting entities shall contain provisions for posting the information. The AOS companies also are responsible for the form of the posting and shall make reasonable efforts to ensure implementation, both initially and on an updated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22.6(4)</w:t>
      </w:r>
      <w:r>
        <w:rPr>
          <w:rFonts w:ascii="Times New Roman" w:hAnsi="Times New Roman"/>
          <w:b w:val="false"/>
          <w:i w:val="false"/>
          <w:color w:val="000000"/>
          <w:sz w:val="22"/>
        </w:rPr>
        <w:t> </w:t>
      </w:r>
      <w:r>
        <w:rPr>
          <w:rFonts w:ascii="Times New Roman" w:hAnsi="Times New Roman"/>
          <w:b w:val="false"/>
          <w:i/>
          <w:color w:val="000000"/>
          <w:sz w:val="22"/>
        </w:rPr>
        <w:t xml:space="preserve">Oral identification. </w:t>
      </w:r>
      <w:r>
        <w:rPr>
          <w:rFonts w:ascii="Times New Roman" w:hAnsi="Times New Roman"/>
          <w:b w:val="false"/>
          <w:i w:val="false"/>
          <w:color w:val="000000"/>
          <w:sz w:val="22"/>
        </w:rPr>
        <w:t>All AOS companies shall announce to the end-user customer the name of the provider carrying the call and, before billing begins, shall include a sufficient delay period to permit the caller to terminate the call or advise the operator to transfer the call to the end-user customer’s preferred telecommunications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22.6(5)</w:t>
      </w:r>
      <w:r>
        <w:rPr>
          <w:rFonts w:ascii="Times New Roman" w:hAnsi="Times New Roman"/>
          <w:b w:val="false"/>
          <w:i w:val="false"/>
          <w:color w:val="000000"/>
          <w:sz w:val="22"/>
        </w:rPr>
        <w:t> </w:t>
      </w:r>
      <w:r>
        <w:rPr>
          <w:rFonts w:ascii="Times New Roman" w:hAnsi="Times New Roman"/>
          <w:b w:val="false"/>
          <w:i/>
          <w:color w:val="000000"/>
          <w:sz w:val="22"/>
        </w:rPr>
        <w:t xml:space="preserve">Billing.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calls, except those billed to commercial credit cards, shall be itemized and identified separately on the bill. All calls will be rated solely from the end-user customer’s point of origin to point of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bills, except those for calls billed to commercial credit cards, shall be rendered within 60 days of the provision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charges for the use of a telephone instrument shall be shown separately for each call, except for calls billed to a commercial credit card.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22.6(6)</w:t>
      </w:r>
      <w:r>
        <w:rPr>
          <w:rFonts w:ascii="Times New Roman" w:hAnsi="Times New Roman"/>
          <w:b w:val="false"/>
          <w:i w:val="false"/>
          <w:color w:val="000000"/>
          <w:sz w:val="22"/>
        </w:rPr>
        <w:t> </w:t>
      </w:r>
      <w:r>
        <w:rPr>
          <w:rFonts w:ascii="Times New Roman" w:hAnsi="Times New Roman"/>
          <w:b w:val="false"/>
          <w:i/>
          <w:color w:val="000000"/>
          <w:sz w:val="22"/>
        </w:rPr>
        <w:t xml:space="preserve">Emergency calls. </w:t>
      </w:r>
      <w:r>
        <w:rPr>
          <w:rFonts w:ascii="Times New Roman" w:hAnsi="Times New Roman"/>
          <w:b w:val="false"/>
          <w:i w:val="false"/>
          <w:color w:val="000000"/>
          <w:sz w:val="22"/>
        </w:rPr>
        <w:t>All AOS companies shall have a commission-approved methodology to ensure the routing of all emergency zero-minus (0-) calls in the fastest possible way to the proper local emergency service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22.6(7)</w:t>
      </w:r>
      <w:r>
        <w:rPr>
          <w:rFonts w:ascii="Times New Roman" w:hAnsi="Times New Roman"/>
          <w:b w:val="false"/>
          <w:i w:val="false"/>
          <w:color w:val="000000"/>
          <w:sz w:val="22"/>
        </w:rPr>
        <w:t> </w:t>
      </w:r>
      <w:r>
        <w:rPr>
          <w:rFonts w:ascii="Times New Roman" w:hAnsi="Times New Roman"/>
          <w:b w:val="false"/>
          <w:i/>
          <w:color w:val="000000"/>
          <w:sz w:val="22"/>
        </w:rPr>
        <w:t xml:space="preserve">Service to incarcerated people in correctional facilities. </w:t>
      </w:r>
      <w:r>
        <w:rPr>
          <w:rFonts w:ascii="Times New Roman" w:hAnsi="Times New Roman"/>
          <w:b w:val="false"/>
          <w:i w:val="false"/>
          <w:color w:val="000000"/>
          <w:sz w:val="22"/>
        </w:rPr>
        <w:t>AOS companies that provide local or intrastate calling services to incarcerated people housed in correctional facilities may provide service that is not consistent with the requirements in this rule by including a statement of noncompliance in the AOS company’s tariffs, which tariffs are required to be approved by the commission before service is provided. AOS companies providing calling services to incarcerated people shall file a copy of each contract in support of the statement of noncompliance.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199—22.7</w:t>
      </w:r>
      <w:r>
        <w:rPr>
          <w:rFonts w:ascii="Times New Roman" w:hAnsi="Times New Roman"/>
          <w:b/>
          <w:i w:val="false"/>
          <w:color w:val="000000"/>
          <w:sz w:val="22"/>
        </w:rPr>
        <w:t xml:space="preserve">(476) </w:t>
      </w:r>
      <w:r>
        <w:rPr>
          <w:rFonts w:ascii="Times New Roman" w:hAnsi="Times New Roman"/>
          <w:b/>
          <w:i w:val="false"/>
          <w:color w:val="000000"/>
          <w:sz w:val="22"/>
        </w:rPr>
        <w:t xml:space="preserve">Local exchanges.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22.7(1)</w:t>
      </w:r>
      <w:r>
        <w:rPr>
          <w:rFonts w:ascii="Times New Roman" w:hAnsi="Times New Roman"/>
          <w:b w:val="false"/>
          <w:i w:val="false"/>
          <w:color w:val="000000"/>
          <w:sz w:val="22"/>
        </w:rPr>
        <w:t> </w:t>
      </w:r>
      <w:r>
        <w:rPr>
          <w:rFonts w:ascii="Times New Roman" w:hAnsi="Times New Roman"/>
          <w:b w:val="false"/>
          <w:i/>
          <w:color w:val="000000"/>
          <w:sz w:val="22"/>
        </w:rPr>
        <w:t xml:space="preserve">Map availability. </w:t>
      </w:r>
      <w:r>
        <w:rPr>
          <w:rFonts w:ascii="Times New Roman" w:hAnsi="Times New Roman"/>
          <w:b w:val="false"/>
          <w:i w:val="false"/>
          <w:color w:val="000000"/>
          <w:sz w:val="22"/>
        </w:rPr>
        <w:t>Local exchanges are defined by the telephone exchange area boundary maps on file with the commission and available on the commission’s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22.7(2)</w:t>
      </w:r>
      <w:r>
        <w:rPr>
          <w:rFonts w:ascii="Times New Roman" w:hAnsi="Times New Roman"/>
          <w:b w:val="false"/>
          <w:i w:val="false"/>
          <w:color w:val="000000"/>
          <w:sz w:val="22"/>
        </w:rPr>
        <w:t> </w:t>
      </w:r>
      <w:r>
        <w:rPr>
          <w:rFonts w:ascii="Times New Roman" w:hAnsi="Times New Roman"/>
          <w:b w:val="false"/>
          <w:i/>
          <w:color w:val="000000"/>
          <w:sz w:val="22"/>
        </w:rPr>
        <w:t xml:space="preserve">Map specifications. </w:t>
      </w:r>
      <w:r>
        <w:rPr>
          <w:rFonts w:ascii="Times New Roman" w:hAnsi="Times New Roman"/>
          <w:b w:val="false"/>
          <w:i w:val="false"/>
          <w:color w:val="000000"/>
          <w:sz w:val="22"/>
        </w:rPr>
        <w:t>All ILECs shall have on file with the commission maps that identify their exchanges and both the internal exchange boundaries where the telecommunications service provider’s own exchanges abut, and the ultimate boundaries where the telecommunications service provider’s exchanges abut the exchanges of other telecommunications service providers. A CLEC shall either file its own exchange boundary map or adopt the exchange boundary map filed by the ILEC serving that exchange. Maps shall be filed in electronic format as approved by the commission. ILECs and CLECs shall file updated exchange maps with the commission when the company adds service to an exchange or when the company ceases providing service to an exchange.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199—22.8</w:t>
      </w:r>
      <w:r>
        <w:rPr>
          <w:rFonts w:ascii="Times New Roman" w:hAnsi="Times New Roman"/>
          <w:b/>
          <w:i w:val="false"/>
          <w:color w:val="000000"/>
          <w:sz w:val="22"/>
        </w:rPr>
        <w:t xml:space="preserve">(476) </w:t>
      </w:r>
      <w:r>
        <w:rPr>
          <w:rFonts w:ascii="Times New Roman" w:hAnsi="Times New Roman"/>
          <w:b/>
          <w:i w:val="false"/>
          <w:color w:val="000000"/>
          <w:sz w:val="22"/>
        </w:rPr>
        <w:t xml:space="preserve">Registration of telecommunications service providers. </w:t>
      </w:r>
      <w:r>
        <w:rPr>
          <w:rFonts w:ascii="Times New Roman" w:hAnsi="Times New Roman"/>
          <w:b w:val="false"/>
          <w:i w:val="false"/>
          <w:color w:val="000000"/>
          <w:sz w:val="22"/>
        </w:rPr>
        <w:t xml:space="preserve">Each telecommunications service provider required to register with the commission pursuant to Iowa Code section </w:t>
      </w:r>
      <w:hyperlink r:id="rId17">
        <w:r>
          <w:rPr>
            <w:rStyle w:val="Hyperlink"/>
            <w:rFonts w:ascii="Times New Roman" w:hAnsi="Times New Roman"/>
            <w:b w:val="false"/>
            <w:i w:val="false"/>
            <w:color w:val="000000"/>
            <w:sz w:val="22"/>
          </w:rPr>
          <w:t>476.95A</w:t>
        </w:r>
      </w:hyperlink>
      <w:r>
        <w:rPr>
          <w:rFonts w:ascii="Times New Roman" w:hAnsi="Times New Roman"/>
          <w:b w:val="false"/>
          <w:i w:val="false"/>
          <w:color w:val="000000"/>
          <w:sz w:val="22"/>
        </w:rPr>
        <w:t xml:space="preserve"> shall register with the commission annually thereafter. Registration shall be completed electronically as provided by the commission. If a telecommunications service provider is not required to register, the telecommunications service provider shall file an annual report in compliance with </w:t>
      </w:r>
      <w:hyperlink r:id="rId18">
        <w:r>
          <w:rPr>
            <w:rStyle w:val="Hyperlink"/>
            <w:rFonts w:ascii="Times New Roman" w:hAnsi="Times New Roman"/>
            <w:b w:val="false"/>
            <w:i w:val="false"/>
            <w:color w:val="000000"/>
            <w:sz w:val="22"/>
          </w:rPr>
          <w:t>199—Chapter 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shall issue an acknowledgment of registration within five business days of receipt of a provider’s completed application for registration. Such acknowledgment shall authorize the applicant to obtain telephone numbers, interconnect with other telecommunications service providers, cross railroad rights-of-way pursuant to Iowa Code section </w:t>
      </w:r>
      <w:hyperlink r:id="rId19">
        <w:r>
          <w:rPr>
            <w:rStyle w:val="Hyperlink"/>
            <w:rFonts w:ascii="Times New Roman" w:hAnsi="Times New Roman"/>
            <w:b w:val="false"/>
            <w:i w:val="false"/>
            <w:color w:val="000000"/>
            <w:sz w:val="22"/>
          </w:rPr>
          <w:t>476.27</w:t>
        </w:r>
      </w:hyperlink>
      <w:r>
        <w:rPr>
          <w:rFonts w:ascii="Times New Roman" w:hAnsi="Times New Roman"/>
          <w:b w:val="false"/>
          <w:i w:val="false"/>
          <w:color w:val="000000"/>
          <w:sz w:val="22"/>
        </w:rPr>
        <w:t>, and provide telecommunications services within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22.8(2)</w:t>
      </w:r>
      <w:r>
        <w:rPr>
          <w:rFonts w:ascii="Times New Roman" w:hAnsi="Times New Roman"/>
          <w:b w:val="false"/>
          <w:i w:val="false"/>
          <w:color w:val="000000"/>
          <w:sz w:val="22"/>
        </w:rPr>
        <w:t> </w:t>
      </w:r>
      <w:r>
        <w:rPr>
          <w:rFonts w:ascii="Times New Roman" w:hAnsi="Times New Roman"/>
          <w:b w:val="false"/>
          <w:i w:val="false"/>
          <w:color w:val="000000"/>
          <w:sz w:val="22"/>
        </w:rPr>
        <w:t>Registration may be transferred to another telecommunications service provider by filing a new or updated registration form. The commission shall serve an acknowledgment of the new registration within five business days of receipt.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22.8(3)</w:t>
      </w:r>
      <w:r>
        <w:rPr>
          <w:rFonts w:ascii="Times New Roman" w:hAnsi="Times New Roman"/>
          <w:b w:val="false"/>
          <w:i w:val="false"/>
          <w:color w:val="000000"/>
          <w:sz w:val="22"/>
        </w:rPr>
        <w:t> </w:t>
      </w:r>
      <w:r>
        <w:rPr>
          <w:rFonts w:ascii="Times New Roman" w:hAnsi="Times New Roman"/>
          <w:b w:val="false"/>
          <w:i w:val="false"/>
          <w:color w:val="000000"/>
          <w:sz w:val="22"/>
        </w:rPr>
        <w:t>Telecommunications service providers that have not previously provided telecommunications service in Iowa shall register with the commission prior to providing telecommunications service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22.8(4)</w:t>
      </w:r>
      <w:r>
        <w:rPr>
          <w:rFonts w:ascii="Times New Roman" w:hAnsi="Times New Roman"/>
          <w:b w:val="false"/>
          <w:i w:val="false"/>
          <w:color w:val="000000"/>
          <w:sz w:val="22"/>
        </w:rPr>
        <w:t> </w:t>
      </w:r>
      <w:r>
        <w:rPr>
          <w:rFonts w:ascii="Times New Roman" w:hAnsi="Times New Roman"/>
          <w:b w:val="false"/>
          <w:i w:val="false"/>
          <w:color w:val="000000"/>
          <w:sz w:val="22"/>
        </w:rPr>
        <w:t>Telecommunications service providers shall include with the registration a list of the exchanges where the telecommunications service provider offers telecommunications service, if applicable. A telecommunications service provider shall file an amended registration prior to expanding service to an exchange not listed on the registration or when exiting an exchange listed on the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22.8(5)</w:t>
      </w:r>
      <w:r>
        <w:rPr>
          <w:rFonts w:ascii="Times New Roman" w:hAnsi="Times New Roman"/>
          <w:b w:val="false"/>
          <w:i w:val="false"/>
          <w:color w:val="000000"/>
          <w:sz w:val="22"/>
        </w:rPr>
        <w:t> </w:t>
      </w:r>
      <w:r>
        <w:rPr>
          <w:rFonts w:ascii="Times New Roman" w:hAnsi="Times New Roman"/>
          <w:b w:val="false"/>
          <w:i w:val="false"/>
          <w:color w:val="000000"/>
          <w:sz w:val="22"/>
        </w:rPr>
        <w:t xml:space="preserve">Updated registrations are required when the contact information on the registration changes.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199—22.9</w:t>
      </w:r>
      <w:r>
        <w:rPr>
          <w:rFonts w:ascii="Times New Roman" w:hAnsi="Times New Roman"/>
          <w:b/>
          <w:i w:val="false"/>
          <w:color w:val="000000"/>
          <w:sz w:val="22"/>
        </w:rPr>
        <w:t xml:space="preserve">(476) </w:t>
      </w:r>
      <w:r>
        <w:rPr>
          <w:rFonts w:ascii="Times New Roman" w:hAnsi="Times New Roman"/>
          <w:b/>
          <w:i w:val="false"/>
          <w:color w:val="000000"/>
          <w:sz w:val="22"/>
        </w:rPr>
        <w:t xml:space="preserve">Unauthorized changes in telecommunications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As used in this rule,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“Change in service” </w:t>
      </w:r>
      <w:r>
        <w:rPr>
          <w:rFonts w:ascii="Times New Roman" w:hAnsi="Times New Roman"/>
          <w:b w:val="false"/>
          <w:i w:val="false"/>
          <w:color w:val="000000"/>
          <w:sz w:val="22"/>
        </w:rPr>
        <w:t xml:space="preserve">means the same as defined in Iowa Code section </w:t>
      </w:r>
      <w:hyperlink r:id="rId20">
        <w:r>
          <w:rPr>
            <w:rStyle w:val="Hyperlink"/>
            <w:rFonts w:ascii="Times New Roman" w:hAnsi="Times New Roman"/>
            <w:b w:val="false"/>
            <w:i w:val="false"/>
            <w:color w:val="000000"/>
            <w:sz w:val="22"/>
          </w:rPr>
          <w:t>476.103(2)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“Consumer” </w:t>
      </w:r>
      <w:r>
        <w:rPr>
          <w:rFonts w:ascii="Times New Roman" w:hAnsi="Times New Roman"/>
          <w:b w:val="false"/>
          <w:i w:val="false"/>
          <w:color w:val="000000"/>
          <w:sz w:val="22"/>
        </w:rPr>
        <w:t xml:space="preserve">means a person other than a service provider who uses a telecommunications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“Cramming” </w:t>
      </w:r>
      <w:r>
        <w:rPr>
          <w:rFonts w:ascii="Times New Roman" w:hAnsi="Times New Roman"/>
          <w:b w:val="false"/>
          <w:i w:val="false"/>
          <w:color w:val="000000"/>
          <w:sz w:val="22"/>
        </w:rPr>
        <w:t>means the addition or deletion of a product or service for which a separate charge is made to a telecommunications service customer’s account without the verified consent of the affected customer. “Cramming” does not include the addition of extended area service to a customer account pursuant to commission rules, even if an additional charge is made. “Cramming” does not include telecommunications services that are initiated or requested by the customer, including dial-around services such as “10-10-XXX,” directory assistance, operator-assisted calls, acceptance of collect calls, and other casual calling by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“Customer” </w:t>
      </w:r>
      <w:r>
        <w:rPr>
          <w:rFonts w:ascii="Times New Roman" w:hAnsi="Times New Roman"/>
          <w:b w:val="false"/>
          <w:i w:val="false"/>
          <w:color w:val="000000"/>
          <w:sz w:val="22"/>
        </w:rPr>
        <w:t>means the person other than a service provider whose name appears on the account, others authorized by that named person to make changes or charge services to the account, or any person contractually or otherwise lawfully authorized to represent such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“Executing service provider” </w:t>
      </w:r>
      <w:r>
        <w:rPr>
          <w:rFonts w:ascii="Times New Roman" w:hAnsi="Times New Roman"/>
          <w:b w:val="false"/>
          <w:i w:val="false"/>
          <w:color w:val="000000"/>
          <w:sz w:val="22"/>
        </w:rPr>
        <w:t>means, with respect to any change in telecommunications service, a telecommunications service provider who executes an order for a change in service received from another telecommunications service provider or from its own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“Letter of agency” </w:t>
      </w:r>
      <w:r>
        <w:rPr>
          <w:rFonts w:ascii="Times New Roman" w:hAnsi="Times New Roman"/>
          <w:b w:val="false"/>
          <w:i w:val="false"/>
          <w:color w:val="000000"/>
          <w:sz w:val="22"/>
        </w:rPr>
        <w:t xml:space="preserve">means a written document complying with the requirements of paragraph </w:t>
      </w:r>
      <w:hyperlink r:id="rId21">
        <w:r>
          <w:rPr>
            <w:rStyle w:val="Hyperlink"/>
            <w:rFonts w:ascii="Times New Roman" w:hAnsi="Times New Roman"/>
            <w:b w:val="false"/>
            <w:i w:val="false"/>
            <w:color w:val="000000"/>
            <w:sz w:val="22"/>
          </w:rPr>
          <w:t>22.9(2)</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“Preferred telecommunications service provider freeze” </w:t>
      </w:r>
      <w:r>
        <w:rPr>
          <w:rFonts w:ascii="Times New Roman" w:hAnsi="Times New Roman"/>
          <w:b w:val="false"/>
          <w:i w:val="false"/>
          <w:color w:val="000000"/>
          <w:sz w:val="22"/>
        </w:rPr>
        <w:t>means the limitation of a customer’s preferred telecommunications service provider choices so as to prevent any change in preferred telecommunications service provider for one or more services unless the customer gives the telecommunications service provider from which the freeze was requested the customer’s express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“Slamming” </w:t>
      </w:r>
      <w:r>
        <w:rPr>
          <w:rFonts w:ascii="Times New Roman" w:hAnsi="Times New Roman"/>
          <w:b w:val="false"/>
          <w:i w:val="false"/>
          <w:color w:val="000000"/>
          <w:sz w:val="22"/>
        </w:rPr>
        <w:t xml:space="preserve">means the designation of a new telecommunications service provider to a customer, including the initial selection of a telecommunications service provider, without the verified consent of the customer. “Slamming” does not include the designation of a new provider of a telecommunications service to a customer made pursuant to the sale or transfer of another telecommunications service provider’s customer base, provided that the designation meets the requirements of paragraph </w:t>
      </w:r>
      <w:hyperlink r:id="rId22">
        <w:r>
          <w:rPr>
            <w:rStyle w:val="Hyperlink"/>
            <w:rFonts w:ascii="Times New Roman" w:hAnsi="Times New Roman"/>
            <w:b w:val="false"/>
            <w:i w:val="false"/>
            <w:color w:val="000000"/>
            <w:sz w:val="22"/>
          </w:rPr>
          <w:t>22.9(2)</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“Submitting service provider” </w:t>
      </w:r>
      <w:r>
        <w:rPr>
          <w:rFonts w:ascii="Times New Roman" w:hAnsi="Times New Roman"/>
          <w:b w:val="false"/>
          <w:i w:val="false"/>
          <w:color w:val="000000"/>
          <w:sz w:val="22"/>
        </w:rPr>
        <w:t xml:space="preserve">means the same as defined in Iowa Code section </w:t>
      </w:r>
      <w:hyperlink r:id="rId23">
        <w:r>
          <w:rPr>
            <w:rStyle w:val="Hyperlink"/>
            <w:rFonts w:ascii="Times New Roman" w:hAnsi="Times New Roman"/>
            <w:b w:val="false"/>
            <w:i w:val="false"/>
            <w:color w:val="000000"/>
            <w:sz w:val="22"/>
          </w:rPr>
          <w:t>476.103(2)</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“Verified consent” </w:t>
      </w:r>
      <w:r>
        <w:rPr>
          <w:rFonts w:ascii="Times New Roman" w:hAnsi="Times New Roman"/>
          <w:b w:val="false"/>
          <w:i w:val="false"/>
          <w:color w:val="000000"/>
          <w:sz w:val="22"/>
        </w:rPr>
        <w:t>means verification of a customer’s authorization for a change in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22.9(2)</w:t>
      </w:r>
      <w:r>
        <w:rPr>
          <w:rFonts w:ascii="Times New Roman" w:hAnsi="Times New Roman"/>
          <w:b w:val="false"/>
          <w:i w:val="false"/>
          <w:color w:val="000000"/>
          <w:sz w:val="22"/>
        </w:rPr>
        <w:t> </w:t>
      </w:r>
      <w:r>
        <w:rPr>
          <w:rFonts w:ascii="Times New Roman" w:hAnsi="Times New Roman"/>
          <w:b w:val="false"/>
          <w:i/>
          <w:color w:val="000000"/>
          <w:sz w:val="22"/>
        </w:rPr>
        <w:t xml:space="preserve">Prohibition of unauthorized changes in telecommunications service. </w:t>
      </w:r>
      <w:r>
        <w:rPr>
          <w:rFonts w:ascii="Times New Roman" w:hAnsi="Times New Roman"/>
          <w:b w:val="false"/>
          <w:i w:val="false"/>
          <w:color w:val="000000"/>
          <w:sz w:val="22"/>
        </w:rPr>
        <w:t xml:space="preserve">Unauthorized changes in telecommunications service, including but not limited to cramming and slamming, are prohibited. Telecommunications service providers shall comply with Federal Communications Commission requirements regarding verification of customer authentication of a change in service and change in service provider as provided for in 47 CFR 64.1120 and 47 CFR 64.2401.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authorization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submitting service provider shall submit a change on behalf of customer in the customer’s selection of a provider of telecommunications service prior to obtaining: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Authorization from the customer, subject to subparagraph </w:t>
      </w:r>
      <w:hyperlink r:id="rId24">
        <w:r>
          <w:rPr>
            <w:rStyle w:val="Hyperlink"/>
            <w:rFonts w:ascii="Times New Roman" w:hAnsi="Times New Roman"/>
            <w:b w:val="false"/>
            <w:i w:val="false"/>
            <w:color w:val="000000"/>
            <w:sz w:val="22"/>
          </w:rPr>
          <w:t>22.9(2)</w:t>
        </w:r>
      </w:hyperlink>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that authorization in accordance with the procedures prescribed in paragraph </w:t>
      </w:r>
      <w:hyperlink r:id="rId25">
        <w:r>
          <w:rPr>
            <w:rStyle w:val="Hyperlink"/>
            <w:rFonts w:ascii="Times New Roman" w:hAnsi="Times New Roman"/>
            <w:b w:val="false"/>
            <w:i w:val="false"/>
            <w:color w:val="000000"/>
            <w:sz w:val="22"/>
          </w:rPr>
          <w:t>22.9(2)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Material misrepresentation on the sales call is prohibited. Upon a consumer’s credible allegation of a sales call misrepresentation, the burden shifts to the carrier making the sales call to provide persuasive evidence to rebut the claim. Upon a finding that such a material misrepresentation has occurred on a sales call, the customer’s authorization to switch carriers is deemed invalid.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executing service provider shall not verify the submission of a change in a customer’s selection of a provider of telecommunications service received from a submitting service provider. For an executing service provider, compliance with the procedures prescribed in subrule </w:t>
      </w:r>
      <w:hyperlink r:id="rId26">
        <w:r>
          <w:rPr>
            <w:rStyle w:val="Hyperlink"/>
            <w:rFonts w:ascii="Times New Roman" w:hAnsi="Times New Roman"/>
            <w:b w:val="false"/>
            <w:i w:val="false"/>
            <w:color w:val="000000"/>
            <w:sz w:val="22"/>
          </w:rPr>
          <w:t>22.9(2)</w:t>
        </w:r>
      </w:hyperlink>
      <w:r>
        <w:rPr>
          <w:rFonts w:ascii="Times New Roman" w:hAnsi="Times New Roman"/>
          <w:b w:val="false"/>
          <w:i w:val="false"/>
          <w:color w:val="000000"/>
          <w:sz w:val="22"/>
        </w:rPr>
        <w:t xml:space="preserve"> shall be defined as prompt execution, without any unreasonable delay, of changes that have been verified by a submitting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 service provider shall submit a preferred telecommunications service provider change order or other change in service order to another service provider unless and until the change has first been confirmed in accordance with one of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service provider has obtained the customer’s written authorization in a form that meets the requirements of paragraph </w:t>
      </w:r>
      <w:hyperlink r:id="rId27">
        <w:r>
          <w:rPr>
            <w:rStyle w:val="Hyperlink"/>
            <w:rFonts w:ascii="Times New Roman" w:hAnsi="Times New Roman"/>
            <w:b w:val="false"/>
            <w:i w:val="false"/>
            <w:color w:val="000000"/>
            <w:sz w:val="22"/>
          </w:rPr>
          <w:t>22.9(2)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service provider has obtained the customer’s electronic authorization to submit the preferred telecommunications service provider change order. Such authorization must be placed from the telephone number(s) on which the preferred telecommunications service provider is to be changed and must confirm the information required in subparagraph </w:t>
      </w:r>
      <w:hyperlink r:id="rId28">
        <w:r>
          <w:rPr>
            <w:rStyle w:val="Hyperlink"/>
            <w:rFonts w:ascii="Times New Roman" w:hAnsi="Times New Roman"/>
            <w:b w:val="false"/>
            <w:i w:val="false"/>
            <w:color w:val="000000"/>
            <w:sz w:val="22"/>
          </w:rPr>
          <w:t>22.9(2)</w:t>
        </w:r>
      </w:hyperlink>
      <w:r>
        <w:rPr>
          <w:rFonts w:ascii="Times New Roman" w:hAnsi="Times New Roman"/>
          <w:b w:val="false"/>
          <w:i/>
          <w:color w:val="000000"/>
          <w:sz w:val="22"/>
        </w:rPr>
        <w:t>“a”</w:t>
      </w:r>
      <w:r>
        <w:rPr>
          <w:rFonts w:ascii="Times New Roman" w:hAnsi="Times New Roman"/>
          <w:b w:val="false"/>
          <w:i w:val="false"/>
          <w:color w:val="000000"/>
          <w:sz w:val="22"/>
        </w:rPr>
        <w:t>(1). Service providers electing to confirm sales electronically shall establish one or more toll-free telephone numbers exclusively for that purpose. Calls to the number(s) will connect a customer to a voice response unit or to a similar mechanism that records the required information regarding the preferred telecommunications service provider change, including automatically recording the originating automatic numbering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appropriately qualified independent third party has obtained the customer’s oral authorization to submit the preferred telecommunications service provider change order that confirms and includes appropriate verification data. The independent third party must not be owned, managed, controlled, or directed by the service provider or the service provider’s marketing agent; must not have any financial incentive to confirm preferred telecommunications service provider change orders for the service provider or the service provider’s marketing agent; and must operate in a location physically separate from the service provider or the service provider’s marketing agent. The content of the verification must include clear and conspicuous confirmation that the customer has authorized a preferred telecommunications service provider change.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Methods of third-party verification. Automated third-party verification systems and three-way conference calls may be used for verification purposes so long as the requirements of this bulleted list are satisfied.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Carrier initiation of third-party verification. A carrier or a carrier’s sales representative initiating a three-way conference call or a call through an automated verification system must drop off the call once the three-way connection has been established.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Requirements for content and format of third-party verification. Any description of the carrier change transaction by a third-party verifier must not be misleading, and all third-party verification methods shall elicit, at a minimum, the information as set forth by </w:t>
      </w:r>
      <w:r>
        <w:rPr>
          <w:rFonts w:ascii="Times New Roman" w:hAnsi="Times New Roman"/>
          <w:b w:val="false"/>
          <w:i w:val="false"/>
          <w:color w:val="000000"/>
          <w:sz w:val="22"/>
        </w:rPr>
        <w:t>47 CFR 64.1120(c)</w:t>
      </w:r>
      <w:r>
        <w:rPr>
          <w:rFonts w:ascii="Times New Roman" w:hAnsi="Times New Roman"/>
          <w:b w:val="false"/>
          <w:i w:val="false"/>
          <w:color w:val="000000"/>
          <w:sz w:val="22"/>
        </w:rPr>
        <w:t>(3)(iii).</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Other requirements for third-party verification. All third-party verifications shall be conducted in the same language that was used in the underlying sales transaction and shall be recorded in their entirety. In accordance with the procedures set forth in numbered paragraph </w:t>
      </w:r>
      <w:hyperlink r:id="rId29">
        <w:r>
          <w:rPr>
            <w:rStyle w:val="Hyperlink"/>
            <w:rFonts w:ascii="Times New Roman" w:hAnsi="Times New Roman"/>
            <w:b w:val="false"/>
            <w:i w:val="false"/>
            <w:color w:val="000000"/>
            <w:sz w:val="22"/>
          </w:rPr>
          <w:t>22.9(2)</w:t>
        </w:r>
      </w:hyperlink>
      <w:r>
        <w:rPr>
          <w:rFonts w:ascii="Times New Roman" w:hAnsi="Times New Roman"/>
          <w:b w:val="false"/>
          <w:i/>
          <w:color w:val="000000"/>
          <w:sz w:val="22"/>
        </w:rPr>
        <w:t>“a”</w:t>
      </w:r>
      <w:r>
        <w:rPr>
          <w:rFonts w:ascii="Times New Roman" w:hAnsi="Times New Roman"/>
          <w:b w:val="false"/>
          <w:i w:val="false"/>
          <w:color w:val="000000"/>
          <w:sz w:val="22"/>
        </w:rPr>
        <w:t>(1)“2,” submitting carriers shall maintain and preserve audio records of verification of subscriber authorization for a minimum period of two years after obtaining such verification. Automated systems must provide consumers with an option to speak with a live person at any time during the call.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local service provider may change the preferred service provider, for customer-originated changes to existing accounts only, through maintenance of sufficient internal records to establish a valid customer request for the change in service. At a minimum, any such internal records must include the date and time of the customer’s request and adequate verification of the identification of the person requesting the change in service. The burden will be on the local service provider to show that its internal records are adequate to verify the customer’s request for the change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verifications shall be maintained for at least two years from the date the change in service is implemented, and all complaints regarding a change in preferred service provider must be brought within two years of the date the change in service is implemented. Verification of service freezes shall be maintained for as long as the preferred telecommunications service provider freeze is in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For other changes in service resulting in additional charges to existing accounts only, a service provider shall establish a valid customer request for the change in service through maintenance of sufficient internal records. At a minimum, any such internal records must include the date and time of the customer’s request and adequate verification under the circumstances of the identification of the person requesting the change in service. Any of the three verification methods in numbered paragraphs </w:t>
      </w:r>
      <w:hyperlink r:id="rId30">
        <w:r>
          <w:rPr>
            <w:rStyle w:val="Hyperlink"/>
            <w:rFonts w:ascii="Times New Roman" w:hAnsi="Times New Roman"/>
            <w:b w:val="false"/>
            <w:i w:val="false"/>
            <w:color w:val="000000"/>
            <w:sz w:val="22"/>
          </w:rPr>
          <w:t>22.9(2)</w:t>
        </w:r>
      </w:hyperlink>
      <w:r>
        <w:rPr>
          <w:rFonts w:ascii="Times New Roman" w:hAnsi="Times New Roman"/>
          <w:b w:val="false"/>
          <w:i/>
          <w:color w:val="000000"/>
          <w:sz w:val="22"/>
        </w:rPr>
        <w:t>“a”</w:t>
      </w:r>
      <w:r>
        <w:rPr>
          <w:rFonts w:ascii="Times New Roman" w:hAnsi="Times New Roman"/>
          <w:b w:val="false"/>
          <w:i w:val="false"/>
          <w:color w:val="000000"/>
          <w:sz w:val="22"/>
        </w:rPr>
        <w:t>(4)“1” to “3” are also acceptable. The burden will be on the telecommunications service provider to show that its internal records are adequate to verify the customer’s request for the change in service. Where the additional charge is for one or more specific telephone calls, examples of internal records a telecommunications service provider may submit include call records showing the origin, date, time, destination, and duration of the calls, and any other data the telecommunications service provider relies on to show the calls were made or accepted by the customer, along with an explanation of the records and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Letter of agency form and content. </w:t>
      </w:r>
      <w:r>
        <w:rPr>
          <w:rFonts w:ascii="Times New Roman" w:hAnsi="Times New Roman"/>
          <w:b w:val="false"/>
          <w:i w:val="false"/>
          <w:color w:val="000000"/>
          <w:sz w:val="22"/>
        </w:rPr>
        <w:t xml:space="preserve">A service provider may use a letter of agency to obtain written authorization or verification of a customer’s request to change the customer’s preferred service provider selection. A letter of agency that does not conform with the requirements of </w:t>
      </w:r>
      <w:r>
        <w:rPr>
          <w:rFonts w:ascii="Times New Roman" w:hAnsi="Times New Roman"/>
          <w:b w:val="false"/>
          <w:i w:val="false"/>
          <w:color w:val="000000"/>
          <w:sz w:val="22"/>
        </w:rPr>
        <w:t>47 CFR 64.1130</w:t>
      </w:r>
      <w:r>
        <w:rPr>
          <w:rFonts w:ascii="Times New Roman" w:hAnsi="Times New Roman"/>
          <w:b w:val="false"/>
          <w:i w:val="false"/>
          <w:color w:val="000000"/>
          <w:sz w:val="22"/>
        </w:rPr>
        <w:t xml:space="preserve"> is invalid 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Customer notification. </w:t>
      </w:r>
      <w:r>
        <w:rPr>
          <w:rFonts w:ascii="Times New Roman" w:hAnsi="Times New Roman"/>
          <w:b w:val="false"/>
          <w:i w:val="false"/>
          <w:color w:val="000000"/>
          <w:sz w:val="22"/>
        </w:rPr>
        <w:t>Every change in service shall be followed by a written notification to the affected customer to inform the customer of the change. Such notice shall be provided within 30 days of the effective date of the change. Such notice may include but is not limited to a conspicuous written statement on the customer’s bill, a separate mailing to the customer’s billing address, or a separate written statement included with the customer’s bill. Each such statement shall clearly and conspicuously identify the change in service, any associated charges or fees, the name of the service provider associated with the change, and a toll-free number by which the customer may inquire about or dispute any provision in the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Preferred telecommunications service provider freezes.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preferred telecommunications service provider freeze (or “freeze”) prevents a change in a customer’s preferred service provider selection unless the customer gives the service provider from whom the freeze was requested express consent. All local exchange carriers who offer preferred telecommunications service provider freezes must comply with the provisions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local exchange carriers who offer preferred telecommunications service provider freezes shall offer freezes on a nondiscriminatory basis to all customers, regardless of the customers’ service provider selections.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Preferred telecommunications service provider freeze procedures, including any solicitation, must clearly distinguish among telecommunications services (e.g., local exchange, intraLATA/intrastate toll, interLATA/interstate toll, and international toll) subject to a preferred telecommunications service provider freeze. The service provider offering the freeze must obtain separate authorization for each service for which a preferred telecommunications service provider freeze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Solicitation and imposition of preferred telecommunications service provider freezes.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solicitation and other materials provided by a service provider regarding preferred telecommunications service provider freezes must include: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explanation, in clear and neutral language, of what a preferred telecommunications service provider freeze is and what services may be subject to a freeze;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description of the specific procedures necessary to lift a preferred telecommunications service provider freeze; an explanation that these steps are in addition to the verification requirements in this rule for changing a customer’s preferred service provider selections; and an explanation that the customer will be unable to make a change in service provider selection unless the freeze is lifted;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explanation of any charges associated with the preferred telecommunications service provider freeze.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local exchange carrier shall implement a preferred telecommunications service provider freeze unless the customer’s request to impose a freeze has first been confirmed in accordance with one of the following procedures: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local exchange carrier has obtained the customer’s written or electronically signed authorization in a form that meets the requirements of this rule;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local exchange carrier has obtained the customer’s electronic authorization, placed from the telephone number(s) on which the preferred telecommunications service provider freeze is to be imposed, to impose a preferred telecommunications service provider freeze. The electronic authorization shall confirm appropriate verification data. Service providers electing to confirm preferred telecommunications service provider freeze orders electronically shall establish one or more toll-free telephone numbers exclusively for that purpose. Calls to the number(s) will connect a customer to a voice response unit or to a similar mechanism that records the required information regarding the preferred telecommunications service provider freeze request, including automatically recording the originating automatic numbering identification;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appropriately qualified independent third party has obtained the customer’s oral authorization to submit the preferred telecommunications service provider freeze and confirmed the appropriate verification data and the information required in this rule. The independent third party must not be owned, managed, or directly controlled by the service provider or the service provider’s marketing agent; must not have any financial incentive to confirm preferred telecommunications service provider freeze requests for the service provider or the service provider’s marketing agent; and must operate in a location physically separate from the service provider or the service provider’s marketing agent. The content of the verification must include clear and conspicuous confirmation that the customer has authorized a preferred telecommunications service provider freeze.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local exchange carrier may accept a written and signed authorization to impose a freeze on the customer’s preferred service provider selection. Written authorization that does not conform with this subrule is invalid and may not be used to impose a preferred telecommunications service provider freeze.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written authorization shall comply with this rule concerning the form and content for letters of agency.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At a minimum, the written authorization must be printed with a readable type of sufficient size to be clearly legible and must contain clear and unambiguous language that confirms: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customer’s billing name and address and the telephone number(s) to be covered by the preferred telecommunications service provider freeze;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decision to place a preferred telecommunications service provider freeze on the telephone number(s) and particular service(s). To the extent that a jurisdiction allows the imposition of preferred telecommunications service provider freezes on additional preferred service provider selections (e.g., for local exchange, intraLATA/intrastate toll, interLATA/interstate toll service, and international toll), the authorization must contain separate statements regarding the particular selections to be frozen;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That the customer understands that the customer will be unable to make a change in telecommunications service provider selection unless the preferred telecommunications service provider freeze is lifted;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That the customer understands that any preferred telecommunications service provider freeze may involve a charge to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local exchange carriers that offer preferred telecommunications service provider freezes must, at a minimum, offer customers the following procedures for lifting a preferred telecommunications service provider freeze: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local exchange carrier administering a preferred telecommunications service provider freeze must accept a customer’s written or electronically signed authorization stating the intention to lift a preferred telecommunications service provider freeze;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local exchange carrier administering a preferred telecommunications service provider freeze must accept a customer’s oral authorization stating the intention to lift a preferred telecommunications service provider freeze and must offer a mechanism that allows a submitting service provider to conduct a three-way conference call with the service provider administering the freeze and the customer in order to lift a freeze. When engaged in oral authorization to lift a preferred telecommunications service provider freeze, the service provider administering the freeze shall confirm appropriate verification data and the customer’s intent to lift the particular freeze.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Procedures in the event of sale or transfer of customer base. </w:t>
      </w:r>
      <w:r>
        <w:rPr>
          <w:rFonts w:ascii="Times New Roman" w:hAnsi="Times New Roman"/>
          <w:b w:val="false"/>
          <w:i w:val="false"/>
          <w:color w:val="000000"/>
          <w:sz w:val="22"/>
        </w:rPr>
        <w:t xml:space="preserve">A telecommunications service provider may acquire, through a sale or transfer, either part or all of another telecommunications service provider’s customer base without obtaining each customer’s authorization if the acquiring telecommunications service provider complies with 47 CFR 64.1120(e).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31">
        <w:r>
          <w:rPr>
            <w:rStyle w:val="Hyperlink"/>
            <w:rFonts w:ascii="Times New Roman" w:hAnsi="Times New Roman"/>
            <w:b w:val="false"/>
            <w:i w:val="false"/>
            <w:color w:val="000000"/>
            <w:sz w:val="22"/>
          </w:rPr>
          <w:t>476.1D</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476.91</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476.95</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476.95A</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476.95B</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476.100</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476.103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December 12, 1967; amended June 27, 1975]</w:t>
      </w:r>
    </w:p>
    <w:p>
      <w:pPr>
        <w:spacing w:before="0" w:after="0"/>
        <w:ind w:left="120"/>
        <w:jc w:val="center"/>
      </w:pPr>
      <w:r>
        <w:rPr>
          <w:rFonts w:ascii="Times New Roman" w:hAnsi="Times New Roman"/>
          <w:b w:val="false"/>
          <w:i w:val="false"/>
          <w:color w:val="000000"/>
          <w:sz w:val="21"/>
        </w:rPr>
        <w:t>[Filed 10/13/76, Notice 9/8/75—published 11/3/76, effective 12/8/76]</w:t>
      </w:r>
    </w:p>
    <w:p>
      <w:pPr>
        <w:spacing w:before="0" w:after="0"/>
        <w:ind w:left="120"/>
        <w:jc w:val="center"/>
      </w:pPr>
      <w:r>
        <w:rPr>
          <w:rFonts w:ascii="Times New Roman" w:hAnsi="Times New Roman"/>
          <w:b w:val="false"/>
          <w:i w:val="false"/>
          <w:color w:val="000000"/>
          <w:sz w:val="21"/>
        </w:rPr>
        <w:t>[Filed 9/2/77, Notice 4/20/77—published 9/21/77, effective 10/26/77]</w:t>
      </w:r>
    </w:p>
    <w:p>
      <w:pPr>
        <w:spacing w:before="0" w:after="0"/>
        <w:ind w:left="120"/>
        <w:jc w:val="center"/>
      </w:pPr>
      <w:r>
        <w:rPr>
          <w:rFonts w:ascii="Times New Roman" w:hAnsi="Times New Roman"/>
          <w:b w:val="false"/>
          <w:i w:val="false"/>
          <w:color w:val="000000"/>
          <w:sz w:val="21"/>
        </w:rPr>
        <w:t>[Filed emergency 9/14/77—published 10/5/77, effective 9/14/77]</w:t>
      </w:r>
    </w:p>
    <w:p>
      <w:pPr>
        <w:spacing w:before="0" w:after="0"/>
        <w:ind w:left="120"/>
        <w:jc w:val="center"/>
      </w:pPr>
      <w:r>
        <w:rPr>
          <w:rFonts w:ascii="Times New Roman" w:hAnsi="Times New Roman"/>
          <w:b w:val="false"/>
          <w:i w:val="false"/>
          <w:color w:val="000000"/>
          <w:sz w:val="21"/>
        </w:rPr>
        <w:t>[Filed 9/30/77, Notice 6/29/77—published 10/19/77, effective 11/23/77]</w:t>
      </w:r>
    </w:p>
    <w:p>
      <w:pPr>
        <w:spacing w:before="0" w:after="0"/>
        <w:ind w:left="120"/>
        <w:jc w:val="center"/>
      </w:pPr>
      <w:r>
        <w:rPr>
          <w:rFonts w:ascii="Times New Roman" w:hAnsi="Times New Roman"/>
          <w:b w:val="false"/>
          <w:i w:val="false"/>
          <w:color w:val="000000"/>
          <w:sz w:val="21"/>
        </w:rPr>
        <w:t>[Filed 4/10/79, Notices 5/3/78, 8/23/78—published 5/2/79, effective 6/6/79]</w:t>
      </w:r>
    </w:p>
    <w:p>
      <w:pPr>
        <w:spacing w:before="0" w:after="0"/>
        <w:ind w:left="120"/>
        <w:jc w:val="center"/>
      </w:pPr>
      <w:r>
        <w:rPr>
          <w:rFonts w:ascii="Times New Roman" w:hAnsi="Times New Roman"/>
          <w:b w:val="false"/>
          <w:i w:val="false"/>
          <w:color w:val="000000"/>
          <w:sz w:val="21"/>
        </w:rPr>
        <w:t>[Filed 1/28/82, Notice 9/30/81—published 2/17/82, effective 3/24/82]</w:t>
      </w:r>
    </w:p>
    <w:p>
      <w:pPr>
        <w:spacing w:before="0" w:after="0"/>
        <w:ind w:left="120"/>
        <w:jc w:val="center"/>
      </w:pPr>
      <w:r>
        <w:rPr>
          <w:rFonts w:ascii="Times New Roman" w:hAnsi="Times New Roman"/>
          <w:b w:val="false"/>
          <w:i w:val="false"/>
          <w:color w:val="000000"/>
          <w:sz w:val="21"/>
        </w:rPr>
        <w:t>[Filed 5/21/82, Notice 4/1/81—published 6/9/82, effective 7/14/82]</w:t>
      </w:r>
    </w:p>
    <w:p>
      <w:pPr>
        <w:spacing w:before="0" w:after="0"/>
        <w:ind w:left="120"/>
        <w:jc w:val="center"/>
      </w:pPr>
      <w:r>
        <w:rPr>
          <w:rFonts w:ascii="Times New Roman" w:hAnsi="Times New Roman"/>
          <w:b w:val="false"/>
          <w:i w:val="false"/>
          <w:color w:val="000000"/>
          <w:sz w:val="21"/>
        </w:rPr>
        <w:t>[Filed emergency 6/18/82—published 7/7/82, effective 7/14/82]</w:t>
      </w:r>
    </w:p>
    <w:p>
      <w:pPr>
        <w:spacing w:before="0" w:after="0"/>
        <w:ind w:left="120"/>
        <w:jc w:val="center"/>
      </w:pPr>
      <w:r>
        <w:rPr>
          <w:rFonts w:ascii="Times New Roman" w:hAnsi="Times New Roman"/>
          <w:b w:val="false"/>
          <w:i w:val="false"/>
          <w:color w:val="000000"/>
          <w:sz w:val="21"/>
        </w:rPr>
        <w:t>[Filed emergency 6/28/82—published 7/21/82, effective 6/28/82]</w:t>
      </w:r>
    </w:p>
    <w:p>
      <w:pPr>
        <w:spacing w:before="0" w:after="0"/>
        <w:ind w:left="120"/>
        <w:jc w:val="center"/>
      </w:pPr>
      <w:r>
        <w:rPr>
          <w:rFonts w:ascii="Times New Roman" w:hAnsi="Times New Roman"/>
          <w:b w:val="false"/>
          <w:i w:val="false"/>
          <w:color w:val="000000"/>
          <w:sz w:val="21"/>
        </w:rPr>
        <w:t>[Filed 10/8/82, Notices 10/28/81, 3/3/82, 4/14/82, 7/21/82—published 10/27/82, effective 12/1/82]</w:t>
      </w:r>
    </w:p>
    <w:p>
      <w:pPr>
        <w:spacing w:before="0" w:after="0"/>
        <w:ind w:left="120"/>
        <w:jc w:val="center"/>
      </w:pPr>
      <w:r>
        <w:rPr>
          <w:rFonts w:ascii="Times New Roman" w:hAnsi="Times New Roman"/>
          <w:b w:val="false"/>
          <w:i w:val="false"/>
          <w:color w:val="000000"/>
          <w:sz w:val="21"/>
        </w:rPr>
        <w:t>[Filed 10/21/82, Notice 8/18/82—published 11/10/82, effective 12/15/82]</w:t>
      </w:r>
    </w:p>
    <w:p>
      <w:pPr>
        <w:spacing w:before="0" w:after="0"/>
        <w:ind w:left="120"/>
        <w:jc w:val="center"/>
      </w:pPr>
      <w:r>
        <w:rPr>
          <w:rFonts w:ascii="Times New Roman" w:hAnsi="Times New Roman"/>
          <w:b w:val="false"/>
          <w:i w:val="false"/>
          <w:color w:val="000000"/>
          <w:sz w:val="21"/>
        </w:rPr>
        <w:t>[Filed 2/11/83, Notices 7/21/82, 12/8/82—published 3/2/83, effective 4/6/83]</w:t>
      </w:r>
    </w:p>
    <w:p>
      <w:pPr>
        <w:spacing w:before="0" w:after="0"/>
        <w:ind w:left="120"/>
        <w:jc w:val="center"/>
      </w:pPr>
      <w:r>
        <w:rPr>
          <w:rFonts w:ascii="Times New Roman" w:hAnsi="Times New Roman"/>
          <w:b w:val="false"/>
          <w:i w:val="false"/>
          <w:color w:val="000000"/>
          <w:sz w:val="21"/>
        </w:rPr>
        <w:t>[Filed 2/25/83, Notice 12/22/82—published 3/16/83, effective 4/20/83]</w:t>
      </w:r>
    </w:p>
    <w:p>
      <w:pPr>
        <w:spacing w:before="0" w:after="0"/>
        <w:ind w:left="120"/>
        <w:jc w:val="center"/>
      </w:pPr>
      <w:r>
        <w:rPr>
          <w:rFonts w:ascii="Times New Roman" w:hAnsi="Times New Roman"/>
          <w:b w:val="false"/>
          <w:i w:val="false"/>
          <w:color w:val="000000"/>
          <w:sz w:val="21"/>
        </w:rPr>
        <w:t>[Filed emergency 6/17/83—published 7/6/83, effective 7/1/83]</w:t>
      </w:r>
    </w:p>
    <w:p>
      <w:pPr>
        <w:spacing w:before="0" w:after="0"/>
        <w:ind w:left="120"/>
        <w:jc w:val="center"/>
      </w:pPr>
      <w:r>
        <w:rPr>
          <w:rFonts w:ascii="Times New Roman" w:hAnsi="Times New Roman"/>
          <w:b w:val="false"/>
          <w:i w:val="false"/>
          <w:color w:val="000000"/>
          <w:sz w:val="21"/>
        </w:rPr>
        <w:t>[Filed 9/9/83, Notice 6/22/83—published 9/28/83, effective 11/2/83]</w:t>
      </w:r>
    </w:p>
    <w:p>
      <w:pPr>
        <w:spacing w:before="0" w:after="0"/>
        <w:ind w:left="120"/>
        <w:jc w:val="center"/>
      </w:pPr>
      <w:r>
        <w:rPr>
          <w:rFonts w:ascii="Times New Roman" w:hAnsi="Times New Roman"/>
          <w:b w:val="false"/>
          <w:i w:val="false"/>
          <w:color w:val="000000"/>
          <w:sz w:val="21"/>
        </w:rPr>
        <w:t>[Filed without Notice 9/26/83—published 10/12/83, effective 12/1/83]</w:t>
      </w:r>
    </w:p>
    <w:p>
      <w:pPr>
        <w:spacing w:before="0" w:after="0"/>
        <w:ind w:left="120"/>
        <w:jc w:val="center"/>
      </w:pPr>
      <w:r>
        <w:rPr>
          <w:rFonts w:ascii="Times New Roman" w:hAnsi="Times New Roman"/>
          <w:b w:val="false"/>
          <w:i w:val="false"/>
          <w:color w:val="000000"/>
          <w:sz w:val="21"/>
        </w:rPr>
        <w:t>[Filed 10/7/83, Notice 8/17/83—published 10/26/83, effective 12/1/83]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11/4/83—published 11/23/83, effective 12/1/83]</w:t>
      </w:r>
    </w:p>
    <w:p>
      <w:pPr>
        <w:spacing w:before="0" w:after="0"/>
        <w:ind w:left="120"/>
        <w:jc w:val="center"/>
      </w:pPr>
      <w:r>
        <w:rPr>
          <w:rFonts w:ascii="Times New Roman" w:hAnsi="Times New Roman"/>
          <w:b w:val="false"/>
          <w:i w:val="false"/>
          <w:color w:val="000000"/>
          <w:sz w:val="21"/>
        </w:rPr>
        <w:t>[Filed without Notice 11/4/83—published 11/23/83, effective 1/1/84]</w:t>
      </w:r>
    </w:p>
    <w:p>
      <w:pPr>
        <w:spacing w:before="0" w:after="0"/>
        <w:ind w:left="120"/>
        <w:jc w:val="center"/>
      </w:pPr>
      <w:r>
        <w:rPr>
          <w:rFonts w:ascii="Times New Roman" w:hAnsi="Times New Roman"/>
          <w:b w:val="false"/>
          <w:i w:val="false"/>
          <w:color w:val="000000"/>
          <w:sz w:val="21"/>
        </w:rPr>
        <w:t>[Filed 11/4/83, Notice 8/31/83—published 11/23/83, effective 1/1/84]</w:t>
      </w:r>
    </w:p>
    <w:p>
      <w:pPr>
        <w:spacing w:before="0" w:after="0"/>
        <w:ind w:left="120"/>
        <w:jc w:val="center"/>
      </w:pPr>
      <w:r>
        <w:rPr>
          <w:rFonts w:ascii="Times New Roman" w:hAnsi="Times New Roman"/>
          <w:b w:val="false"/>
          <w:i w:val="false"/>
          <w:color w:val="000000"/>
          <w:sz w:val="21"/>
        </w:rPr>
        <w:t>[Filed 2/10/84, Notice 12/21/83—published 2/29/84, effective 4/4/84]</w:t>
      </w:r>
    </w:p>
    <w:p>
      <w:pPr>
        <w:spacing w:before="0" w:after="0"/>
        <w:ind w:left="120"/>
        <w:jc w:val="center"/>
      </w:pPr>
      <w:r>
        <w:rPr>
          <w:rFonts w:ascii="Times New Roman" w:hAnsi="Times New Roman"/>
          <w:b w:val="false"/>
          <w:i w:val="false"/>
          <w:color w:val="000000"/>
          <w:sz w:val="21"/>
        </w:rPr>
        <w:t>[Filed 2/24/84, Notice 11/23/83—published 3/14/84, effective 4/18/84]</w:t>
      </w:r>
    </w:p>
    <w:p>
      <w:pPr>
        <w:spacing w:before="0" w:after="0"/>
        <w:ind w:left="120"/>
        <w:jc w:val="center"/>
      </w:pPr>
      <w:r>
        <w:rPr>
          <w:rFonts w:ascii="Times New Roman" w:hAnsi="Times New Roman"/>
          <w:b w:val="false"/>
          <w:i w:val="false"/>
          <w:color w:val="000000"/>
          <w:sz w:val="21"/>
        </w:rPr>
        <w:t>[Filed 4/9/84, Notice 1/18/84—published 4/25/84, effective 5/30/84]</w:t>
      </w:r>
    </w:p>
    <w:p>
      <w:pPr>
        <w:spacing w:before="0" w:after="0"/>
        <w:ind w:left="120"/>
        <w:jc w:val="center"/>
      </w:pPr>
      <w:r>
        <w:rPr>
          <w:rFonts w:ascii="Times New Roman" w:hAnsi="Times New Roman"/>
          <w:b w:val="false"/>
          <w:i w:val="false"/>
          <w:color w:val="000000"/>
          <w:sz w:val="21"/>
        </w:rPr>
        <w:t>[Filed 6/1/84, Notice 4/25/84—published 6/20/84, effective 7/25/84]</w:t>
      </w:r>
    </w:p>
    <w:p>
      <w:pPr>
        <w:spacing w:before="0" w:after="0"/>
        <w:ind w:left="120"/>
        <w:jc w:val="center"/>
      </w:pPr>
      <w:r>
        <w:rPr>
          <w:rFonts w:ascii="Times New Roman" w:hAnsi="Times New Roman"/>
          <w:b w:val="false"/>
          <w:i w:val="false"/>
          <w:color w:val="000000"/>
          <w:sz w:val="21"/>
        </w:rPr>
        <w:t>[Filed 10/19/84, Notice 8/15/84—published 11/7/84, effective 12/12/84]</w:t>
      </w:r>
    </w:p>
    <w:p>
      <w:pPr>
        <w:spacing w:before="0" w:after="0"/>
        <w:ind w:left="120"/>
        <w:jc w:val="center"/>
      </w:pPr>
      <w:r>
        <w:rPr>
          <w:rFonts w:ascii="Times New Roman" w:hAnsi="Times New Roman"/>
          <w:b w:val="false"/>
          <w:i w:val="false"/>
          <w:color w:val="000000"/>
          <w:sz w:val="21"/>
        </w:rPr>
        <w:t>[Filed 11/16/84, Notice 8/15/84—published 12/5/84, effective 1/9/85]</w:t>
      </w:r>
    </w:p>
    <w:p>
      <w:pPr>
        <w:spacing w:before="0" w:after="0"/>
        <w:ind w:left="120"/>
        <w:jc w:val="center"/>
      </w:pPr>
      <w:r>
        <w:rPr>
          <w:rFonts w:ascii="Times New Roman" w:hAnsi="Times New Roman"/>
          <w:b w:val="false"/>
          <w:i w:val="false"/>
          <w:color w:val="000000"/>
          <w:sz w:val="21"/>
        </w:rPr>
        <w:t>[Filed 4/5/85, Notice 12/5/84—published 4/24/85, effective 5/29/85]</w:t>
      </w:r>
    </w:p>
    <w:p>
      <w:pPr>
        <w:spacing w:before="0" w:after="0"/>
        <w:ind w:left="120"/>
        <w:jc w:val="center"/>
      </w:pPr>
      <w:r>
        <w:rPr>
          <w:rFonts w:ascii="Times New Roman" w:hAnsi="Times New Roman"/>
          <w:b w:val="false"/>
          <w:i w:val="false"/>
          <w:color w:val="000000"/>
          <w:sz w:val="21"/>
        </w:rPr>
        <w:t>[Filed 4/19/85, Notice 2/13/85—published 5/8/85, effective 6/12/85]</w:t>
      </w:r>
    </w:p>
    <w:p>
      <w:pPr>
        <w:spacing w:before="0" w:after="0"/>
        <w:ind w:left="120"/>
        <w:jc w:val="center"/>
      </w:pPr>
      <w:r>
        <w:rPr>
          <w:rFonts w:ascii="Times New Roman" w:hAnsi="Times New Roman"/>
          <w:b w:val="false"/>
          <w:i w:val="false"/>
          <w:color w:val="000000"/>
          <w:sz w:val="21"/>
        </w:rPr>
        <w:t>[Filed 7/26/85, Notices 4/24/85, 6/19/85—published 8/14/85, effective 9/18/85]</w:t>
      </w:r>
    </w:p>
    <w:p>
      <w:pPr>
        <w:spacing w:before="0" w:after="0"/>
        <w:ind w:left="120"/>
        <w:jc w:val="center"/>
      </w:pPr>
      <w:r>
        <w:rPr>
          <w:rFonts w:ascii="Times New Roman" w:hAnsi="Times New Roman"/>
          <w:b w:val="false"/>
          <w:i w:val="false"/>
          <w:color w:val="000000"/>
          <w:sz w:val="21"/>
        </w:rPr>
        <w:t>[Filed 2/7/86, Notices 8/14/85, 11/6/85—published 2/26/86, effective 4/2/86]</w:t>
      </w:r>
    </w:p>
    <w:p>
      <w:pPr>
        <w:spacing w:before="0" w:after="0"/>
        <w:ind w:left="120"/>
        <w:jc w:val="center"/>
      </w:pPr>
      <w:r>
        <w:rPr>
          <w:rFonts w:ascii="Times New Roman" w:hAnsi="Times New Roman"/>
          <w:b w:val="false"/>
          <w:i w:val="false"/>
          <w:color w:val="000000"/>
          <w:sz w:val="21"/>
        </w:rPr>
        <w:t>[Filed 3/7/86, Notice 12/4/85—published 3/26/86, effective 4/30/86]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7/11/86, Notice 4/23/86—published 7/30/86, effective 9/3/86]</w:t>
      </w:r>
    </w:p>
    <w:p>
      <w:pPr>
        <w:spacing w:before="0" w:after="0"/>
        <w:ind w:left="120"/>
        <w:jc w:val="center"/>
      </w:pPr>
      <w:r>
        <w:rPr>
          <w:rFonts w:ascii="Times New Roman" w:hAnsi="Times New Roman"/>
          <w:b w:val="false"/>
          <w:i w:val="false"/>
          <w:color w:val="000000"/>
          <w:sz w:val="21"/>
        </w:rPr>
        <w:t>[Filed 8/22/86, Notice 6/18/86—published 9/10/86, effective 10/15/86]</w:t>
      </w:r>
    </w:p>
    <w:p>
      <w:pPr>
        <w:spacing w:before="0" w:after="0"/>
        <w:ind w:left="120"/>
        <w:jc w:val="center"/>
      </w:pPr>
      <w:r>
        <w:rPr>
          <w:rFonts w:ascii="Times New Roman" w:hAnsi="Times New Roman"/>
          <w:b w:val="false"/>
          <w:i w:val="false"/>
          <w:color w:val="000000"/>
          <w:sz w:val="21"/>
        </w:rPr>
        <w:t>[Filed emergency 9/18/86—published 10/8/86, effective 9/18/86]</w:t>
      </w:r>
    </w:p>
    <w:p>
      <w:pPr>
        <w:spacing w:before="0" w:after="0"/>
        <w:ind w:left="120"/>
        <w:jc w:val="center"/>
      </w:pPr>
      <w:r>
        <w:rPr>
          <w:rFonts w:ascii="Times New Roman" w:hAnsi="Times New Roman"/>
          <w:b w:val="false"/>
          <w:i w:val="false"/>
          <w:color w:val="000000"/>
          <w:sz w:val="21"/>
        </w:rPr>
        <w:t>[Filed 4/17/87, Notice 12/3/86—published 5/6/87, effective 6/10/87]</w:t>
      </w:r>
    </w:p>
    <w:p>
      <w:pPr>
        <w:spacing w:before="0" w:after="0"/>
        <w:ind w:left="120"/>
        <w:jc w:val="center"/>
      </w:pPr>
      <w:r>
        <w:rPr>
          <w:rFonts w:ascii="Times New Roman" w:hAnsi="Times New Roman"/>
          <w:b w:val="false"/>
          <w:i w:val="false"/>
          <w:color w:val="000000"/>
          <w:sz w:val="21"/>
        </w:rPr>
        <w:t>[Filed 4/17/87, Notice 12/31/86—published 5/6/87, effective 6/10/87]</w:t>
      </w:r>
    </w:p>
    <w:p>
      <w:pPr>
        <w:spacing w:before="0" w:after="0"/>
        <w:ind w:left="120"/>
        <w:jc w:val="center"/>
      </w:pPr>
      <w:r>
        <w:rPr>
          <w:rFonts w:ascii="Times New Roman" w:hAnsi="Times New Roman"/>
          <w:b w:val="false"/>
          <w:i w:val="false"/>
          <w:color w:val="000000"/>
          <w:sz w:val="21"/>
        </w:rPr>
        <w:t>[Filed 1/22/88, Notice 11/4/87—published 2/10/88, effective 3/16/88]</w:t>
      </w:r>
    </w:p>
    <w:p>
      <w:pPr>
        <w:spacing w:before="0" w:after="0"/>
        <w:ind w:left="120"/>
        <w:jc w:val="center"/>
      </w:pPr>
      <w:r>
        <w:rPr>
          <w:rFonts w:ascii="Times New Roman" w:hAnsi="Times New Roman"/>
          <w:b w:val="false"/>
          <w:i w:val="false"/>
          <w:color w:val="000000"/>
          <w:sz w:val="21"/>
        </w:rPr>
        <w:t>[Filed 2/19/88, Notice 11/4/87—published 3/9/88, effective 4/13/88]</w:t>
      </w:r>
    </w:p>
    <w:p>
      <w:pPr>
        <w:spacing w:before="0" w:after="0"/>
        <w:ind w:left="120"/>
        <w:jc w:val="center"/>
      </w:pPr>
      <w:r>
        <w:rPr>
          <w:rFonts w:ascii="Times New Roman" w:hAnsi="Times New Roman"/>
          <w:b w:val="false"/>
          <w:i w:val="false"/>
          <w:color w:val="000000"/>
          <w:sz w:val="21"/>
        </w:rPr>
        <w:t>[Filed 7/21/88, Notice 4/20/88—published 8/10/88, effective 9/14/88]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8/5/88, Notice 4/6/88—published 8/24/88, effective 9/28/88]</w:t>
      </w:r>
    </w:p>
    <w:p>
      <w:pPr>
        <w:spacing w:before="0" w:after="0"/>
        <w:ind w:left="120"/>
        <w:jc w:val="center"/>
      </w:pPr>
      <w:r>
        <w:rPr>
          <w:rFonts w:ascii="Times New Roman" w:hAnsi="Times New Roman"/>
          <w:b w:val="false"/>
          <w:i w:val="false"/>
          <w:color w:val="000000"/>
          <w:sz w:val="21"/>
        </w:rPr>
        <w:t>[Filed 9/2/88, Notice 1/13/88—published 9/21/88, effective 10/26/88]</w:t>
      </w:r>
    </w:p>
    <w:p>
      <w:pPr>
        <w:spacing w:before="0" w:after="0"/>
        <w:ind w:left="120"/>
        <w:jc w:val="center"/>
      </w:pPr>
      <w:r>
        <w:rPr>
          <w:rFonts w:ascii="Times New Roman" w:hAnsi="Times New Roman"/>
          <w:b w:val="false"/>
          <w:i w:val="false"/>
          <w:color w:val="000000"/>
          <w:sz w:val="21"/>
        </w:rPr>
        <w:t>[Filed 9/2/88, Notice 7/27/88—published 9/21/88, effective 10/26/88]</w:t>
      </w:r>
    </w:p>
    <w:p>
      <w:pPr>
        <w:spacing w:before="0" w:after="0"/>
        <w:ind w:left="120"/>
        <w:jc w:val="center"/>
      </w:pPr>
      <w:r>
        <w:rPr>
          <w:rFonts w:ascii="Times New Roman" w:hAnsi="Times New Roman"/>
          <w:b w:val="false"/>
          <w:i w:val="false"/>
          <w:color w:val="000000"/>
          <w:sz w:val="21"/>
        </w:rPr>
        <w:t>[Filed 1/20/89, Notice 9/7/88—published 2/8/89, effective 3/15/89]</w:t>
      </w:r>
    </w:p>
    <w:p>
      <w:pPr>
        <w:spacing w:before="0" w:after="0"/>
        <w:ind w:left="120"/>
        <w:jc w:val="center"/>
      </w:pPr>
      <w:r>
        <w:rPr>
          <w:rFonts w:ascii="Times New Roman" w:hAnsi="Times New Roman"/>
          <w:b w:val="false"/>
          <w:i w:val="false"/>
          <w:color w:val="000000"/>
          <w:sz w:val="21"/>
        </w:rPr>
        <w:t>[Filed 3/3/89, Notices 1/13/88, 9/7/88—published 3/22/89, effective 4/26/89]</w:t>
      </w:r>
    </w:p>
    <w:p>
      <w:pPr>
        <w:spacing w:before="0" w:after="0"/>
        <w:ind w:left="120"/>
        <w:jc w:val="center"/>
      </w:pPr>
      <w:r>
        <w:rPr>
          <w:rFonts w:ascii="Times New Roman" w:hAnsi="Times New Roman"/>
          <w:b w:val="false"/>
          <w:i w:val="false"/>
          <w:color w:val="000000"/>
          <w:sz w:val="21"/>
        </w:rPr>
        <w:t>[Filed 3/17/89, Notice 9/21/88—published 4/5/89, effective 5/10/89]</w:t>
      </w:r>
    </w:p>
    <w:p>
      <w:pPr>
        <w:spacing w:before="0" w:after="0"/>
        <w:ind w:left="120"/>
        <w:jc w:val="center"/>
      </w:pPr>
      <w:r>
        <w:rPr>
          <w:rFonts w:ascii="Times New Roman" w:hAnsi="Times New Roman"/>
          <w:b w:val="false"/>
          <w:i w:val="false"/>
          <w:color w:val="000000"/>
          <w:sz w:val="21"/>
        </w:rPr>
        <w:t>[Filed without Notice 6/23/89—published 7/12/89, effective 8/16/89]</w:t>
      </w:r>
    </w:p>
    <w:p>
      <w:pPr>
        <w:spacing w:before="0" w:after="0"/>
        <w:ind w:left="120"/>
        <w:jc w:val="center"/>
      </w:pPr>
      <w:r>
        <w:rPr>
          <w:rFonts w:ascii="Times New Roman" w:hAnsi="Times New Roman"/>
          <w:b w:val="false"/>
          <w:i w:val="false"/>
          <w:color w:val="000000"/>
          <w:sz w:val="21"/>
        </w:rPr>
        <w:t>[Filed without Notice 6/26/89—published 7/12/89, effective 8/16/89]</w:t>
      </w:r>
    </w:p>
    <w:p>
      <w:pPr>
        <w:spacing w:before="0" w:after="0"/>
        <w:ind w:left="120"/>
        <w:jc w:val="center"/>
      </w:pPr>
      <w:r>
        <w:rPr>
          <w:rFonts w:ascii="Times New Roman" w:hAnsi="Times New Roman"/>
          <w:b w:val="false"/>
          <w:i w:val="false"/>
          <w:color w:val="000000"/>
          <w:sz w:val="21"/>
        </w:rPr>
        <w:t>[Filed 8/3/89, Notice 3/22/89—published 8/23/89, effective 9/27/89]</w:t>
      </w:r>
    </w:p>
    <w:p>
      <w:pPr>
        <w:spacing w:before="0" w:after="0"/>
        <w:ind w:left="120"/>
        <w:jc w:val="center"/>
      </w:pPr>
      <w:r>
        <w:rPr>
          <w:rFonts w:ascii="Times New Roman" w:hAnsi="Times New Roman"/>
          <w:b w:val="false"/>
          <w:i w:val="false"/>
          <w:color w:val="000000"/>
          <w:sz w:val="21"/>
        </w:rPr>
        <w:t>[Filed 9/1/89, Notice 5/17/89—published 9/20/89, effective 10/25/89]</w:t>
      </w:r>
    </w:p>
    <w:p>
      <w:pPr>
        <w:spacing w:before="0" w:after="0"/>
        <w:ind w:left="120"/>
        <w:jc w:val="center"/>
      </w:pPr>
      <w:r>
        <w:rPr>
          <w:rFonts w:ascii="Times New Roman" w:hAnsi="Times New Roman"/>
          <w:b w:val="false"/>
          <w:i w:val="false"/>
          <w:color w:val="000000"/>
          <w:sz w:val="21"/>
        </w:rPr>
        <w:t>[Filed 9/29/89, Notice 5/31/89—published 10/18/89, effective 11/22/89]</w:t>
      </w:r>
    </w:p>
    <w:p>
      <w:pPr>
        <w:spacing w:before="0" w:after="0"/>
        <w:ind w:left="120"/>
        <w:jc w:val="center"/>
      </w:pPr>
      <w:r>
        <w:rPr>
          <w:rFonts w:ascii="Times New Roman" w:hAnsi="Times New Roman"/>
          <w:b w:val="false"/>
          <w:i w:val="false"/>
          <w:color w:val="000000"/>
          <w:sz w:val="21"/>
        </w:rPr>
        <w:t>[Filed 1/5/90, Notice 7/12/89—published 1/24/90, effective 2/28/90]</w:t>
      </w:r>
    </w:p>
    <w:p>
      <w:pPr>
        <w:spacing w:before="0" w:after="0"/>
        <w:ind w:left="120"/>
        <w:jc w:val="center"/>
      </w:pPr>
      <w:r>
        <w:rPr>
          <w:rFonts w:ascii="Times New Roman" w:hAnsi="Times New Roman"/>
          <w:b w:val="false"/>
          <w:i w:val="false"/>
          <w:color w:val="000000"/>
          <w:sz w:val="21"/>
        </w:rPr>
        <w:t>[Filed 1/19/90, Notice 5/17/89—published 2/7/90, effective 3/14/90]</w:t>
      </w:r>
    </w:p>
    <w:p>
      <w:pPr>
        <w:spacing w:before="0" w:after="0"/>
        <w:ind w:left="120"/>
        <w:jc w:val="center"/>
      </w:pPr>
      <w:r>
        <w:rPr>
          <w:rFonts w:ascii="Times New Roman" w:hAnsi="Times New Roman"/>
          <w:b w:val="false"/>
          <w:i w:val="false"/>
          <w:color w:val="000000"/>
          <w:sz w:val="21"/>
        </w:rPr>
        <w:t>[Filed 1/19/90, Notice 7/12/89—published 2/7/90, effective 3/14/90]</w:t>
      </w:r>
    </w:p>
    <w:p>
      <w:pPr>
        <w:spacing w:before="0" w:after="0"/>
        <w:ind w:left="120"/>
        <w:jc w:val="center"/>
      </w:pPr>
      <w:r>
        <w:rPr>
          <w:rFonts w:ascii="Times New Roman" w:hAnsi="Times New Roman"/>
          <w:b w:val="false"/>
          <w:i w:val="false"/>
          <w:color w:val="000000"/>
          <w:sz w:val="21"/>
        </w:rPr>
        <w:t>[Filed 2/28/90, Notice 11/1/89—published 3/21/90, effective 4/25/90]</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3/16/90, Notice 12/13/89—published 4/4/90, effective 5/9/90]</w:t>
      </w:r>
    </w:p>
    <w:p>
      <w:pPr>
        <w:spacing w:before="0" w:after="0"/>
        <w:ind w:left="120"/>
        <w:jc w:val="center"/>
      </w:pPr>
      <w:r>
        <w:rPr>
          <w:rFonts w:ascii="Times New Roman" w:hAnsi="Times New Roman"/>
          <w:b w:val="false"/>
          <w:i w:val="false"/>
          <w:color w:val="000000"/>
          <w:sz w:val="21"/>
        </w:rPr>
        <w:t>[Filed 7/6/90, Notice 3/21/90—published 7/25/90, effective 8/29/90]</w:t>
      </w:r>
    </w:p>
    <w:p>
      <w:pPr>
        <w:spacing w:before="0" w:after="0"/>
        <w:ind w:left="120"/>
        <w:jc w:val="center"/>
      </w:pPr>
      <w:r>
        <w:rPr>
          <w:rFonts w:ascii="Times New Roman" w:hAnsi="Times New Roman"/>
          <w:b w:val="false"/>
          <w:i w:val="false"/>
          <w:color w:val="000000"/>
          <w:sz w:val="21"/>
        </w:rPr>
        <w:t>[Filed 7/20/90, Notices 12/13/89, 2/21/90—published 8/8/90, effective 9/12/90]</w:t>
      </w:r>
    </w:p>
    <w:p>
      <w:pPr>
        <w:spacing w:before="0" w:after="0"/>
        <w:ind w:left="120"/>
        <w:jc w:val="center"/>
      </w:pPr>
      <w:r>
        <w:rPr>
          <w:rFonts w:ascii="Times New Roman" w:hAnsi="Times New Roman"/>
          <w:b w:val="false"/>
          <w:i w:val="false"/>
          <w:color w:val="000000"/>
          <w:sz w:val="21"/>
        </w:rPr>
        <w:t>[Filed 9/14/90, Notice 11/29/89—published 10/3/90, effective 11/7/90]</w:t>
      </w:r>
    </w:p>
    <w:p>
      <w:pPr>
        <w:spacing w:before="0" w:after="0"/>
        <w:ind w:left="120"/>
        <w:jc w:val="center"/>
      </w:pPr>
      <w:r>
        <w:rPr>
          <w:rFonts w:ascii="Times New Roman" w:hAnsi="Times New Roman"/>
          <w:b w:val="false"/>
          <w:i w:val="false"/>
          <w:color w:val="000000"/>
          <w:sz w:val="21"/>
        </w:rPr>
        <w:t>[Filed 10/12/90, Notice 3/7/90—published 10/31/90, effective 12/5/90]</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1/18/91, Notice 8/8/90—published 2/6/91, effective 3/13/91]</w:t>
      </w:r>
    </w:p>
    <w:p>
      <w:pPr>
        <w:spacing w:before="0" w:after="0"/>
        <w:ind w:left="120"/>
        <w:jc w:val="center"/>
      </w:pPr>
      <w:r>
        <w:rPr>
          <w:rFonts w:ascii="Times New Roman" w:hAnsi="Times New Roman"/>
          <w:b w:val="false"/>
          <w:i w:val="false"/>
          <w:color w:val="000000"/>
          <w:sz w:val="21"/>
        </w:rPr>
        <w:t>[Filed 3/28/91, Notice 10/3/90—published 4/17/91, effective 5/22/91]</w:t>
      </w:r>
    </w:p>
    <w:p>
      <w:pPr>
        <w:spacing w:before="0" w:after="0"/>
        <w:ind w:left="120"/>
        <w:jc w:val="center"/>
      </w:pPr>
      <w:r>
        <w:rPr>
          <w:rFonts w:ascii="Times New Roman" w:hAnsi="Times New Roman"/>
          <w:b w:val="false"/>
          <w:i w:val="false"/>
          <w:color w:val="000000"/>
          <w:sz w:val="21"/>
        </w:rPr>
        <w:t>[Filed emergency 4/25/91 after Notice 1/23/91—published 5/15/91, effective 4/25/91]</w:t>
      </w:r>
    </w:p>
    <w:p>
      <w:pPr>
        <w:spacing w:before="0" w:after="0"/>
        <w:ind w:left="120"/>
        <w:jc w:val="center"/>
      </w:pPr>
      <w:r>
        <w:rPr>
          <w:rFonts w:ascii="Times New Roman" w:hAnsi="Times New Roman"/>
          <w:b w:val="false"/>
          <w:i w:val="false"/>
          <w:color w:val="000000"/>
          <w:sz w:val="21"/>
        </w:rPr>
        <w:t>[Filed 1/3/92, Notice 5/29/91—published 1/22/92, effective 2/26/92]</w:t>
      </w:r>
    </w:p>
    <w:p>
      <w:pPr>
        <w:spacing w:before="0" w:after="0"/>
        <w:ind w:left="120"/>
        <w:jc w:val="center"/>
      </w:pPr>
      <w:r>
        <w:rPr>
          <w:rFonts w:ascii="Times New Roman" w:hAnsi="Times New Roman"/>
          <w:b w:val="false"/>
          <w:i w:val="false"/>
          <w:color w:val="000000"/>
          <w:sz w:val="21"/>
        </w:rPr>
        <w:t>[Filed without Notice 7/2/92—published 7/22/92, effective 8/26/92]</w:t>
      </w:r>
    </w:p>
    <w:p>
      <w:pPr>
        <w:spacing w:before="0" w:after="0"/>
        <w:ind w:left="120"/>
        <w:jc w:val="center"/>
      </w:pPr>
      <w:r>
        <w:rPr>
          <w:rFonts w:ascii="Times New Roman" w:hAnsi="Times New Roman"/>
          <w:b w:val="false"/>
          <w:i w:val="false"/>
          <w:color w:val="000000"/>
          <w:sz w:val="21"/>
        </w:rPr>
        <w:t>[Filed 12/4/92, Notice 7/22/92—published 12/23/92, effective 1/27/93]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12/4/92, Notice 8/5/92—published 12/23/92, effective 1/27/93]</w:t>
      </w:r>
    </w:p>
    <w:p>
      <w:pPr>
        <w:spacing w:before="0" w:after="0"/>
        <w:ind w:left="120"/>
        <w:jc w:val="center"/>
      </w:pPr>
      <w:r>
        <w:rPr>
          <w:rFonts w:ascii="Times New Roman" w:hAnsi="Times New Roman"/>
          <w:b w:val="false"/>
          <w:i w:val="false"/>
          <w:color w:val="000000"/>
          <w:sz w:val="21"/>
        </w:rPr>
        <w:t>[Filed 1/15/93, Notice 7/8/92—published 2/3/93, effective 3/10/93]</w:t>
      </w:r>
    </w:p>
    <w:p>
      <w:pPr>
        <w:spacing w:before="0" w:after="0"/>
        <w:ind w:left="120"/>
        <w:jc w:val="center"/>
      </w:pPr>
      <w:r>
        <w:rPr>
          <w:rFonts w:ascii="Times New Roman" w:hAnsi="Times New Roman"/>
          <w:b w:val="false"/>
          <w:i w:val="false"/>
          <w:color w:val="000000"/>
          <w:sz w:val="21"/>
        </w:rPr>
        <w:t>[Filed 7/14/93, Notice 4/28/93—published 8/4/93, effective 9/8/93]</w:t>
      </w:r>
    </w:p>
    <w:p>
      <w:pPr>
        <w:spacing w:before="0" w:after="0"/>
        <w:ind w:left="120"/>
        <w:jc w:val="center"/>
      </w:pPr>
      <w:r>
        <w:rPr>
          <w:rFonts w:ascii="Times New Roman" w:hAnsi="Times New Roman"/>
          <w:b w:val="false"/>
          <w:i w:val="false"/>
          <w:color w:val="000000"/>
          <w:sz w:val="21"/>
        </w:rPr>
        <w:t>[Filed 8/11/93, Notice 5/12/93—published 9/1/93, effective 10/6/93]</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emergency 4/21/94—published 5/11/94, effective 4/21/94]</w:t>
      </w:r>
    </w:p>
    <w:p>
      <w:pPr>
        <w:spacing w:before="0" w:after="0"/>
        <w:ind w:left="120"/>
        <w:jc w:val="center"/>
      </w:pPr>
      <w:r>
        <w:rPr>
          <w:rFonts w:ascii="Times New Roman" w:hAnsi="Times New Roman"/>
          <w:b w:val="false"/>
          <w:i w:val="false"/>
          <w:color w:val="000000"/>
          <w:sz w:val="21"/>
        </w:rPr>
        <w:t>[Filed 4/7/95, Notice 2/1/95—published 4/26/95, effective 5/31/95]</w:t>
      </w:r>
    </w:p>
    <w:p>
      <w:pPr>
        <w:spacing w:before="0" w:after="0"/>
        <w:ind w:left="120"/>
        <w:jc w:val="center"/>
      </w:pPr>
      <w:r>
        <w:rPr>
          <w:rFonts w:ascii="Times New Roman" w:hAnsi="Times New Roman"/>
          <w:b w:val="false"/>
          <w:i w:val="false"/>
          <w:color w:val="000000"/>
          <w:sz w:val="21"/>
        </w:rPr>
        <w:t>[Filed 2/9/96, Notice 7/5/95—published 2/28/96, effective 4/3/96]</w:t>
      </w:r>
    </w:p>
    <w:p>
      <w:pPr>
        <w:spacing w:before="0" w:after="0"/>
        <w:ind w:left="120"/>
        <w:jc w:val="center"/>
      </w:pPr>
      <w:r>
        <w:rPr>
          <w:rFonts w:ascii="Times New Roman" w:hAnsi="Times New Roman"/>
          <w:b w:val="false"/>
          <w:i w:val="false"/>
          <w:color w:val="000000"/>
          <w:sz w:val="21"/>
        </w:rPr>
        <w:t>[Filed emergency 4/19/96—published 5/8/96, effective 4/19/96]</w:t>
      </w:r>
    </w:p>
    <w:p>
      <w:pPr>
        <w:spacing w:before="0" w:after="0"/>
        <w:ind w:left="120"/>
        <w:jc w:val="center"/>
      </w:pPr>
      <w:r>
        <w:rPr>
          <w:rFonts w:ascii="Times New Roman" w:hAnsi="Times New Roman"/>
          <w:b w:val="false"/>
          <w:i w:val="false"/>
          <w:color w:val="000000"/>
          <w:sz w:val="21"/>
        </w:rPr>
        <w:t>[Filed emergency 8/2/96—published 8/28/96, effective 8/2/96]</w:t>
      </w:r>
    </w:p>
    <w:p>
      <w:pPr>
        <w:spacing w:before="0" w:after="0"/>
        <w:ind w:left="120"/>
        <w:jc w:val="center"/>
      </w:pPr>
      <w:r>
        <w:rPr>
          <w:rFonts w:ascii="Times New Roman" w:hAnsi="Times New Roman"/>
          <w:b w:val="false"/>
          <w:i w:val="false"/>
          <w:color w:val="000000"/>
          <w:sz w:val="21"/>
        </w:rPr>
        <w:t>[Filed emergency 12/11/97 after Notice 10/8/97—published 12/31/97, effective 1/1/98]</w:t>
      </w:r>
    </w:p>
    <w:p>
      <w:pPr>
        <w:spacing w:before="0" w:after="0"/>
        <w:ind w:left="120"/>
        <w:jc w:val="center"/>
      </w:pPr>
      <w:r>
        <w:rPr>
          <w:rFonts w:ascii="Times New Roman" w:hAnsi="Times New Roman"/>
          <w:b w:val="false"/>
          <w:i w:val="false"/>
          <w:color w:val="000000"/>
          <w:sz w:val="21"/>
        </w:rPr>
        <w:t>[Filed 1/23/98, Notice 5/7/97—published 2/11/98, effective 3/18/98]</w:t>
      </w:r>
    </w:p>
    <w:p>
      <w:pPr>
        <w:spacing w:before="0" w:after="0"/>
        <w:ind w:left="120"/>
        <w:jc w:val="center"/>
      </w:pPr>
      <w:r>
        <w:rPr>
          <w:rFonts w:ascii="Times New Roman" w:hAnsi="Times New Roman"/>
          <w:b w:val="false"/>
          <w:i w:val="false"/>
          <w:color w:val="000000"/>
          <w:sz w:val="21"/>
        </w:rPr>
        <w:t>[Published 6/17/98 to update name and address of board]</w:t>
      </w:r>
    </w:p>
    <w:p>
      <w:pPr>
        <w:spacing w:before="0" w:after="0"/>
        <w:ind w:left="120"/>
        <w:jc w:val="center"/>
      </w:pPr>
      <w:r>
        <w:rPr>
          <w:rFonts w:ascii="Times New Roman" w:hAnsi="Times New Roman"/>
          <w:b w:val="false"/>
          <w:i w:val="false"/>
          <w:color w:val="000000"/>
          <w:sz w:val="21"/>
        </w:rPr>
        <w:t>[Filed emergency 7/23/99—published 8/11/99, effective 8/2/99]</w:t>
      </w:r>
    </w:p>
    <w:p>
      <w:pPr>
        <w:spacing w:before="0" w:after="0"/>
        <w:ind w:left="120"/>
        <w:jc w:val="center"/>
      </w:pPr>
      <w:r>
        <w:rPr>
          <w:rFonts w:ascii="Times New Roman" w:hAnsi="Times New Roman"/>
          <w:b w:val="false"/>
          <w:i w:val="false"/>
          <w:color w:val="000000"/>
          <w:sz w:val="21"/>
        </w:rPr>
        <w:t>[Filed 12/8/99, Notice 4/21/99—published 12/29/99, effective 2/2/00]</w:t>
      </w:r>
    </w:p>
    <w:p>
      <w:pPr>
        <w:spacing w:before="0" w:after="0"/>
        <w:ind w:left="120"/>
        <w:jc w:val="center"/>
      </w:pPr>
      <w:r>
        <w:rPr>
          <w:rFonts w:ascii="Times New Roman" w:hAnsi="Times New Roman"/>
          <w:b w:val="false"/>
          <w:i w:val="false"/>
          <w:color w:val="000000"/>
          <w:sz w:val="21"/>
        </w:rPr>
        <w:t>[Filed 4/28/00, Notice 8/11/99—published 5/17/00, effective 6/21/00]</w:t>
      </w:r>
    </w:p>
    <w:p>
      <w:pPr>
        <w:spacing w:before="0" w:after="0"/>
        <w:ind w:left="120"/>
        <w:jc w:val="center"/>
      </w:pPr>
      <w:r>
        <w:rPr>
          <w:rFonts w:ascii="Times New Roman" w:hAnsi="Times New Roman"/>
          <w:b w:val="false"/>
          <w:i w:val="false"/>
          <w:color w:val="000000"/>
          <w:sz w:val="21"/>
        </w:rPr>
        <w:t>[Filed 7/5/02, Notice 1/9/02—published 7/24/02, effective 8/28/02]</w:t>
      </w:r>
    </w:p>
    <w:p>
      <w:pPr>
        <w:spacing w:before="0" w:after="0"/>
        <w:ind w:left="120"/>
        <w:jc w:val="center"/>
      </w:pPr>
      <w:r>
        <w:rPr>
          <w:rFonts w:ascii="Times New Roman" w:hAnsi="Times New Roman"/>
          <w:b w:val="false"/>
          <w:i w:val="false"/>
          <w:color w:val="000000"/>
          <w:sz w:val="21"/>
        </w:rPr>
        <w:t>[Filed 5/9/03, Notice 11/13/02—published 5/28/03, effective 7/2/03]</w:t>
      </w:r>
    </w:p>
    <w:p>
      <w:pPr>
        <w:spacing w:before="0" w:after="0"/>
        <w:ind w:left="120"/>
        <w:jc w:val="center"/>
      </w:pPr>
      <w:r>
        <w:rPr>
          <w:rFonts w:ascii="Times New Roman" w:hAnsi="Times New Roman"/>
          <w:b w:val="false"/>
          <w:i w:val="false"/>
          <w:color w:val="000000"/>
          <w:sz w:val="21"/>
        </w:rPr>
        <w:t>[Filed 3/26/04, Notice 8/6/03—published 4/14/04, effective 5/19/04]</w:t>
      </w:r>
    </w:p>
    <w:p>
      <w:pPr>
        <w:spacing w:before="0" w:after="0"/>
        <w:ind w:left="120"/>
        <w:jc w:val="center"/>
      </w:pPr>
      <w:r>
        <w:rPr>
          <w:rFonts w:ascii="Times New Roman" w:hAnsi="Times New Roman"/>
          <w:b w:val="false"/>
          <w:i w:val="false"/>
          <w:color w:val="000000"/>
          <w:sz w:val="21"/>
        </w:rPr>
        <w:t>[Filed 1/27/05, Notice 12/22/04—published 2/16/05, effective 3/23/05]</w:t>
      </w:r>
    </w:p>
    <w:p>
      <w:pPr>
        <w:spacing w:before="0" w:after="0"/>
        <w:ind w:left="120"/>
        <w:jc w:val="center"/>
      </w:pPr>
      <w:r>
        <w:rPr>
          <w:rFonts w:ascii="Times New Roman" w:hAnsi="Times New Roman"/>
          <w:b w:val="false"/>
          <w:i w:val="false"/>
          <w:color w:val="000000"/>
          <w:sz w:val="21"/>
        </w:rPr>
        <w:t>[Filed 12/2/05, Notice 5/11/05—published 12/21/05, effective 1/25/06]</w:t>
      </w:r>
    </w:p>
    <w:p>
      <w:pPr>
        <w:spacing w:before="0" w:after="0"/>
        <w:ind w:left="120"/>
        <w:jc w:val="center"/>
      </w:pPr>
      <w:r>
        <w:rPr>
          <w:rFonts w:ascii="Times New Roman" w:hAnsi="Times New Roman"/>
          <w:b w:val="false"/>
          <w:i w:val="false"/>
          <w:color w:val="000000"/>
          <w:sz w:val="21"/>
        </w:rPr>
        <w:t>[Filed 10/6/06, Notice 3/15/06—published 10/25/06, effective 11/29/06]</w:t>
      </w:r>
    </w:p>
    <w:p>
      <w:pPr>
        <w:spacing w:before="0" w:after="0"/>
        <w:ind w:left="120"/>
        <w:jc w:val="center"/>
      </w:pPr>
      <w:r>
        <w:rPr>
          <w:rFonts w:ascii="Times New Roman" w:hAnsi="Times New Roman"/>
          <w:b w:val="false"/>
          <w:i w:val="false"/>
          <w:color w:val="000000"/>
          <w:sz w:val="21"/>
        </w:rPr>
        <w:t>[Filed 5/16/07, Notice 10/11/06—published 6/6/07, effective 7/11/07]</w:t>
      </w:r>
    </w:p>
    <w:p>
      <w:pPr>
        <w:spacing w:before="0" w:after="0"/>
        <w:ind w:left="120"/>
        <w:jc w:val="center"/>
      </w:pPr>
      <w:r>
        <w:rPr>
          <w:rFonts w:ascii="Times New Roman" w:hAnsi="Times New Roman"/>
          <w:b w:val="false"/>
          <w:i w:val="false"/>
          <w:color w:val="000000"/>
          <w:sz w:val="21"/>
        </w:rPr>
        <w:t>[Filed 12/27/07, Notice 9/26/07—published 1/30/08, effective 3/5/08]</w:t>
      </w:r>
    </w:p>
    <w:p>
      <w:pPr>
        <w:spacing w:before="0" w:after="0"/>
        <w:ind w:left="120"/>
        <w:jc w:val="center"/>
      </w:pPr>
      <w:r>
        <w:rPr>
          <w:rFonts w:ascii="Times New Roman" w:hAnsi="Times New Roman"/>
          <w:b w:val="false"/>
          <w:i w:val="false"/>
          <w:color w:val="000000"/>
          <w:sz w:val="21"/>
        </w:rPr>
        <w:t>[Filed ARC 7826B</w:t>
      </w:r>
      <w:r>
        <w:rPr>
          <w:rFonts w:ascii="Times New Roman" w:hAnsi="Times New Roman"/>
          <w:b w:val="false"/>
          <w:i w:val="false"/>
          <w:color w:val="000000"/>
          <w:sz w:val="21"/>
        </w:rPr>
        <w:t xml:space="preserve"> (Notice ARC 7365B, IAB 11/19/08)</w:t>
      </w:r>
      <w:r>
        <w:rPr>
          <w:rFonts w:ascii="Times New Roman" w:hAnsi="Times New Roman"/>
          <w:b w:val="false"/>
          <w:i w:val="false"/>
          <w:color w:val="000000"/>
          <w:sz w:val="21"/>
        </w:rPr>
        <w:t>, IAB 6/3/09, effective 7/8/09]</w:t>
      </w:r>
    </w:p>
    <w:p>
      <w:pPr>
        <w:spacing w:before="0" w:after="0"/>
        <w:ind w:left="120"/>
        <w:jc w:val="center"/>
      </w:pPr>
      <w:r>
        <w:rPr>
          <w:rFonts w:ascii="Times New Roman" w:hAnsi="Times New Roman"/>
          <w:b w:val="false"/>
          <w:i w:val="false"/>
          <w:color w:val="000000"/>
          <w:sz w:val="21"/>
        </w:rPr>
        <w:t>[Filed ARC 8516B</w:t>
      </w:r>
      <w:r>
        <w:rPr>
          <w:rFonts w:ascii="Times New Roman" w:hAnsi="Times New Roman"/>
          <w:b w:val="false"/>
          <w:i w:val="false"/>
          <w:color w:val="000000"/>
          <w:sz w:val="21"/>
        </w:rPr>
        <w:t xml:space="preserve"> (Notice ARC 8376B, IAB 12/16/09)</w:t>
      </w:r>
      <w:r>
        <w:rPr>
          <w:rFonts w:ascii="Times New Roman" w:hAnsi="Times New Roman"/>
          <w:b w:val="false"/>
          <w:i w:val="false"/>
          <w:color w:val="000000"/>
          <w:sz w:val="21"/>
        </w:rPr>
        <w:t>, IAB 2/10/10, effective 3/17/10]</w:t>
      </w:r>
    </w:p>
    <w:p>
      <w:pPr>
        <w:spacing w:before="0" w:after="0"/>
        <w:ind w:left="120"/>
        <w:jc w:val="center"/>
      </w:pPr>
      <w:r>
        <w:rPr>
          <w:rFonts w:ascii="Times New Roman" w:hAnsi="Times New Roman"/>
          <w:b w:val="false"/>
          <w:i w:val="false"/>
          <w:color w:val="000000"/>
          <w:sz w:val="21"/>
        </w:rPr>
        <w:t>[Filed ARC 8871B</w:t>
      </w:r>
      <w:r>
        <w:rPr>
          <w:rFonts w:ascii="Times New Roman" w:hAnsi="Times New Roman"/>
          <w:b w:val="false"/>
          <w:i w:val="false"/>
          <w:color w:val="000000"/>
          <w:sz w:val="21"/>
        </w:rPr>
        <w:t xml:space="preserve"> (Notice ARC 8227B, IAB 10/7/09)</w:t>
      </w:r>
      <w:r>
        <w:rPr>
          <w:rFonts w:ascii="Times New Roman" w:hAnsi="Times New Roman"/>
          <w:b w:val="false"/>
          <w:i w:val="false"/>
          <w:color w:val="000000"/>
          <w:sz w:val="21"/>
        </w:rPr>
        <w:t>, IAB 6/30/10, effective 8/4/10]</w:t>
      </w:r>
    </w:p>
    <w:p>
      <w:pPr>
        <w:spacing w:before="0" w:after="0"/>
        <w:ind w:left="120"/>
        <w:jc w:val="center"/>
      </w:pPr>
      <w:r>
        <w:rPr>
          <w:rFonts w:ascii="Times New Roman" w:hAnsi="Times New Roman"/>
          <w:b w:val="false"/>
          <w:i w:val="false"/>
          <w:color w:val="000000"/>
          <w:sz w:val="21"/>
        </w:rPr>
        <w:t>[Editorial change: IAC Supplement 12/29/10]</w:t>
      </w:r>
    </w:p>
    <w:p>
      <w:pPr>
        <w:spacing w:before="0" w:after="0"/>
        <w:ind w:left="120"/>
        <w:jc w:val="center"/>
      </w:pPr>
      <w:r>
        <w:rPr>
          <w:rFonts w:ascii="Times New Roman" w:hAnsi="Times New Roman"/>
          <w:b w:val="false"/>
          <w:i w:val="false"/>
          <w:color w:val="000000"/>
          <w:sz w:val="21"/>
        </w:rPr>
        <w:t>[Filed ARC 2180C</w:t>
      </w:r>
      <w:r>
        <w:rPr>
          <w:rFonts w:ascii="Times New Roman" w:hAnsi="Times New Roman"/>
          <w:b w:val="false"/>
          <w:i w:val="false"/>
          <w:color w:val="000000"/>
          <w:sz w:val="21"/>
        </w:rPr>
        <w:t xml:space="preserve"> (Notice ARC 1957C, IAB 4/15/15)</w:t>
      </w:r>
      <w:r>
        <w:rPr>
          <w:rFonts w:ascii="Times New Roman" w:hAnsi="Times New Roman"/>
          <w:b w:val="false"/>
          <w:i w:val="false"/>
          <w:color w:val="000000"/>
          <w:sz w:val="21"/>
        </w:rPr>
        <w:t>, IAB 10/14/15, effective 11/18/15]</w:t>
      </w:r>
    </w:p>
    <w:p>
      <w:pPr>
        <w:spacing w:before="0" w:after="0"/>
        <w:ind w:left="120"/>
        <w:jc w:val="center"/>
      </w:pPr>
      <w:r>
        <w:rPr>
          <w:rFonts w:ascii="Times New Roman" w:hAnsi="Times New Roman"/>
          <w:b w:val="false"/>
          <w:i w:val="false"/>
          <w:color w:val="000000"/>
          <w:sz w:val="21"/>
        </w:rPr>
        <w:t>[Filed ARC 2954C</w:t>
      </w:r>
      <w:r>
        <w:rPr>
          <w:rFonts w:ascii="Times New Roman" w:hAnsi="Times New Roman"/>
          <w:b w:val="false"/>
          <w:i w:val="false"/>
          <w:color w:val="000000"/>
          <w:sz w:val="21"/>
        </w:rPr>
        <w:t xml:space="preserve"> (Notice ARC 2569C, IAB 6/8/16)</w:t>
      </w:r>
      <w:r>
        <w:rPr>
          <w:rFonts w:ascii="Times New Roman" w:hAnsi="Times New Roman"/>
          <w:b w:val="false"/>
          <w:i w:val="false"/>
          <w:color w:val="000000"/>
          <w:sz w:val="21"/>
        </w:rPr>
        <w:t>, IAB 2/15/17, effective 3/22/17]</w:t>
      </w:r>
    </w:p>
    <w:p>
      <w:pPr>
        <w:spacing w:before="0" w:after="0"/>
        <w:ind w:left="120"/>
        <w:jc w:val="center"/>
      </w:pPr>
      <w:r>
        <w:rPr>
          <w:rFonts w:ascii="Times New Roman" w:hAnsi="Times New Roman"/>
          <w:b w:val="false"/>
          <w:i w:val="false"/>
          <w:color w:val="000000"/>
          <w:sz w:val="21"/>
        </w:rPr>
        <w:t>[Filed ARC 4831C</w:t>
      </w:r>
      <w:r>
        <w:rPr>
          <w:rFonts w:ascii="Times New Roman" w:hAnsi="Times New Roman"/>
          <w:b w:val="false"/>
          <w:i w:val="false"/>
          <w:color w:val="000000"/>
          <w:sz w:val="21"/>
        </w:rPr>
        <w:t xml:space="preserve"> (Notice ARC 4419C, IAB 5/8/19)</w:t>
      </w:r>
      <w:r>
        <w:rPr>
          <w:rFonts w:ascii="Times New Roman" w:hAnsi="Times New Roman"/>
          <w:b w:val="false"/>
          <w:i w:val="false"/>
          <w:color w:val="000000"/>
          <w:sz w:val="21"/>
        </w:rPr>
        <w:t>, IAB 12/18/19, effective 1/22/20]</w:t>
      </w:r>
    </w:p>
    <w:p>
      <w:pPr>
        <w:spacing w:before="0" w:after="0"/>
        <w:ind w:left="120"/>
        <w:jc w:val="center"/>
      </w:pPr>
      <w:r>
        <w:rPr>
          <w:rFonts w:ascii="Times New Roman" w:hAnsi="Times New Roman"/>
          <w:b w:val="false"/>
          <w:i w:val="false"/>
          <w:color w:val="000000"/>
          <w:sz w:val="21"/>
        </w:rPr>
        <w:t>[Editorial change: IAC Supplement 7/24/24]</w:t>
      </w:r>
    </w:p>
    <w:p>
      <w:pPr>
        <w:spacing w:before="0" w:after="0"/>
        <w:ind w:left="120"/>
        <w:jc w:val="center"/>
      </w:pPr>
      <w:r>
        <w:rPr>
          <w:rFonts w:ascii="Times New Roman" w:hAnsi="Times New Roman"/>
          <w:b w:val="false"/>
          <w:i w:val="false"/>
          <w:color w:val="000000"/>
          <w:sz w:val="21"/>
        </w:rPr>
        <w:t>[Filed ARC 8996C</w:t>
      </w:r>
      <w:r>
        <w:rPr>
          <w:rFonts w:ascii="Times New Roman" w:hAnsi="Times New Roman"/>
          <w:b w:val="false"/>
          <w:i w:val="false"/>
          <w:color w:val="000000"/>
          <w:sz w:val="21"/>
        </w:rPr>
        <w:t xml:space="preserve"> (Notice ARC 8316C, IAB 10/30/24)</w:t>
      </w:r>
      <w:r>
        <w:rPr>
          <w:rFonts w:ascii="Times New Roman" w:hAnsi="Times New Roman"/>
          <w:b w:val="false"/>
          <w:i w:val="false"/>
          <w:color w:val="000000"/>
          <w:sz w:val="21"/>
        </w:rPr>
        <w:t>, IAB 3/5/25, effective 4/9/25]</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12/1/83 of subrules 22.1(3), 22.2(5)</w:t>
      </w:r>
      <w:r>
        <w:rPr>
          <w:rFonts w:ascii="Times New Roman" w:hAnsi="Times New Roman"/>
          <w:b w:val="false"/>
          <w:i/>
          <w:color w:val="000000"/>
          <w:sz w:val="22"/>
        </w:rPr>
        <w:t>“v,”</w:t>
      </w:r>
      <w:r>
        <w:rPr>
          <w:rFonts w:ascii="Times New Roman" w:hAnsi="Times New Roman"/>
          <w:b w:val="false"/>
          <w:i w:val="false"/>
          <w:color w:val="000000"/>
          <w:sz w:val="22"/>
        </w:rPr>
        <w:t xml:space="preserve"> and 22.3(13) delayed 70 days by the Administrative Rules Review Committee on 11/8/83.</w:t>
      </w:r>
    </w:p>
    <w:p>
      <w:pPr>
        <w:pBdr>
          <w:bottom w:space="2"/>
        </w:pBdr>
        <w:spacing w:before="0" w:after="0"/>
        <w:ind w:left="120"/>
        <w:jc w:val="both"/>
      </w:pPr>
      <w:r>
        <w:rPr>
          <w:rFonts w:ascii="Times New Roman" w:hAnsi="Times New Roman"/>
          <w:b w:val="false"/>
          <w:i w:val="false"/>
          <w:color w:val="000000"/>
          <w:sz w:val="22"/>
        </w:rPr>
        <w:t>Effective date of 22.10(1)</w:t>
      </w:r>
      <w:r>
        <w:rPr>
          <w:rFonts w:ascii="Times New Roman" w:hAnsi="Times New Roman"/>
          <w:b w:val="false"/>
          <w:i/>
          <w:color w:val="000000"/>
          <w:sz w:val="22"/>
        </w:rPr>
        <w:t>“c”</w:t>
      </w:r>
      <w:r>
        <w:rPr>
          <w:rFonts w:ascii="Times New Roman" w:hAnsi="Times New Roman"/>
          <w:b w:val="false"/>
          <w:i w:val="false"/>
          <w:color w:val="000000"/>
          <w:sz w:val="22"/>
        </w:rPr>
        <w:t xml:space="preserve"> delayed 70 days by the Administrative Rules Review Committee on 11/14/90; delay lifted 12/11/90, effective 12/12/90.</w:t>
      </w:r>
    </w:p>
    <w:p>
      <w:pPr>
        <w:pBdr>
          <w:bottom w:space="2"/>
        </w:pBdr>
        <w:spacing w:before="0" w:after="0"/>
        <w:ind w:left="120"/>
        <w:jc w:val="both"/>
      </w:pPr>
      <w:r>
        <w:rPr>
          <w:rFonts w:ascii="Times New Roman" w:hAnsi="Times New Roman"/>
          <w:b w:val="false"/>
          <w:i w:val="false"/>
          <w:color w:val="000000"/>
          <w:sz w:val="22"/>
        </w:rPr>
        <w:t>Effective date of 22.4(2)</w:t>
      </w:r>
      <w:r>
        <w:rPr>
          <w:rFonts w:ascii="Times New Roman" w:hAnsi="Times New Roman"/>
          <w:b w:val="false"/>
          <w:i/>
          <w:color w:val="000000"/>
          <w:sz w:val="22"/>
        </w:rPr>
        <w:t>“b”</w:t>
      </w:r>
      <w:r>
        <w:rPr>
          <w:rFonts w:ascii="Times New Roman" w:hAnsi="Times New Roman"/>
          <w:b w:val="false"/>
          <w:i w:val="false"/>
          <w:color w:val="000000"/>
          <w:sz w:val="22"/>
        </w:rPr>
        <w:t xml:space="preserve"> delayed until the adjournment of the 1994 Session of the General Assembly pursuant to Iowa Code section </w:t>
      </w:r>
      <w:hyperlink r:id="rId39">
        <w:r>
          <w:rPr>
            <w:rStyle w:val="Hyperlink"/>
            <w:rFonts w:ascii="Times New Roman" w:hAnsi="Times New Roman"/>
            <w:b w:val="false"/>
            <w:i w:val="false"/>
            <w:color w:val="000000"/>
            <w:sz w:val="22"/>
          </w:rPr>
          <w:t>17A.8(9)</w:t>
        </w:r>
      </w:hyperlink>
      <w:r>
        <w:rPr>
          <w:rFonts w:ascii="Times New Roman" w:hAnsi="Times New Roman"/>
          <w:b w:val="false"/>
          <w:i w:val="false"/>
          <w:color w:val="000000"/>
          <w:sz w:val="22"/>
        </w:rPr>
        <w:t xml:space="preserve"> by the Administrative Rules Review Committee at its meeting held September 15, 1993.</w:t>
      </w:r>
    </w:p>
    <w:sectPr>
      <w:pgSz w:w="11907" w:h="16839" w:code="9"/>
      <w:pgMar w:top="1440" w:right="1440" w:bottom="1440" w:left="1440"/>
    </w:sectPr>
  </w:body>
</w:document>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76.pdf" Type="http://schemas.openxmlformats.org/officeDocument/2006/relationships/hyperlink" Id="rId5"/>
    <Relationship TargetMode="External" Target="https://www.legis.iowa.gov/docs/ico/chapter/476.91.pdf" Type="http://schemas.openxmlformats.org/officeDocument/2006/relationships/hyperlink" Id="rId6"/>
    <Relationship TargetMode="External" Target="https://www.legis.iowa.gov/docs/ico/chapter/4.1.pdf" Type="http://schemas.openxmlformats.org/officeDocument/2006/relationships/hyperlink" Id="rId7"/>
    <Relationship TargetMode="External" Target="https://www.legis.iowa.gov/docs/ico/chapter/476.95.pdf" Type="http://schemas.openxmlformats.org/officeDocument/2006/relationships/hyperlink" Id="rId8"/>
    <Relationship TargetMode="External" Target="https://www.legis.iowa.gov/docs/ico/chapter/476.95.pdf" Type="http://schemas.openxmlformats.org/officeDocument/2006/relationships/hyperlink" Id="rId9"/>
    <Relationship TargetMode="External" Target="https://www.legis.iowa.gov/docs/ico/chapter/476.95.pdf" Type="http://schemas.openxmlformats.org/officeDocument/2006/relationships/hyperlink" Id="rId10"/>
    <Relationship TargetMode="External" Target="https://www.legis.iowa.gov/docs/iac/chapter/199.6.pdf" Type="http://schemas.openxmlformats.org/officeDocument/2006/relationships/hyperlink" Id="rId11"/>
    <Relationship TargetMode="External" Target="https://www.legis.iowa.gov/docs/iac/rule/199.22.4.pdf" Type="http://schemas.openxmlformats.org/officeDocument/2006/relationships/hyperlink" Id="rId12"/>
    <Relationship TargetMode="External" Target="https://www.legis.iowa.gov/docs/iac/rule/199.22.4.pdf" Type="http://schemas.openxmlformats.org/officeDocument/2006/relationships/hyperlink" Id="rId13"/>
    <Relationship TargetMode="External" Target="https://www.legis.iowa.gov/docs/iac/rule/199.22.4.pdf" Type="http://schemas.openxmlformats.org/officeDocument/2006/relationships/hyperlink" Id="rId14"/>
    <Relationship TargetMode="External" Target="https://www.legis.iowa.gov/docs/iac/rule/199.22.1.pdf" Type="http://schemas.openxmlformats.org/officeDocument/2006/relationships/hyperlink" Id="rId15"/>
    <Relationship TargetMode="External" Target="https://www.legis.iowa.gov/docs/iac/rule/199.22.4.pdf" Type="http://schemas.openxmlformats.org/officeDocument/2006/relationships/hyperlink" Id="rId16"/>
    <Relationship TargetMode="External" Target="https://www.legis.iowa.gov/docs/ico/chapter/476.95A.pdf" Type="http://schemas.openxmlformats.org/officeDocument/2006/relationships/hyperlink" Id="rId17"/>
    <Relationship TargetMode="External" Target="https://www.legis.iowa.gov/docs/iac/chapter/199.23.pdf" Type="http://schemas.openxmlformats.org/officeDocument/2006/relationships/hyperlink" Id="rId18"/>
    <Relationship TargetMode="External" Target="https://www.legis.iowa.gov/docs/ico/chapter/476.27.pdf" Type="http://schemas.openxmlformats.org/officeDocument/2006/relationships/hyperlink" Id="rId19"/>
    <Relationship TargetMode="External" Target="https://www.legis.iowa.gov/docs/ico/chapter/476.103.pdf" Type="http://schemas.openxmlformats.org/officeDocument/2006/relationships/hyperlink" Id="rId20"/>
    <Relationship TargetMode="External" Target="https://www.legis.iowa.gov/docs/iac/rule/199.22.9.pdf" Type="http://schemas.openxmlformats.org/officeDocument/2006/relationships/hyperlink" Id="rId21"/>
    <Relationship TargetMode="External" Target="https://www.legis.iowa.gov/docs/iac/rule/199.22.9.pdf" Type="http://schemas.openxmlformats.org/officeDocument/2006/relationships/hyperlink" Id="rId22"/>
    <Relationship TargetMode="External" Target="https://www.legis.iowa.gov/docs/ico/chapter/476.103.pdf" Type="http://schemas.openxmlformats.org/officeDocument/2006/relationships/hyperlink" Id="rId23"/>
    <Relationship TargetMode="External" Target="https://www.legis.iowa.gov/docs/iac/rule/199.22.9.pdf" Type="http://schemas.openxmlformats.org/officeDocument/2006/relationships/hyperlink" Id="rId24"/>
    <Relationship TargetMode="External" Target="https://www.legis.iowa.gov/docs/iac/rule/199.22.9.pdf" Type="http://schemas.openxmlformats.org/officeDocument/2006/relationships/hyperlink" Id="rId25"/>
    <Relationship TargetMode="External" Target="https://www.legis.iowa.gov/docs/iac/rule/199.22.9.pdf" Type="http://schemas.openxmlformats.org/officeDocument/2006/relationships/hyperlink" Id="rId26"/>
    <Relationship TargetMode="External" Target="https://www.legis.iowa.gov/docs/iac/rule/199.22.9.pdf" Type="http://schemas.openxmlformats.org/officeDocument/2006/relationships/hyperlink" Id="rId27"/>
    <Relationship TargetMode="External" Target="https://www.legis.iowa.gov/docs/iac/rule/199.22.9.pdf" Type="http://schemas.openxmlformats.org/officeDocument/2006/relationships/hyperlink" Id="rId28"/>
    <Relationship TargetMode="External" Target="https://www.legis.iowa.gov/docs/iac/rule/199.22.9.pdf" Type="http://schemas.openxmlformats.org/officeDocument/2006/relationships/hyperlink" Id="rId29"/>
    <Relationship TargetMode="External" Target="https://www.legis.iowa.gov/docs/iac/rule/199.22.9.pdf" Type="http://schemas.openxmlformats.org/officeDocument/2006/relationships/hyperlink" Id="rId30"/>
    <Relationship TargetMode="External" Target="https://www.legis.iowa.gov/docs/ico/chapter/476.1D.pdf" Type="http://schemas.openxmlformats.org/officeDocument/2006/relationships/hyperlink" Id="rId31"/>
    <Relationship TargetMode="External" Target="https://www.legis.iowa.gov/docs/ico/chapter/476.2.pdf" Type="http://schemas.openxmlformats.org/officeDocument/2006/relationships/hyperlink" Id="rId32"/>
    <Relationship TargetMode="External" Target="https://www.legis.iowa.gov/docs/ico/chapter/476.91.pdf" Type="http://schemas.openxmlformats.org/officeDocument/2006/relationships/hyperlink" Id="rId33"/>
    <Relationship TargetMode="External" Target="https://www.legis.iowa.gov/docs/ico/chapter/476.95.pdf" Type="http://schemas.openxmlformats.org/officeDocument/2006/relationships/hyperlink" Id="rId34"/>
    <Relationship TargetMode="External" Target="https://www.legis.iowa.gov/docs/ico/chapter/476.95A.pdf" Type="http://schemas.openxmlformats.org/officeDocument/2006/relationships/hyperlink" Id="rId35"/>
    <Relationship TargetMode="External" Target="https://www.legis.iowa.gov/docs/ico/chapter/476.95B.pdf" Type="http://schemas.openxmlformats.org/officeDocument/2006/relationships/hyperlink" Id="rId36"/>
    <Relationship TargetMode="External" Target="https://www.legis.iowa.gov/docs/ico/chapter/476.100.pdf" Type="http://schemas.openxmlformats.org/officeDocument/2006/relationships/hyperlink" Id="rId37"/>
    <Relationship TargetMode="External" Target="https://www.legis.iowa.gov/docs/ico/chapter/476.103.pdf" Type="http://schemas.openxmlformats.org/officeDocument/2006/relationships/hyperlink" Id="rId38"/>
    <Relationship TargetMode="External" Target="https://www.legis.iowa.gov/docs/ico/chapter/17A.8.pdf" Type="http://schemas.openxmlformats.org/officeDocument/2006/relationships/hyperlink" Id="rId3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