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 xml:space="preserve">SERVICE SUPPLIED BY WATER, SANITARY SEWAGE, </w:t>
      </w:r>
      <w:r>
        <w:br/>
      </w:r>
      <w:r>
        <w:rPr>
          <w:rFonts w:ascii="Times New Roman" w:hAnsi="Times New Roman"/>
          <w:b w:val="false"/>
          <w:i w:val="false"/>
          <w:color w:val="000000"/>
          <w:sz w:val="21"/>
        </w:rPr>
        <w:t>AND STORM WATER DRAINAGE UTILITIES</w:t>
      </w:r>
    </w:p>
    <w:p>
      <w:pPr>
        <w:spacing w:before="0" w:after="0"/>
        <w:ind w:left="120"/>
        <w:jc w:val="center"/>
      </w:pPr>
      <w:r>
        <w:rPr>
          <w:rFonts w:ascii="Times New Roman" w:hAnsi="Times New Roman"/>
          <w:b w:val="false"/>
          <w:i w:val="false"/>
          <w:color w:val="000000"/>
          <w:sz w:val="14"/>
        </w:rPr>
        <w:t>[Prior to 10/8/86, Commerce Commission[250]]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199—21.1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establish standards of service to the public by utilities providing water by piped distribution systems and utilities providing sanitary sewage or storm water drainage disposal by piped collection systems that are subject to the jurisdiction of the Iowa utilities commission, and by providing standards for uniform practices by those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The term “utility” or “utilities,” when not more specifically described, means a water, sanitary sewage, or storm water drainage public utility as defined in Iowa Code section </w:t>
      </w:r>
      <w:hyperlink r:id="rId5">
        <w:r>
          <w:rPr>
            <w:rStyle w:val="Hyperlink"/>
            <w:rFonts w:ascii="Times New Roman" w:hAnsi="Times New Roman"/>
            <w:b w:val="false"/>
            <w:i w:val="false"/>
            <w:color w:val="000000"/>
            <w:sz w:val="22"/>
          </w:rPr>
          <w:t>476.1(2)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term does not include a county or an entity organized pursuant to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which is composed entirely of counties.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for water, sanitary sewage, and storm water drainage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The utility shall maintain its tariff filing in a current status.</w:t>
      </w:r>
    </w:p>
    <w:p>
      <w:pPr>
        <w:spacing w:before="0" w:after="0"/>
        <w:ind w:left="120"/>
        <w:jc w:val="both"/>
      </w:pPr>
      <w:r>
        <w:rPr>
          <w:rFonts w:ascii="Times New Roman" w:hAnsi="Times New Roman"/>
          <w:b w:val="false"/>
          <w:i w:val="false"/>
          <w:color w:val="000000"/>
          <w:sz w:val="22"/>
        </w:rPr>
        <w:t>The rates and rules of all utilities subject to the rules in this chapter shall be filed with the commission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tariff shall conform to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on 8½- by 11-inch pages so as to result in a clear and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electronically in compliance with </w:t>
      </w:r>
      <w:hyperlink r:id="rId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page is the title page, which will show the name of the utility, the type of utility service being provided, and the words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will show on the upper right corner of its title page that it is a revision of a tariff on file and the number being superseded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tariff sheet in a tariff is revised, amended, or eliminated, the tariff sheet will indicate in the upper right corner the number of the revision to that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(C)—Change in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(D)—Discontinued rate or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(L)—Changed text location.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(N)—New rate, treatment, or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(R)—Reduction in rate or new treatment resulting in reduction in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left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Company name.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Type of utility tariff.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words “Filed with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right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Tariff part identification, if any.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Tariff sheet number, original or revised.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Canceled 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left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issued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of the person responsible for the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right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effective date field.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is to be left blank by the utility and will be determined by the commission. The utility may propose an effective date in the cover letter or interpretation submitted with the tariff. In lieu of a proposed effective date, the utility can provide the date of the month the utility would like the tariff to become effective in the cover letter or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 xml:space="preserve">A tariff filed with the commission shall contain a table of contents; rates, including all rates of utilities for service with indication for each rate of the type of service and the class of customers to which each rate applies as approved by the commission; prices per unit of service; number of units per billing period to which the prices apply; period of billing; minimum bill; method of measuring demands and consumptions, including method of calculating or estimating loads or minimums; and any special terms and conditions applicable. Any discount for prompt payment or penalty for late payment and the period during which the net amount may be paid will be specified and be in accordance with subrule </w:t>
      </w:r>
      <w:hyperlink r:id="rId8">
        <w:r>
          <w:rPr>
            <w:rStyle w:val="Hyperlink"/>
            <w:rFonts w:ascii="Times New Roman" w:hAnsi="Times New Roman"/>
            <w:b w:val="false"/>
            <w:i w:val="false"/>
            <w:color w:val="000000"/>
            <w:sz w:val="22"/>
          </w:rPr>
          <w:t>21.4(4)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List of persons authorized to receive commission inquiries. </w:t>
      </w:r>
      <w:r>
        <w:rPr>
          <w:rFonts w:ascii="Times New Roman" w:hAnsi="Times New Roman"/>
          <w:b w:val="false"/>
          <w:i w:val="false"/>
          <w:color w:val="000000"/>
          <w:sz w:val="22"/>
        </w:rPr>
        <w:t xml:space="preserve">Each utility shall file with the commission in the annual report required by rule </w:t>
      </w:r>
      <w:hyperlink r:id="rId9">
        <w:r>
          <w:rPr>
            <w:rStyle w:val="Hyperlink"/>
            <w:rFonts w:ascii="Times New Roman" w:hAnsi="Times New Roman"/>
            <w:b w:val="false"/>
            <w:i w:val="false"/>
            <w:color w:val="000000"/>
            <w:sz w:val="22"/>
          </w:rPr>
          <w:t>199—23.1</w:t>
        </w:r>
      </w:hyperlink>
      <w:r>
        <w:rPr>
          <w:rFonts w:ascii="Times New Roman" w:hAnsi="Times New Roman"/>
          <w:b w:val="false"/>
          <w:i w:val="false"/>
          <w:color w:val="000000"/>
          <w:sz w:val="22"/>
        </w:rPr>
        <w:t>(476) a list of names, titles, addresses, and telephone numbers of persons authorized to receive, act upon, and respond to communications from the commission in connection with: (1) general management duties; (2) customer relations (complaints); (3) engineering operations; (4) meter tests and repairs, if meters are used; and (5) interruptions of service 24 hours a day. The contact information required by this subrule will be kept current.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WATER UTILITIES</w:t>
      </w:r>
    </w:p>
    <w:p>
      <w:pPr>
        <w:spacing w:before="0" w:after="0"/>
        <w:ind w:left="120"/>
        <w:jc w:val="both"/>
      </w:pPr>
      <w:r>
        <w:rPr>
          <w:rFonts w:ascii="Times New Roman" w:hAnsi="Times New Roman"/>
          <w:b/>
          <w:i w:val="false"/>
          <w:color w:val="000000"/>
          <w:sz w:val="22"/>
        </w:rPr>
        <w:t>199—21.3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water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Metered measurement of water. </w:t>
      </w:r>
      <w:r>
        <w:rPr>
          <w:rFonts w:ascii="Times New Roman" w:hAnsi="Times New Roman"/>
          <w:b w:val="false"/>
          <w:i w:val="false"/>
          <w:color w:val="000000"/>
          <w:sz w:val="22"/>
        </w:rPr>
        <w:t>All water sold by a utility shall be on the basis of metered measurement except that the utility may at its option provide flat rate or estimated service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service where the water use can be readily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fire protection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used for street sprinkling and sewer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unusual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Separate metering for premises. </w:t>
      </w:r>
      <w:r>
        <w:rPr>
          <w:rFonts w:ascii="Times New Roman" w:hAnsi="Times New Roman"/>
          <w:b w:val="false"/>
          <w:i w:val="false"/>
          <w:color w:val="000000"/>
          <w:sz w:val="22"/>
        </w:rPr>
        <w:t>Separate premises will be separately metered and billed. Submetering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the costs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Water meter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meter installation. </w:t>
      </w:r>
      <w:r>
        <w:rPr>
          <w:rFonts w:ascii="Times New Roman" w:hAnsi="Times New Roman"/>
          <w:b w:val="false"/>
          <w:i w:val="false"/>
          <w:color w:val="000000"/>
          <w:sz w:val="22"/>
        </w:rPr>
        <w:t>Each water utility shall adopt a written standard method of meter installation, copies of which are available upon request. All meters will be set in place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of water meters and associated metering devices. </w:t>
      </w:r>
      <w:r>
        <w:rPr>
          <w:rFonts w:ascii="Times New Roman" w:hAnsi="Times New Roman"/>
          <w:b w:val="false"/>
          <w:i w:val="false"/>
          <w:color w:val="000000"/>
          <w:sz w:val="22"/>
        </w:rPr>
        <w:t>Each water utility shall maintain for each meter and associated metering device the following applicable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type, catalog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Registration unit of measurement (gallons or cubic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moving digits or dials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fixed zeros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Pressure rating of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location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installation and removal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are to be maintained identical to readings of the meter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will have a readable meter register at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meter reading interval. Reading of all meters used for determining charges to customers will be scheduled at least quarterly. An effort will be made to read meters on corresponding days of each meter reading period. The meter reading date may be advanced or postponed no more than ten days without adjustment of the billing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Customer water meter reading. The utility may permit the customer to supply the meter reading information by telephone, or electronically, provided a utility representative reads the meter at least once every 12 months and when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will more than three consecutive estimated bills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customer is connected or disconnected, or the regular meter reading date is substantially revised causing a given billing period to be longer or shorter than usual, the bill will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the use of engineers, architects, plumbing contractors, etc., covering meter and service installation will be filed with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include a grossed-up amount for the income tax effect of such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is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will be grossed-up for the income tax effect of such revenue. The amount of tax is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 xml:space="preserve">means a separate record established and maintained by the utility, which includes by depositor: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amount of advance for construction provided by the customer;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Whether the advance is by cash or surety bond or equivalent surety;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by surety bond, all relevant information concerning the bond or equivalent surety;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amount of refund, if any, to which the depositor is entitled;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amount of refund, if any, that has been made to the customer;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amount unrefunded; and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construction project on which, or work order pursuant to which, the extension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 xml:space="preserve">means an estimated calculation of annual revenue based upon the following factors, including but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size of the facility to be used by the customer;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average annual amount of service required by the equipment;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 xml:space="preserve">means an estimated calculation of construction costs using average costs in accordance with good engineering practices and based upon the following factors: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service required or desired by the customer requesting the extension;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Size, location, and characteristics of the extension, including all appurtenances;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Whether the ground is frozen or whether other adverse conditions exist. </w:t>
      </w:r>
    </w:p>
    <w:p>
      <w:pPr>
        <w:spacing w:before="0" w:after="0"/>
        <w:ind w:left="120"/>
        <w:jc w:val="both"/>
      </w:pPr>
      <w:r>
        <w:rPr>
          <w:rFonts w:ascii="Times New Roman" w:hAnsi="Times New Roman"/>
          <w:b w:val="false"/>
          <w:i w:val="false"/>
          <w:color w:val="000000"/>
          <w:sz w:val="22"/>
        </w:rPr>
        <w:t>The average cost per foot is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will estimated construction costs include costs associated with facilities built for the convenience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means a distribution main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all water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will require, no more than 30 days prior to commencement of construction, the customer or developer to advance funds that are subject to refund as additional customers are attached. A contract between the utility and the customer that requires an advance by the customer to make plant additions will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attach within 30 days after completion of the distribution main extension,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less than or equal to five times the estimated annual revenue calculated on the basis of similarly situated customers, the utility shall finance and make the extension without requiring an advance for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distribution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will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shall provide the utility a cash deposit equal to the amount of the surety bond, less refunds accumulated during the bonded period, plus the surcharge, or the depositors may pay the interest on the previous year’s bond and rebond the balance due to the utility for a second or third one-year period. Upon receipt of such cash deposit, the utility releases the surety bond. The cash deposit, less the surcharge, will be subject to refund by the utility for the remainder of the ten-year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will refund to the depositor, for a period of ten years from the date of the original advance, a pro rata share for each service attachment to the distribution main extension. The pro rata refund will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exceeds the total estimated construction cost to provide the extension, the entire amount of the advance provided by the depositor will be refunded to the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is less than the total estimated construction cost to provide the extension, the amount to be refunded to the depositor will equal five times the estimated annual revenue of the customer attaching to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to a depositor exceed the amount of the advance for construction made by the depositor. Any amounts subject to refund will be paid by the utility without interest. At the expiration of the above-described ten-year period, the customer advance for construction record will be closed and the remaining balance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do not need to make extensions as described in this subrule unless the extension will be of a permanent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A utility may make a contract with a customer in a different manner, if the contract provides a more favorable method of extension to the customer, so long as no discrimination is practiced among customers or depositors.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An individual, partnership, or company may construct its own extension; however, it will meet, at a minimum, the applicable portions of the standards in rule </w:t>
      </w:r>
      <w:hyperlink r:id="rId10">
        <w:r>
          <w:rPr>
            <w:rStyle w:val="Hyperlink"/>
            <w:rFonts w:ascii="Times New Roman" w:hAnsi="Times New Roman"/>
            <w:b w:val="false"/>
            <w:i w:val="false"/>
            <w:color w:val="000000"/>
            <w:sz w:val="22"/>
          </w:rPr>
          <w:t>199—21.5</w:t>
        </w:r>
      </w:hyperlink>
      <w:r>
        <w:rPr>
          <w:rFonts w:ascii="Times New Roman" w:hAnsi="Times New Roman"/>
          <w:b w:val="false"/>
          <w:i w:val="false"/>
          <w:color w:val="000000"/>
          <w:sz w:val="22"/>
        </w:rPr>
        <w:t xml:space="preserve">(476) and such other reasonable standards as the utility may employ in constructing extensions, so long as the standards do not mandate a particular supplier. All connections to the utility-owned equipment or facilities are to be made by the utility at the applicant’s expense. At the time of attachment to the utility-owned equipment or facilities, the applicant will transfer ownership of the extension to the utility and the utility will book the original cost of construction of the extension as an advance for construction, and make refunds to the applicant in accordance with paragraph </w:t>
      </w:r>
      <w:hyperlink r:id="rId11">
        <w:r>
          <w:rPr>
            <w:rStyle w:val="Hyperlink"/>
            <w:rFonts w:ascii="Times New Roman" w:hAnsi="Times New Roman"/>
            <w:b w:val="false"/>
            <w:i w:val="false"/>
            <w:color w:val="000000"/>
            <w:sz w:val="22"/>
          </w:rPr>
          <w:t>21.3(5)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will be responsible for the operation and maintenance of the extension after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Water service connections. </w:t>
      </w:r>
      <w:r>
        <w:rPr>
          <w:rFonts w:ascii="Times New Roman" w:hAnsi="Times New Roman"/>
          <w:b w:val="false"/>
          <w:i w:val="false"/>
          <w:color w:val="000000"/>
          <w:sz w:val="22"/>
        </w:rPr>
        <w:t>The utility will supervise the installation and maintenance of that portion of the water service pipe from its main to and including the customer’s meter. A curb stop will be installed at a convenient place between the property line and the curb, and all services will include a curb stop and curb box or meter vault. In installations where meters are installed in meter vaults incorporating a built-in valve and are installed between the property line and curb, no separate curb stop and curb box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out-of-doors shall be readily accessible for maintenance and reading, and so far as practicable, the location should be mutually acceptable to the customer and the utility. The meter is to be installed so as to be unaffected by climatic conditions and reasonably secure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will be located within the premises served or in a common location accessible to the customers and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will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12">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statement described in this subrule will file its proposed statement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will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will compute interest on customer deposits at 7.5 percent per annum, compounded annually. Interest for prior periods will be computed at the rate specified by the rule in effect for the period in question. Interest will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13">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14">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will bill each customer as promptly as possible following the reading of the customer’s meter. Each bill, including the customer’s receipt,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units metered,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applicable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gross and net amount of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considered rendered to the customer when deposited in the U.S. mail with postage prepaid, or sent via electronic delivery with customer consent. If delivery is by other than U.S. mail, the bill is considered rendered when delivered to the last-known address, including electronic addresses, of the party responsible for payment. The customer will have a minimum of 20 days between the rendering of a bill and the date by which the account becomes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will not exceed 1.5 percent per month of the past due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will be granted at least one complete forgiveness of a late payment charge each calendar year. The utility’s rules will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15">
        <w:r>
          <w:rPr>
            <w:rStyle w:val="Hyperlink"/>
            <w:rFonts w:ascii="Times New Roman" w:hAnsi="Times New Roman"/>
            <w:b w:val="false"/>
            <w:i w:val="false"/>
            <w:color w:val="000000"/>
            <w:sz w:val="22"/>
          </w:rPr>
          <w:t>21.4(6)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meter or billing errors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to a person no longer a customer of the utility, a notice will be mailed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paragraph </w:t>
      </w:r>
      <w:hyperlink r:id="rId16">
        <w:r>
          <w:rPr>
            <w:rStyle w:val="Hyperlink"/>
            <w:rFonts w:ascii="Times New Roman" w:hAnsi="Times New Roman"/>
            <w:b w:val="false"/>
            <w:i w:val="false"/>
            <w:color w:val="000000"/>
            <w:sz w:val="22"/>
          </w:rPr>
          <w:t>21.4(6)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cannot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will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Service may be refused or discontinued only for the reasons listed in paragraphs </w:t>
      </w:r>
      <w:hyperlink r:id="rId17">
        <w:r>
          <w:rPr>
            <w:rStyle w:val="Hyperlink"/>
            <w:rFonts w:ascii="Times New Roman" w:hAnsi="Times New Roman"/>
            <w:b w:val="false"/>
            <w:i w:val="false"/>
            <w:color w:val="000000"/>
            <w:sz w:val="22"/>
          </w:rPr>
          <w:t>21.4(7)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below. Unless otherwise stated, the customer shall be permitted at least 12 days following mailing of notice of disconnect in which to take necessary action before service is discontinued. When a person is refused service, the utility shall notify the person promptly of the reason for the refusal to serve and of the person’s right to file a complaint about the utility’s decision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tampering with the equipment furnished and owned by the utility or obtaining water by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its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nonpayment of bill, provided that the utility has: (1) made a reasonable attempt to effect collection; (2) given the customer written notice that the customer has at least 12 days, excluding Sundays and legal holidays, in which to make settlement of the account; and (3) given the customer the written statement of the customer’s rights and responsibilities to avoid a shutoff, as required by subrule </w:t>
      </w:r>
      <w:hyperlink r:id="rId18">
        <w:r>
          <w:rPr>
            <w:rStyle w:val="Hyperlink"/>
            <w:rFonts w:ascii="Times New Roman" w:hAnsi="Times New Roman"/>
            <w:b w:val="false"/>
            <w:i w:val="false"/>
            <w:color w:val="000000"/>
            <w:sz w:val="22"/>
          </w:rPr>
          <w:t>21.4(8)</w:t>
        </w:r>
      </w:hyperlink>
      <w:r>
        <w:rPr>
          <w:rFonts w:ascii="Times New Roman" w:hAnsi="Times New Roman"/>
          <w:b w:val="false"/>
          <w:i w:val="false"/>
          <w:color w:val="000000"/>
          <w:sz w:val="22"/>
        </w:rPr>
        <w:t>. In the event there is dispute concerning a bill, the utility may require the customer to pay a sum of money equal to the amount of the undisputed portion of the bill pending resolution and thereby avoid discontinuance of service for nonpayment of the disputed bill for up to 45 days after the rendering of the bill. The 45 days will be extended if requested of the utility by the commission in the event the customer files a written complaint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failure to pay a debt owed to a city utility, city enterprise, combined city utility, or combined city enterprise for wastewater service or services of sewer systems, storm water drainage systems, or sewage treatment. Disconnection of water service pursuant to this paragraph will only be allowed if the governing body of a city utility, city enterprise, combined city utility, or combined city enterprise has entered into a written agreement with the utility that includes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Requiring that a notice of disconnection of water service for failure to pay a debt owed to the city utility, city enterprise, combined city utility, or combined city enterprise for wastewater service or services of sewer systems, storm water drainage systems, or sewage treatment be made by the utility and allow the customer 12 days, excluding Sundays and legal holidays, after the mailing of the notice to take necessary action to satisfy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for prompt notice from the city utility, city enterprise, combined city utility, or combined city enterprise to the utility that the debt for wastewater service or services of sewer systems, storm water drainage systems, or sewage treatment has been satisfied and providing that, once notified of the payment of the debt, the utility shall reconnect water service to the customer as provided for in the utility’s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the city utility, city enterprise, combined city utility, or combined city enterprise, prior to contacting the utility for disconnection of water service to a customer, to have completed the disconnection notification procedures established in the tariffs or ordinances of the city utility, city enterprise, combined city utility, or combined city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that the customer may be charged a fee for disconnection and reconnection of water service by the utility for failure of the customer to pay a debt owed to the city utility, city enterprise, combined city utility, or combined city enterprise for wastewater service or services of sewer systems, storm water drainage systems, or sewage treatment, that the fee be no greater than the rates or charges established for reconnection and disconnection of water service in the utility’s tariffs approved by the commission, and that recovery of lost revenue by the utility as a result of disconnection of water service pursuant to this paragraph is not authorized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Statement of customer rights and responsibilities. </w:t>
      </w:r>
      <w:r>
        <w:rPr>
          <w:rFonts w:ascii="Times New Roman" w:hAnsi="Times New Roman"/>
          <w:b w:val="false"/>
          <w:i w:val="false"/>
          <w:color w:val="000000"/>
          <w:sz w:val="22"/>
        </w:rPr>
        <w:t xml:space="preserve">In addition to providing the written notice of disconnect required by subrule </w:t>
      </w:r>
      <w:hyperlink r:id="rId19">
        <w:r>
          <w:rPr>
            <w:rStyle w:val="Hyperlink"/>
            <w:rFonts w:ascii="Times New Roman" w:hAnsi="Times New Roman"/>
            <w:b w:val="false"/>
            <w:i w:val="false"/>
            <w:color w:val="000000"/>
            <w:sz w:val="22"/>
          </w:rPr>
          <w:t>21.4(7)</w:t>
        </w:r>
      </w:hyperlink>
      <w:r>
        <w:rPr>
          <w:rFonts w:ascii="Times New Roman" w:hAnsi="Times New Roman"/>
          <w:b w:val="false"/>
          <w:i w:val="false"/>
          <w:color w:val="000000"/>
          <w:sz w:val="22"/>
        </w:rPr>
        <w:t>, a utility, prior to refusing water service due to nonpayment of a bill, will provide the customer a written statement of rights and responsibilities to avoid shutoff. Any utility that does not use the standard form set forth below will electronically submit its proposed form to the commission for approval. A utility that is preparing to disconnect water service due to nonpayment of a bill for sanitary sewage disposal service or storm water drainage service will replace the words “water service” in the form below with the words “sanitary sewage disposal service” or “storm water drainage service” as appropriate. The utility shall provide the customer with the written statement of customer rights and responsibilities at the same time it provides the customer the written notice of disconnect.</w:t>
      </w:r>
    </w:p>
    <w:p>
      <w:pPr>
        <w:spacing w:before="0" w:after="0"/>
        <w:ind w:left="120"/>
        <w:jc w:val="center"/>
      </w:pPr>
      <w:r>
        <w:rPr>
          <w:rFonts w:ascii="Times New Roman" w:hAnsi="Times New Roman"/>
          <w:b/>
          <w:i w:val="false"/>
          <w:color w:val="000000"/>
          <w:sz w:val="22"/>
        </w:rPr>
        <w:t>CUSTOMER RIGHTS AND RESPONSIBILITIES TO AVOID SHUTOFF OF WATER SERVICE FOR NONPAYMENT</w:t>
      </w:r>
    </w:p>
    <w:p>
      <w:pPr>
        <w:spacing w:before="0" w:after="0"/>
        <w:ind w:left="120"/>
        <w:jc w:val="both"/>
      </w:pPr>
      <w:r>
        <w:rPr>
          <w:rFonts w:ascii="Times New Roman" w:hAnsi="Times New Roman"/>
          <w:b/>
          <w:i w:val="false"/>
          <w:color w:val="000000"/>
          <w:sz w:val="22"/>
        </w:rPr>
        <w:t>1. What can I do if I receive a notice from the utility that says my water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Tell the utility if you think part of the amount shown on the bill is wrong. However, you must still pay the part of the bill you agree you owe the utility (see #3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6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#6 below.)</w:t>
      </w:r>
    </w:p>
    <w:p>
      <w:pPr>
        <w:spacing w:before="0" w:after="0"/>
        <w:ind w:left="120"/>
        <w:jc w:val="both"/>
      </w:pPr>
      <w:r>
        <w:rPr>
          <w:rFonts w:ascii="Times New Roman" w:hAnsi="Times New Roman"/>
          <w:b/>
          <w:i w:val="false"/>
          <w:color w:val="000000"/>
          <w:sz w:val="22"/>
        </w:rPr>
        <w:t>4. When can the utility shut off my utility service because I have not paid my bill?</w:t>
      </w:r>
    </w:p>
    <w:p>
      <w:pPr>
        <w:spacing w:before="0" w:after="0"/>
        <w:ind w:left="120"/>
        <w:jc w:val="both"/>
      </w:pPr>
      <w:r>
        <w:rPr>
          <w:rFonts w:ascii="Times New Roman" w:hAnsi="Times New Roman"/>
          <w:b w:val="false"/>
          <w:i w:val="false"/>
          <w:color w:val="000000"/>
          <w:sz w:val="22"/>
        </w:rPr>
        <w:t>The utility will not shut off your service for up to 45 days from the rendering of the bill if you have notified the utility that you dispute a portion of your bill and you pay the part of the bill that you agree is correct. The 45 days will be extended if requested of the utility by the Utilities Commission in the event you file a written complaint with the Utilities Commission.</w:t>
      </w:r>
    </w:p>
    <w:p>
      <w:pPr>
        <w:spacing w:before="0" w:after="0"/>
        <w:ind w:left="120"/>
        <w:jc w:val="both"/>
      </w:pPr>
      <w:r>
        <w:rPr>
          <w:rFonts w:ascii="Times New Roman" w:hAnsi="Times New Roman"/>
          <w:b/>
          <w:i w:val="false"/>
          <w:color w:val="000000"/>
          <w:sz w:val="22"/>
        </w:rPr>
        <w:t>5. How will I be told the utility is going to shut off my service?</w:t>
      </w:r>
    </w:p>
    <w:p>
      <w:pPr>
        <w:spacing w:before="0" w:after="0"/>
        <w:ind w:left="120"/>
        <w:jc w:val="both"/>
      </w:pPr>
      <w:r>
        <w:rPr>
          <w:rFonts w:ascii="Times New Roman" w:hAnsi="Times New Roman"/>
          <w:b w:val="false"/>
          <w:i w:val="false"/>
          <w:color w:val="000000"/>
          <w:sz w:val="22"/>
        </w:rPr>
        <w:t>You must be given a written notice at least 12 days before the utility service can be shut off for nonpayment.</w:t>
      </w:r>
    </w:p>
    <w:p>
      <w:pPr>
        <w:spacing w:before="0" w:after="0"/>
        <w:ind w:left="120"/>
        <w:jc w:val="both"/>
      </w:pPr>
      <w:r>
        <w:rPr>
          <w:rFonts w:ascii="Times New Roman" w:hAnsi="Times New Roman"/>
          <w:b/>
          <w:i w:val="false"/>
          <w:color w:val="000000"/>
          <w:sz w:val="22"/>
        </w:rPr>
        <w:t>6.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promptly if you pay the whole amount you owe or, in the event that you dispute a portion of the bill, you pay the portion of the bill that is not under dispute (see #2 above).</w:t>
      </w:r>
    </w:p>
    <w:p>
      <w:pPr>
        <w:spacing w:before="0" w:after="0"/>
        <w:ind w:left="120"/>
        <w:jc w:val="both"/>
      </w:pPr>
      <w:r>
        <w:rPr>
          <w:rFonts w:ascii="Times New Roman" w:hAnsi="Times New Roman"/>
          <w:b w:val="false"/>
          <w:i w:val="false"/>
          <w:color w:val="000000"/>
          <w:sz w:val="22"/>
        </w:rPr>
        <w:t>b.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7.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 Des Moines, IA 50319, or by email at </w:t>
      </w:r>
      <w:hyperlink r:id="rId20">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service where the cause of discontinuance has been corrected, the utility will promptly restore service to the customer. The utility may make a reasonable charge applied uniformly for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 not constitute sufficient cause for refusal of service to a present or prospective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for a different type or class of utility service, except sanitary sewage disposal service or storm water drainage service. Disconnection of water service pursuant to the provisions of paragraph </w:t>
      </w:r>
      <w:hyperlink r:id="rId21">
        <w:r>
          <w:rPr>
            <w:rStyle w:val="Hyperlink"/>
            <w:rFonts w:ascii="Times New Roman" w:hAnsi="Times New Roman"/>
            <w:b w:val="false"/>
            <w:i w:val="false"/>
            <w:color w:val="000000"/>
            <w:sz w:val="22"/>
          </w:rPr>
          <w:t>21.4(7)</w:t>
        </w:r>
      </w:hyperlink>
      <w:r>
        <w:rPr>
          <w:rFonts w:ascii="Times New Roman" w:hAnsi="Times New Roman"/>
          <w:b w:val="false"/>
          <w:i/>
          <w:color w:val="000000"/>
          <w:sz w:val="22"/>
        </w:rPr>
        <w:t>“f”</w:t>
      </w:r>
      <w:r>
        <w:rPr>
          <w:rFonts w:ascii="Times New Roman" w:hAnsi="Times New Roman"/>
          <w:b w:val="false"/>
          <w:i w:val="false"/>
          <w:color w:val="000000"/>
          <w:sz w:val="22"/>
        </w:rPr>
        <w:t xml:space="preserve"> is not considered a different type or class of public utility service for purposes of subrule </w:t>
      </w:r>
      <w:hyperlink r:id="rId22">
        <w:r>
          <w:rPr>
            <w:rStyle w:val="Hyperlink"/>
            <w:rFonts w:ascii="Times New Roman" w:hAnsi="Times New Roman"/>
            <w:b w:val="false"/>
            <w:i w:val="false"/>
            <w:color w:val="000000"/>
            <w:sz w:val="22"/>
          </w:rPr>
          <w:t>21.4(10)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A “complaint” means any objection to the charge, facilities, or quality of service of a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will investigate promptly and thoroughly and keep a record of all complaints received from its customers that will enable it to review its procedures and actions. The record shall show the name and address of the complainant, the date and nature of the complaint, and its disposition and the date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the original complaint shall be kept for a period of three years after final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 </w:t>
      </w:r>
      <w:r>
        <w:rPr>
          <w:rFonts w:ascii="Times New Roman" w:hAnsi="Times New Roman"/>
          <w:b w:val="false"/>
          <w:i w:val="false"/>
          <w:color w:val="000000"/>
          <w:sz w:val="22"/>
        </w:rPr>
        <w:t>A customer may enter into a reasonable payment agreement with the utility in the event of a past-due bill to avoid utility service shut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is to offer an agreement with at least six even monthly payments. For customers who have been disconnected more than 120 days and are not in default of a payment agreement, the utility is to offer an agreement with at least six even monthly payments. Utilities will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 also include provision for payment of the current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prepaid, or sent via electronic delivery with customer consent. If delivery is by other than U.S. mail, the document is considered provided to the customer when delivered to the last-known address, including electronic addresses, of the person responsible for payment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payment agreement. The utility shall offer a second payment agreement to a customer who is in default of a first payment agreement if the customer has made at least two consecutive full payments under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 payment agreement shall be for a term at least as long as the term of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 shall pay for current service in addition to the monthly payments under the second payment agreement and may be required to make the first payment up front as a condition of entering into the second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within ten days after the written refusal is provided. During the review of this request, the utility shall not disconnect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distribution system will conform to good standard engineering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distribution system in order to determine the necessity for replacement and repair. The frequency of the various inspections will be based on the utility’s experience and accepted good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Periodic and routine tests. </w:t>
      </w:r>
      <w:r>
        <w:rPr>
          <w:rFonts w:ascii="Times New Roman" w:hAnsi="Times New Roman"/>
          <w:b w:val="false"/>
          <w:i w:val="false"/>
          <w:color w:val="000000"/>
          <w:sz w:val="22"/>
        </w:rPr>
        <w:t>Each utility shall adopt schedules approved by the commission for periodic and routine tests and repair of the utility’s 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Meter test facilities and equipment. </w:t>
      </w:r>
      <w:r>
        <w:rPr>
          <w:rFonts w:ascii="Times New Roman" w:hAnsi="Times New Roman"/>
          <w:b w:val="false"/>
          <w:i w:val="false"/>
          <w:color w:val="000000"/>
          <w:sz w:val="22"/>
        </w:rPr>
        <w:t>Each utility furnishing metered service will provide the necessary standard facilities, instruments, and other equipment for testing its meters, or contract for test of its meters by another utility or agency equipped to test meters subject to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Accuracy requirements. </w:t>
      </w:r>
      <w:r>
        <w:rPr>
          <w:rFonts w:ascii="Times New Roman" w:hAnsi="Times New Roman"/>
          <w:b w:val="false"/>
          <w:i w:val="false"/>
          <w:color w:val="000000"/>
          <w:sz w:val="22"/>
        </w:rPr>
        <w:t>All meters shall be in good mechanical condition and accurate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Test flow limits. </w:t>
      </w:r>
      <w:r>
        <w:rPr>
          <w:rFonts w:ascii="Times New Roman" w:hAnsi="Times New Roman"/>
          <w:b w:val="false"/>
          <w:i w:val="false"/>
          <w:color w:val="000000"/>
          <w:sz w:val="22"/>
        </w:rPr>
        <w:t>For determination of minimum test flow and normal test flow limits, the utility will use as a guide the appropriate standard specifications of the American Water Works Association for the various types of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Accuracy limits. </w:t>
      </w:r>
      <w:r>
        <w:rPr>
          <w:rFonts w:ascii="Times New Roman" w:hAnsi="Times New Roman"/>
          <w:b w:val="false"/>
          <w:i w:val="false"/>
          <w:color w:val="000000"/>
          <w:sz w:val="22"/>
        </w:rPr>
        <w:t>A meter will not be placed in service if it registers less than 95 percent of the volume passed through it at the minimum test flow, or overregisters or underregisters more than 1.5 percent at the intermediate or maximum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Initial test and storage of meters. </w:t>
      </w:r>
      <w:r>
        <w:rPr>
          <w:rFonts w:ascii="Times New Roman" w:hAnsi="Times New Roman"/>
          <w:b w:val="false"/>
          <w:i w:val="false"/>
          <w:color w:val="000000"/>
          <w:sz w:val="22"/>
        </w:rPr>
        <w:t>Every meter will be tested prior to its installation either by the manufacturer, the utility, or an organization equipped for meter testing.</w:t>
      </w:r>
    </w:p>
    <w:p>
      <w:pPr>
        <w:spacing w:before="0" w:after="0"/>
        <w:ind w:left="120"/>
        <w:jc w:val="both"/>
      </w:pPr>
      <w:r>
        <w:rPr>
          <w:rFonts w:ascii="Times New Roman" w:hAnsi="Times New Roman"/>
          <w:b w:val="false"/>
          <w:i w:val="false"/>
          <w:color w:val="000000"/>
          <w:sz w:val="22"/>
        </w:rPr>
        <w:t>If a meter is not stored as recommended by the manufacturer, the meter will be tested immediately before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As found tests. </w:t>
      </w:r>
      <w:r>
        <w:rPr>
          <w:rFonts w:ascii="Times New Roman" w:hAnsi="Times New Roman"/>
          <w:b w:val="false"/>
          <w:i w:val="false"/>
          <w:color w:val="000000"/>
          <w:sz w:val="22"/>
        </w:rPr>
        <w:t>To determine the average meter error in accordance with these rules for periodic or complaint tests, meters will be tested in the condition as found in the customer’s service. Tests will be made at intermediate and maximum rates of flow, and the meter error will be the algebraic average of the errors of the two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A utility will test any meter upon written request of a customer no more than once every 18 months. The customer will be given the opportunity to be present at the requested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color w:val="000000"/>
          <w:sz w:val="22"/>
        </w:rPr>
        <w:t xml:space="preserve">Commission-ordered tests. </w:t>
      </w:r>
      <w:r>
        <w:rPr>
          <w:rFonts w:ascii="Times New Roman" w:hAnsi="Times New Roman"/>
          <w:b w:val="false"/>
          <w:i w:val="false"/>
          <w:color w:val="000000"/>
          <w:sz w:val="22"/>
        </w:rPr>
        <w:t>The commission shall order tests of meters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Upon written application to the commission by a customer or a utility, a test will be made of the customer’s meter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 </w:t>
      </w:r>
      <w:r>
        <w:rPr>
          <w:rFonts w:ascii="Times New Roman" w:hAnsi="Times New Roman"/>
          <w:b w:val="false"/>
          <w:i w:val="false"/>
          <w:color w:val="000000"/>
          <w:sz w:val="22"/>
        </w:rPr>
        <w:t>The application will be sent by mail and accompanied by payment or money order made payable to the utility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test. </w:t>
      </w:r>
      <w:r>
        <w:rPr>
          <w:rFonts w:ascii="Times New Roman" w:hAnsi="Times New Roman"/>
          <w:b w:val="false"/>
          <w:i w:val="false"/>
          <w:color w:val="000000"/>
          <w:sz w:val="22"/>
        </w:rPr>
        <w:t>On receipt of a request from a customer, the commission will forward the deposit to the utility and notify the utility of the requirement for the test. The utility will not knowingly remove or adjust the meter until tested. The utility will furnish all instruments, load devices, and other facilities necessary for the test and will perform the test and furnish verification of the accuracy of test instruments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 results. </w:t>
      </w:r>
      <w:r>
        <w:rPr>
          <w:rFonts w:ascii="Times New Roman" w:hAnsi="Times New Roman"/>
          <w:b w:val="false"/>
          <w:i w:val="false"/>
          <w:color w:val="000000"/>
          <w:sz w:val="22"/>
        </w:rPr>
        <w:t xml:space="preserve">If the tested meter is found to overregister to an extent requiring a refund under the provisions of paragraph </w:t>
      </w:r>
      <w:hyperlink r:id="rId23">
        <w:r>
          <w:rPr>
            <w:rStyle w:val="Hyperlink"/>
            <w:rFonts w:ascii="Times New Roman" w:hAnsi="Times New Roman"/>
            <w:b w:val="false"/>
            <w:i w:val="false"/>
            <w:color w:val="000000"/>
            <w:sz w:val="22"/>
          </w:rPr>
          <w:t>21.4(6)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amount paid to the utility will be returned to the customer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utility will notify the customer in advance of the date and time of the commission-ordered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Utility report. </w:t>
      </w:r>
      <w:r>
        <w:rPr>
          <w:rFonts w:ascii="Times New Roman" w:hAnsi="Times New Roman"/>
          <w:b w:val="false"/>
          <w:i w:val="false"/>
          <w:color w:val="000000"/>
          <w:sz w:val="22"/>
        </w:rPr>
        <w:t>The utility will make a written report of the results of the test and send the report to the customer and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21.6(8)</w:t>
      </w:r>
      <w:r>
        <w:rPr>
          <w:rFonts w:ascii="Times New Roman" w:hAnsi="Times New Roman"/>
          <w:b w:val="false"/>
          <w:i w:val="false"/>
          <w:color w:val="000000"/>
          <w:sz w:val="22"/>
        </w:rPr>
        <w:t> </w:t>
      </w:r>
      <w:r>
        <w:rPr>
          <w:rFonts w:ascii="Times New Roman" w:hAnsi="Times New Roman"/>
          <w:b w:val="false"/>
          <w:i/>
          <w:color w:val="000000"/>
          <w:sz w:val="22"/>
        </w:rPr>
        <w:t xml:space="preserve">Sealing of meters. </w:t>
      </w:r>
      <w:r>
        <w:rPr>
          <w:rFonts w:ascii="Times New Roman" w:hAnsi="Times New Roman"/>
          <w:b w:val="false"/>
          <w:i w:val="false"/>
          <w:color w:val="000000"/>
          <w:sz w:val="22"/>
        </w:rPr>
        <w:t>Upon completion of adjustment and test of any water meter, the utility will place a suitable register seal on the meter in a manner that adjustment or registration of the meter cannot be changed without breaking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21.6(9)</w:t>
      </w:r>
      <w:r>
        <w:rPr>
          <w:rFonts w:ascii="Times New Roman" w:hAnsi="Times New Roman"/>
          <w:b w:val="false"/>
          <w:i w:val="false"/>
          <w:color w:val="000000"/>
          <w:sz w:val="22"/>
        </w:rPr>
        <w:t> </w:t>
      </w:r>
      <w:r>
        <w:rPr>
          <w:rFonts w:ascii="Times New Roman" w:hAnsi="Times New Roman"/>
          <w:b w:val="false"/>
          <w:i/>
          <w:color w:val="000000"/>
          <w:sz w:val="22"/>
        </w:rPr>
        <w:t xml:space="preserve">Record of meter tests. </w:t>
      </w:r>
      <w:r>
        <w:rPr>
          <w:rFonts w:ascii="Times New Roman" w:hAnsi="Times New Roman"/>
          <w:b w:val="false"/>
          <w:i w:val="false"/>
          <w:color w:val="000000"/>
          <w:sz w:val="22"/>
        </w:rPr>
        <w:t>Meter test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reason for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meter reading prior to any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accuracy as found at each of the flow rates required by paragraph </w:t>
      </w:r>
      <w:hyperlink r:id="rId24">
        <w:r>
          <w:rPr>
            <w:rStyle w:val="Hyperlink"/>
            <w:rFonts w:ascii="Times New Roman" w:hAnsi="Times New Roman"/>
            <w:b w:val="false"/>
            <w:i w:val="false"/>
            <w:color w:val="000000"/>
            <w:sz w:val="22"/>
          </w:rPr>
          <w:t>21.6(3)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accuracy as left at each of the flow rates required by paragraph </w:t>
      </w:r>
      <w:hyperlink r:id="rId25">
        <w:r>
          <w:rPr>
            <w:rStyle w:val="Hyperlink"/>
            <w:rFonts w:ascii="Times New Roman" w:hAnsi="Times New Roman"/>
            <w:b w:val="false"/>
            <w:i w:val="false"/>
            <w:color w:val="000000"/>
            <w:sz w:val="22"/>
          </w:rPr>
          <w:t>21.6(3)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any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meter test is made using a standard meter, the utility will retain all data taken at the time of the test sufficient to permit the convenient checking of the test method, calculations, and traceability to the National Bureau of Standards’ volumetric standardization.</w:t>
      </w:r>
    </w:p>
    <w:p>
      <w:pPr>
        <w:spacing w:before="0" w:after="0"/>
        <w:ind w:left="120"/>
        <w:jc w:val="both"/>
      </w:pPr>
      <w:r>
        <w:rPr>
          <w:rFonts w:ascii="Times New Roman" w:hAnsi="Times New Roman"/>
          <w:b w:val="false"/>
          <w:i w:val="false"/>
          <w:color w:val="000000"/>
          <w:sz w:val="22"/>
        </w:rPr>
        <w:t>The test records of each meter will be retained for two consecutive periodic tests or at least for two years. A record of the test made at the time of the meter’s retirement, if any, will be retained for a minimum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Water pressures. </w:t>
      </w:r>
      <w:r>
        <w:rPr>
          <w:rFonts w:ascii="Times New Roman" w:hAnsi="Times New Roman"/>
          <w:b w:val="false"/>
          <w:i w:val="false"/>
          <w:color w:val="000000"/>
          <w:sz w:val="22"/>
        </w:rPr>
        <w:t>Under normal conditions of water usage, the pressure at a customer’s service line will be no less than 35 pounds per square inch gauge (PSIG) and no more than 125 PSIG.</w:t>
      </w:r>
    </w:p>
    <w:p>
      <w:pPr>
        <w:spacing w:before="0" w:after="0"/>
        <w:ind w:left="120"/>
        <w:jc w:val="both"/>
      </w:pPr>
      <w:r>
        <w:rPr>
          <w:rFonts w:ascii="Times New Roman" w:hAnsi="Times New Roman"/>
          <w:b w:val="false"/>
          <w:i w:val="false"/>
          <w:color w:val="000000"/>
          <w:sz w:val="22"/>
        </w:rPr>
        <w:t>At regular intervals, a utility shall make a survey of pressures in its water system. The survey will be of sufficient magnitude to indicate the quality of service being rendered at representative points on its system. The survey will be conducted during periods of high usage at or near the maximum usage during the year. The pressure charts for these surveys will show the date and time of beginning and end of the test and the test location. Records of these pressure surveys will be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shall make a reasonable effort to prevent interruptions of water service. When an emergency interruption occurs, the utility will reestablish service with the shortest possible delay consistent with the safety of its customers and the general public. If an emergency interruption affects fire protection service, the utility will immediately notify the fire chief or other responsible local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utility finds it necessary to schedule an interruption of water service, it shall make a reasonable effort to notify all customers to be affected by the interruption, including the time and anticipated duration of the interruption. Interruptions shall be scheduled at hours that create the least inconvenience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will retain records of interruptions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Water supply shortage. </w:t>
      </w:r>
      <w:r>
        <w:rPr>
          <w:rFonts w:ascii="Times New Roman" w:hAnsi="Times New Roman"/>
          <w:b w:val="false"/>
          <w:i w:val="false"/>
          <w:color w:val="000000"/>
          <w:sz w:val="22"/>
        </w:rPr>
        <w:t>The utility will attempt to furnish a continuous and adequate supply of water to its customers and to avoid any shortage or interruption of water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utility finds that it is necessary to restrict the use of water due to a shortage, it will equitably apportion its available water supply among its customers. The utility will notify its customers and the commission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probable date of termination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water use restriction will only take effect if approved by the commission, except in cases of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199—21.8</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Applications for water costs for fire protection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“water costs for fire protection service” means all or a part of the utility’s costs of fire hydrants and other improvements, maintenance, and operations for the purpose of providing adequate water production, storage, and distribution for public fire protection, as reflected in the utility’s current tariff for public fire protection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Utility requirements. </w:t>
      </w:r>
      <w:r>
        <w:rPr>
          <w:rFonts w:ascii="Times New Roman" w:hAnsi="Times New Roman"/>
          <w:b w:val="false"/>
          <w:i w:val="false"/>
          <w:color w:val="000000"/>
          <w:sz w:val="22"/>
        </w:rPr>
        <w:t xml:space="preserve">A utility that provides public fire protection water service to a city preparing an application pursuant to subrule </w:t>
      </w:r>
      <w:hyperlink r:id="rId26">
        <w:r>
          <w:rPr>
            <w:rStyle w:val="Hyperlink"/>
            <w:rFonts w:ascii="Times New Roman" w:hAnsi="Times New Roman"/>
            <w:b w:val="false"/>
            <w:i w:val="false"/>
            <w:color w:val="000000"/>
            <w:sz w:val="22"/>
          </w:rPr>
          <w:t>21.8(3)</w:t>
        </w:r>
      </w:hyperlink>
      <w:r>
        <w:rPr>
          <w:rFonts w:ascii="Times New Roman" w:hAnsi="Times New Roman"/>
          <w:b w:val="false"/>
          <w:i w:val="false"/>
          <w:color w:val="000000"/>
          <w:sz w:val="22"/>
        </w:rPr>
        <w:t xml:space="preserve"> will provide the city all necessary information and affidavits to enable the city to meet its application filing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Any city filing an application with the commission requesting inclusion of all or a part of the water costs for fire protection service in a utility’s rates or charges to customers covered by the city’s fire protection service will submit, at the time the application is filed, the following information with supporting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showing (1) the proposed method of allocating costs to affected customers, and (2) both the proposed per-customer rate increase and the average percentage increase by customer class, based on the utility’s current tariff, if the costs for fire protection water service are included in rates charged to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all bills rendered to the city by the utility for public fire protection water service during the preceding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number of utility customers served within the city’s corporate limits, by customer class, with an affidavit from the utility verifying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map illustrating both (1) the city’s corporate limits, and (2) the portion of the utility’s customer service area within the city’s corporate limits, with an affidavit from the utility verifying the customer service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utility showing that the notice required by Iowa Code section </w:t>
      </w:r>
      <w:hyperlink r:id="rId27">
        <w:r>
          <w:rPr>
            <w:rStyle w:val="Hyperlink"/>
            <w:rFonts w:ascii="Times New Roman" w:hAnsi="Times New Roman"/>
            <w:b w:val="false"/>
            <w:i w:val="false"/>
            <w:color w:val="000000"/>
            <w:sz w:val="22"/>
          </w:rPr>
          <w:t>476.6(14)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subrule </w:t>
      </w:r>
      <w:hyperlink r:id="rId28">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 xml:space="preserve"> has been provided and paid for by the applicant and mailed by the utility to all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The city will file with the commission for its approval, not less than 30 days before providing notification to affected customers, a copy of the proposed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notification. </w:t>
      </w:r>
      <w:r>
        <w:rPr>
          <w:rFonts w:ascii="Times New Roman" w:hAnsi="Times New Roman"/>
          <w:b w:val="false"/>
          <w:i w:val="false"/>
          <w:color w:val="000000"/>
          <w:sz w:val="22"/>
        </w:rPr>
        <w:t>The notice will advise affected customers of the proposed increase in rates and charges, the proposed effective date of the increase, the percentage increase by customer class, and include a written explanation of the reason for the increase. The notice will advise customers that the city is requesting the increase and that customers have the right to file with the commission a written objection to the proposed increase and to request a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deficiencies. </w:t>
      </w:r>
      <w:r>
        <w:rPr>
          <w:rFonts w:ascii="Times New Roman" w:hAnsi="Times New Roman"/>
          <w:b w:val="false"/>
          <w:i w:val="false"/>
          <w:color w:val="000000"/>
          <w:sz w:val="22"/>
        </w:rPr>
        <w:t>Within 30 days of the filing of the proposed notice, the city will be notified either of the approval of the notice or of any deficiencies in the notice and the corrective measures required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The city shall provide to the utility, for mailing, a sufficient number of copies of the approved notice and direct the utility either to (1) include the notice with the utility’s next regularly scheduled mailing to the affected customers, or (2) make a separate mailing of the notice to affected customers within 30 days of receiving from the city the requisite number of copies of the notice. The city will pay all expenses incurred by the utility in providing notice to affected customers. The utility may require payment prior to the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The written notice to affected customers will be mailed or delivered by the utility not more than 90 days before the application is filed and no later than the date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Within 30 days of the applicant filing the application with the commission, the commission will either approve the application or docket the case as a formal proceeding and establish a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commission will render its decision within six months of the date of the application. If the application is approved, the commission will order the utility providing the water service to the city to file tariffs implementing the commission’s decision. The utility will include annually a bill insert explaining to customers that the customers are being charged for water-related fire protection costs. The city will pay all costs incurred by the utility to file and implement the required tariff.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199—21.9</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water utility shall notify the commission about any incident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occurrence of a waterborne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issuance of a boil water advisory;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contamination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low-pressure event (less than 20 psi) that negatively affects the quality of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flood event affecting the utility’s plant or distribution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cyberattack affecting the well-being of the utility, its customers,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29">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will leave the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will notify the commission when the incident has ended and normal water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199—21.10</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water service assets. </w:t>
      </w:r>
      <w:r>
        <w:rPr>
          <w:rFonts w:ascii="Times New Roman" w:hAnsi="Times New Roman"/>
          <w:b w:val="false"/>
          <w:i w:val="false"/>
          <w:color w:val="000000"/>
          <w:sz w:val="22"/>
        </w:rPr>
        <w:t xml:space="preserve">A utility acquiring the whole or any substantial part of a water system with a purchase price of $3 million or more from a non-rate-regulated entity described in Iowa Code section </w:t>
      </w:r>
      <w:hyperlink r:id="rId30">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will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SANITARY SEWAGE UTILITIES</w:t>
      </w:r>
    </w:p>
    <w:p>
      <w:pPr>
        <w:spacing w:before="0" w:after="0"/>
        <w:ind w:left="120"/>
        <w:jc w:val="both"/>
      </w:pPr>
      <w:r>
        <w:rPr>
          <w:rFonts w:ascii="Times New Roman" w:hAnsi="Times New Roman"/>
          <w:b/>
          <w:i w:val="false"/>
          <w:color w:val="000000"/>
          <w:sz w:val="22"/>
        </w:rPr>
        <w:t>199—21.11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sanitary sewage disposal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Metered measurement of sanitary sewage. </w:t>
      </w:r>
      <w:r>
        <w:rPr>
          <w:rFonts w:ascii="Times New Roman" w:hAnsi="Times New Roman"/>
          <w:b w:val="false"/>
          <w:i w:val="false"/>
          <w:color w:val="000000"/>
          <w:sz w:val="22"/>
        </w:rPr>
        <w:t>All sanitary sewage disposal service sold by a utility shall be on the basis of metered measurement, except that the utility may at its option, pursuant to commission-approved tariffs, provide flat-rate or estimated service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disposal at the sewage treatment plant of delivered sewage where the amount of sewage can be readily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access to the meter cannot be gained.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meter requirements. </w:t>
      </w:r>
      <w:r>
        <w:rPr>
          <w:rFonts w:ascii="Times New Roman" w:hAnsi="Times New Roman"/>
          <w:b w:val="false"/>
          <w:i w:val="false"/>
          <w:color w:val="000000"/>
          <w:sz w:val="22"/>
        </w:rPr>
        <w:t xml:space="preserve">Sanitary sewage disposal service provided by a utility may be based upon the amount of water used by the customer as measured pursuant to rule </w:t>
      </w:r>
      <w:hyperlink r:id="rId31">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 xml:space="preserve">(476) or separately metered in substantial conformity with the requirements of rule </w:t>
      </w:r>
      <w:hyperlink r:id="rId32">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(476). The method of measuring sanitary sewage disposal service will be filed in the utility’s tariff and approved by the commission. A proposed tariff that includes provisions for separate sanitary sewage meters will describe the circumstances under which separate meters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Customer classes. </w:t>
      </w:r>
      <w:r>
        <w:rPr>
          <w:rFonts w:ascii="Times New Roman" w:hAnsi="Times New Roman"/>
          <w:b w:val="false"/>
          <w:i w:val="false"/>
          <w:color w:val="000000"/>
          <w:sz w:val="22"/>
        </w:rPr>
        <w:t>In establishing customer classes, the utility may consider the characteristics of the sewage generated by that customer class and the existence of any industrial pretreatment agreements. Customer classes are established pursuant to commission-approved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of the costs of installing and removing the service in excess of any salvage realized pursuant to commission-approved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Sewage meter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Sewage meter installation. </w:t>
      </w:r>
      <w:r>
        <w:rPr>
          <w:rFonts w:ascii="Times New Roman" w:hAnsi="Times New Roman"/>
          <w:b w:val="false"/>
          <w:i w:val="false"/>
          <w:color w:val="000000"/>
          <w:sz w:val="22"/>
        </w:rPr>
        <w:t>Each sanitary sewage utility shall adopt a written standard method or a method preapproved by the commission for meter installation, copies of which shall be available upon request. All meters will be set in place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of sewage meters and associated metering devices. </w:t>
      </w:r>
      <w:r>
        <w:rPr>
          <w:rFonts w:ascii="Times New Roman" w:hAnsi="Times New Roman"/>
          <w:b w:val="false"/>
          <w:i w:val="false"/>
          <w:color w:val="000000"/>
          <w:sz w:val="22"/>
        </w:rPr>
        <w:t>Each sanitary sewage utility shall maintain for each meter and associated metering device the following applicable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type, catalog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Registration unit of measurement (gallons or cubic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moving digits or dials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fixed zeros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Pressure rating of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location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installation and removal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shall be maintained identical to readings of the meter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will have a readable meter register at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Sewage 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Sewage meter reading interval. Reading of all meters used for determining charges to customers will be scheduled at least quarterly. An effort will be made to read meters on corresponding days of each meter reading period. The meter reading date may be advanced or postponed no more than ten days without adjustment of the billing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Customer sewage meter reading. The utility may permit the customer to supply the meter reading information by telephone, or electronically, provided a utility representative reads the meter at least once every 12 months and when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Readings and estimates in unusual situations. When a customer is connected or disconnected, or the regular meter reading date is substantially revised causing a given billing period to be longer or shorter than usual, such bills will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will more than three consecutive estimated bills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 xml:space="preserve">A copy of the utility’s current rules, if any, published or furnished by the utility for the use of engineers, architects, plumbing contractors, etc., covering meter and service installation will be filed with the commission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shall include a grossed-up amount for the income tax effect of such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is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will be grossed-up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means a separate record established and maintained by the utility, which includes by depositor: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amount of advance for construction provided by the customer;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advance is by cash or surety bond or equivalent surety;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by surety bond, all relevant information concerning the bond or equivalent surety;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amount of refund, if any, to which the depositor is entitled;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refund, if any, which has been made to the customer;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amount unrefunded;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construction project on which or work order pursuant to which the extension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 xml:space="preserve">means an estimated calculation of annual revenue based upon the following factors, including but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size of the facility to be used by the customer;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size and type of equipment to be used by the customer;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average annual amount of service required by the equipment;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 </w:t>
      </w:r>
      <w:r>
        <w:rPr>
          <w:rFonts w:ascii="Times New Roman" w:hAnsi="Times New Roman"/>
          <w:b w:val="false"/>
          <w:i w:val="false"/>
          <w:color w:val="000000"/>
          <w:sz w:val="22"/>
        </w:rPr>
        <w:t xml:space="preserve">means an estimated calculation of construction costs using average costs in accordance with good engineering practices and based upon the following factors: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Amount of service required or desired by the customer requesting the extension;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Size, location and characteristics of the extension, including all appurtenances;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Whether the ground is frozen or whether other adverse conditions exist. </w:t>
      </w:r>
    </w:p>
    <w:p>
      <w:pPr>
        <w:spacing w:before="0" w:after="0"/>
        <w:ind w:left="120"/>
        <w:jc w:val="both"/>
      </w:pPr>
      <w:r>
        <w:rPr>
          <w:rFonts w:ascii="Times New Roman" w:hAnsi="Times New Roman"/>
          <w:b w:val="false"/>
          <w:i w:val="false"/>
          <w:color w:val="000000"/>
          <w:sz w:val="22"/>
        </w:rPr>
        <w:t>The average cost per foot is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will estimated construction costs include costs associated with facilities built for the convenience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means a sanitary sewer main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all sewage treatment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will require, no more than 30 days prior to commencement of construction, the customer or developer to advance funds that are subject to refund as additional customers are attached. A contract between the utility and the customer that requires an advance by the customer to make plant additions will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attach within 30 days after completion of the sewer main extension,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sewer main extension is less than or equal to five times the estimated annual revenue calculated on the basis of similarly situated customers, the utility will finance and make the extension without requiring an advance for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sewer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sewer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will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will provide the utility a cash deposit equal to the amount of the surety bond, less refunds accumulated during the bonded period, plus the surcharge, or the depositors may pay the interest on the previous year’s bond and rebond the balance due to the utility for a second or third one-year period. Upon receipt of such cash deposit, the utility releases the surety bond. The cash deposit, less the surcharge, will be subject to refund by the utility for the remainder of the ten-year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will refund to the depositor for a period of ten years from the date of the original advance, a pro rata share for each service attachment to the sewer main extension. The pro rata refund will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sewer main extension exceeds the total estimated construction cost to provide the extension, the entire amount of the advance provided by the depositor will be refunded to the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sewer main extension is less than the total estimated construction cost to provide the extension, the amount to be refunded to the depositor will equal five times the estimated annual revenue of the customer attaching to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to a depositor exceed the amount of the advance for construction made by the depositor. Any amounts subject to refund will be paid by the utility without interest. At the expiration of the above-described ten-year period, the customer advance for construction record will be closed and the remaining balance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 xml:space="preserve">Utilities do not need to make extensions as described in subrule </w:t>
      </w:r>
      <w:hyperlink r:id="rId33">
        <w:r>
          <w:rPr>
            <w:rStyle w:val="Hyperlink"/>
            <w:rFonts w:ascii="Times New Roman" w:hAnsi="Times New Roman"/>
            <w:b w:val="false"/>
            <w:i w:val="false"/>
            <w:color w:val="000000"/>
            <w:sz w:val="22"/>
          </w:rPr>
          <w:t>21.11(5)</w:t>
        </w:r>
      </w:hyperlink>
      <w:r>
        <w:rPr>
          <w:rFonts w:ascii="Times New Roman" w:hAnsi="Times New Roman"/>
          <w:b w:val="false"/>
          <w:i w:val="false"/>
          <w:color w:val="000000"/>
          <w:sz w:val="22"/>
        </w:rPr>
        <w:t xml:space="preserve"> unless the extension will be of a permanent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A utility may make a contract with a customer in a different manner, if the contract provides a more favorable method of extension to the customer, so long as no discrimination is practiced among customers or depositors.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An individual, partnership, or company may construct its own extension; however, it will meet, at a minimum, the applicable portions of the standards in rule </w:t>
      </w:r>
      <w:hyperlink r:id="rId34">
        <w:r>
          <w:rPr>
            <w:rStyle w:val="Hyperlink"/>
            <w:rFonts w:ascii="Times New Roman" w:hAnsi="Times New Roman"/>
            <w:b w:val="false"/>
            <w:i w:val="false"/>
            <w:color w:val="000000"/>
            <w:sz w:val="22"/>
          </w:rPr>
          <w:t>199—21.13</w:t>
        </w:r>
      </w:hyperlink>
      <w:r>
        <w:rPr>
          <w:rFonts w:ascii="Times New Roman" w:hAnsi="Times New Roman"/>
          <w:b w:val="false"/>
          <w:i w:val="false"/>
          <w:color w:val="000000"/>
          <w:sz w:val="22"/>
        </w:rPr>
        <w:t xml:space="preserve">(476) and such other reasonable standards as the utility may employ in constructing extensions, so long as the standards do not mandate a particular supplier. All connections to the utility-owned equipment or facilities are to be made by the utility at the applicant’s expense. At the time of attachment to the utility-owned equipment or facilities, the applicant will transfer ownership of the extension to the utility and the utility will book the original cost of construction of the extension as an advance for construction, and make refunds to the applicant in accordance with paragraph </w:t>
      </w:r>
      <w:hyperlink r:id="rId35">
        <w:r>
          <w:rPr>
            <w:rStyle w:val="Hyperlink"/>
            <w:rFonts w:ascii="Times New Roman" w:hAnsi="Times New Roman"/>
            <w:b w:val="false"/>
            <w:i w:val="false"/>
            <w:color w:val="000000"/>
            <w:sz w:val="22"/>
          </w:rPr>
          <w:t>21.11(5)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will be responsible for the operation and maintenance of the extension after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21.11(6)</w:t>
      </w:r>
      <w:r>
        <w:rPr>
          <w:rFonts w:ascii="Times New Roman" w:hAnsi="Times New Roman"/>
          <w:b w:val="false"/>
          <w:i w:val="false"/>
          <w:color w:val="000000"/>
          <w:sz w:val="22"/>
        </w:rPr>
        <w:t> </w:t>
      </w:r>
      <w:r>
        <w:rPr>
          <w:rFonts w:ascii="Times New Roman" w:hAnsi="Times New Roman"/>
          <w:b w:val="false"/>
          <w:i/>
          <w:color w:val="000000"/>
          <w:sz w:val="22"/>
        </w:rPr>
        <w:t xml:space="preserve">Sanitary sewer service connections. </w:t>
      </w:r>
      <w:r>
        <w:rPr>
          <w:rFonts w:ascii="Times New Roman" w:hAnsi="Times New Roman"/>
          <w:b w:val="false"/>
          <w:i w:val="false"/>
          <w:color w:val="000000"/>
          <w:sz w:val="22"/>
        </w:rPr>
        <w:t>The utility will supervise the installation and maintenance of that portion of the sanitary sewer service line from the main to and including the customer’s meter or, if the customer does not have a separate meter for sanitary sewage disposal service, to the point where the sanitary sewage line exits the customer’s residence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 shall be readily accessible for maintenance and reading, and, so far as practicable, the location should be mutually acceptable to the customer and the utility. The meter is to be installed so as to be unaffected by climatic conditions and reasonably secure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will be located within the premises served or in a common location accessible to the customers and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199—21.12</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36">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form contained herein will file its proposed form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will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will compute interest on customer deposits at 7.5 percent per annum, compounded annually. Interest for prior periods will be computed at the rate specified by the rule in effect for the period in question. Interest will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37">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38">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will bill each customer as promptly as possible following the reading of the customer’s meter. Each bill, including the customer’s receipt,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units metered,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applicable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gross and net amounts of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considered rendered to the customer when deposited in the U.S. mail with postage prepaid, or sent via electronic delivery with customer consent. If delivery is by other than U.S. mail, the bill is considered rendered when delivered to the last-known address, including electronic addresses, of the party responsible for payment. The customer will have a minimum of 20 days between the rendering of a bill and the date by which the account becomes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will not exceed 1.5 percent per month of the past due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will be granted at least one complete forgiveness of a late payment charge each calendar year. The utility’s rules will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val="false"/>
          <w:i w:val="false"/>
          <w:color w:val="000000"/>
          <w:sz w:val="22"/>
        </w:rPr>
        <w:t xml:space="preserve">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 as defined in subrule </w:t>
      </w:r>
      <w:hyperlink r:id="rId39">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40">
        <w:r>
          <w:rPr>
            <w:rStyle w:val="Hyperlink"/>
            <w:rFonts w:ascii="Times New Roman" w:hAnsi="Times New Roman"/>
            <w:b w:val="false"/>
            <w:i w:val="false"/>
            <w:color w:val="000000"/>
            <w:sz w:val="22"/>
          </w:rPr>
          <w:t>21.12(6)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meter or billing errors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a person no longer a customer of the utility, a notice will be mailed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paragraph </w:t>
      </w:r>
      <w:hyperlink r:id="rId41">
        <w:r>
          <w:rPr>
            <w:rStyle w:val="Hyperlink"/>
            <w:rFonts w:ascii="Times New Roman" w:hAnsi="Times New Roman"/>
            <w:b w:val="false"/>
            <w:i w:val="false"/>
            <w:color w:val="000000"/>
            <w:sz w:val="22"/>
          </w:rPr>
          <w:t>21.12(6)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cannot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will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w:t>
      </w:r>
      <w:r>
        <w:rPr>
          <w:rFonts w:ascii="Times New Roman" w:hAnsi="Times New Roman"/>
          <w:b w:val="false"/>
          <w:i w:val="false"/>
          <w:color w:val="000000"/>
          <w:sz w:val="22"/>
        </w:rPr>
        <w:t> </w:t>
      </w:r>
      <w:r>
        <w:rPr>
          <w:rFonts w:ascii="Times New Roman" w:hAnsi="Times New Roman"/>
          <w:b w:val="false"/>
          <w:i/>
          <w:color w:val="000000"/>
          <w:sz w:val="22"/>
        </w:rPr>
        <w:t xml:space="preserve">Refusal of service. </w:t>
      </w:r>
      <w:r>
        <w:rPr>
          <w:rFonts w:ascii="Times New Roman" w:hAnsi="Times New Roman"/>
          <w:b w:val="false"/>
          <w:i w:val="false"/>
          <w:color w:val="000000"/>
          <w:sz w:val="22"/>
        </w:rPr>
        <w:t xml:space="preserve">Service may be refused only for the reasons listed in paragraphs </w:t>
      </w:r>
      <w:hyperlink r:id="rId42">
        <w:r>
          <w:rPr>
            <w:rStyle w:val="Hyperlink"/>
            <w:rFonts w:ascii="Times New Roman" w:hAnsi="Times New Roman"/>
            <w:b w:val="false"/>
            <w:i w:val="false"/>
            <w:color w:val="000000"/>
            <w:sz w:val="22"/>
          </w:rPr>
          <w:t>21.12(7)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below. Unless otherwise stated, the customer shall be permitted at least 12 days, excluding Sundays and legal holidays, following mailing of notice of refusal in which to take necessary action before service is refused. When a person is refused service, the utility shall notify the person promptly of the reason for the refusal to serve and of the person’s right to file a complaint about the utility’s decision with the commission. Refusal of service shall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tampering with the equipment furnished and owned by the utility or obtaining service by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its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21.12(8)</w:t>
      </w:r>
      <w:r>
        <w:rPr>
          <w:rFonts w:ascii="Times New Roman" w:hAnsi="Times New Roman"/>
          <w:b w:val="false"/>
          <w:i w:val="false"/>
          <w:color w:val="000000"/>
          <w:sz w:val="22"/>
        </w:rPr>
        <w:t> </w:t>
      </w:r>
      <w:r>
        <w:rPr>
          <w:rFonts w:ascii="Times New Roman" w:hAnsi="Times New Roman"/>
          <w:b w:val="false"/>
          <w:i/>
          <w:color w:val="000000"/>
          <w:sz w:val="22"/>
        </w:rPr>
        <w:t xml:space="preserve">Method of refusing service. </w:t>
      </w:r>
      <w:r>
        <w:rPr>
          <w:rFonts w:ascii="Times New Roman" w:hAnsi="Times New Roman"/>
          <w:b w:val="false"/>
          <w:i w:val="false"/>
          <w:color w:val="000000"/>
          <w:sz w:val="22"/>
        </w:rPr>
        <w:t>A utility may refuse sanitary sewage disposal service to a residential customer by disconnecting water service or by arranging for the disconnection of water service pursuant to an agreement with the entity providing water service. Except in the event of an emergency or with prior written authorization from the commission, a utility shall not refuse sanitary sewage disposal service to a residential customer by physically disconnecting the customer’s sanitary sewage service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sanitary sewage disposal service where the cause of discontinuance has been corrected, the utility will promptly restore service to the customer. The utility may make a reasonable charge applied uniformly for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does not constitute sufficient cause for refusal of service to a present or prospective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 means any objection to the charge, facilities, or quality of service of a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will investigate promptly and thoroughly and keep a record of all complaints received from its customers that will enable the utility to review its procedures and actions. The record shall show the name and address of the complainant, the date and nature of the complaint, and the complaint’s disposition and the date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the original complaint shall be kept for a period of three years after final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21.12(12)</w:t>
      </w:r>
      <w:r>
        <w:rPr>
          <w:rFonts w:ascii="Times New Roman" w:hAnsi="Times New Roman"/>
          <w:b w:val="false"/>
          <w:i w:val="false"/>
          <w:color w:val="000000"/>
          <w:sz w:val="22"/>
        </w:rPr>
        <w:t> </w:t>
      </w:r>
      <w:r>
        <w:rPr>
          <w:rFonts w:ascii="Times New Roman" w:hAnsi="Times New Roman"/>
          <w:b w:val="false"/>
          <w:i/>
          <w:color w:val="000000"/>
          <w:sz w:val="22"/>
        </w:rPr>
        <w:t xml:space="preserve">Reasonable payment agreement. </w:t>
      </w:r>
      <w:r>
        <w:rPr>
          <w:rFonts w:ascii="Times New Roman" w:hAnsi="Times New Roman"/>
          <w:b w:val="false"/>
          <w:i w:val="false"/>
          <w:color w:val="000000"/>
          <w:sz w:val="22"/>
        </w:rPr>
        <w:t xml:space="preserve">A customer may enter into a reasonable payment agreement as defined in subrule </w:t>
      </w:r>
      <w:hyperlink r:id="rId43">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199—21.13</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collection system will conform to good standard engineering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collection system in order to determine the necessity for replacement and repair. The frequency of the various inspections will be based on the utility’s experience and accepted good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199—21.14</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sanitary sewage disposal service. </w:t>
      </w:r>
      <w:r>
        <w:rPr>
          <w:rFonts w:ascii="Times New Roman" w:hAnsi="Times New Roman"/>
          <w:b w:val="false"/>
          <w:i w:val="false"/>
          <w:color w:val="000000"/>
          <w:sz w:val="22"/>
        </w:rPr>
        <w:t xml:space="preserve">If a utility uses separate meters to measure the volume of sewage disposal, the separate meters will be tested in substantial conformity with the requirements of rule </w:t>
      </w:r>
      <w:hyperlink r:id="rId44">
        <w:r>
          <w:rPr>
            <w:rStyle w:val="Hyperlink"/>
            <w:rFonts w:ascii="Times New Roman" w:hAnsi="Times New Roman"/>
            <w:b w:val="false"/>
            <w:i w:val="false"/>
            <w:color w:val="000000"/>
            <w:sz w:val="22"/>
          </w:rPr>
          <w:t>199—21.6</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199—21.15</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The utility shall maintain and operate any sewage treatment facility with adequate capacity and equipment to convey all sewage to the plant and to treat the sewage to the quality required by all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The design and construction of the utility’s collection system, treatment facility, and all additions and modifications shall conform to the requirements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Reasonable efforts to prevent. </w:t>
      </w:r>
      <w:r>
        <w:rPr>
          <w:rFonts w:ascii="Times New Roman" w:hAnsi="Times New Roman"/>
          <w:b w:val="false"/>
          <w:i w:val="false"/>
          <w:color w:val="000000"/>
          <w:sz w:val="22"/>
        </w:rPr>
        <w:t>The utility will make reasonable efforts to eliminate or prevent the entry of surface water or groundwater into its sanitary sewage system or the unlawful release of untreated sanitary sewage. The utility may request assistance from any appropriate state, county, or municipal authorities, but such a request does not relieve the utility of its responsibility to make reasonable efforts to eliminate or prevent the entry of surface water or groundwater and to contain sewage. The utility will notify the commission when it requests assistance from other state or local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color w:val="000000"/>
          <w:sz w:val="22"/>
        </w:rPr>
        <w:t xml:space="preserve">Bypass and upset. </w:t>
      </w:r>
      <w:r>
        <w:rPr>
          <w:rFonts w:ascii="Times New Roman" w:hAnsi="Times New Roman"/>
          <w:b w:val="false"/>
          <w:i w:val="false"/>
          <w:color w:val="000000"/>
          <w:sz w:val="22"/>
        </w:rPr>
        <w:t xml:space="preserve">The utility will comply with the bypass and upset provisions of rule </w:t>
      </w:r>
      <w:hyperlink r:id="rId45">
        <w:r>
          <w:rPr>
            <w:rStyle w:val="Hyperlink"/>
            <w:rFonts w:ascii="Times New Roman" w:hAnsi="Times New Roman"/>
            <w:b w:val="false"/>
            <w:i w:val="false"/>
            <w:color w:val="000000"/>
            <w:sz w:val="22"/>
          </w:rPr>
          <w:t>567—63.6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shall make a reasonable effort to prevent interruptions of sanitary sewage service. When an emergency interruption occurs, the utility will reestablish service with the shortest possible delay consistent with the safety of its customers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utility finds it necessary to schedule an interruption of service, the utility shall make a reasonable effort to notify all customers to be affected by the interruption, including the time and anticipated duration of the interruption. Interruptions shall be scheduled at hours that create the least inconvenience to the customer. The utility shall notify the commission when sanitary sewage service is interrupted. Except for emergencies, a utility shall not interrupt sanitary sewage disposal service unless water service has been disconnected at least 24 hours prior.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shall retain records of interruptions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21.15(6)</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Sanitary sewage service is considered a separate class of service for ratemaking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199—21.16</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sanitary sewage utility shall notify the commission about any incident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unlawful or uncontained release of sewage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flood event affecting the utility’s plant or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cyberattack affecting the well-being of the utility, its customers, or the environment;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event that causes serious adverse impact on the health of people or the environment or interrupts service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46">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will leave the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 xml:space="preserve">The utility will notify the commission when the incident has ended and normal sanitary sewage service has been restored.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199—21.17</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sanitary sewage disposal service assets. </w:t>
      </w:r>
      <w:r>
        <w:rPr>
          <w:rFonts w:ascii="Times New Roman" w:hAnsi="Times New Roman"/>
          <w:b w:val="false"/>
          <w:i w:val="false"/>
          <w:color w:val="000000"/>
          <w:sz w:val="22"/>
        </w:rPr>
        <w:t xml:space="preserve">A utility acquiring the whole or any substantial part of a sanitary sewage system with a purchase price of $3 million or more from a non-rate-regulated entity described in Iowa Code section </w:t>
      </w:r>
      <w:hyperlink r:id="rId47">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will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STORM WATER DRAINAGE UTILITIES</w:t>
      </w:r>
    </w:p>
    <w:p>
      <w:pPr>
        <w:spacing w:before="0" w:after="0"/>
        <w:ind w:left="120"/>
        <w:jc w:val="both"/>
      </w:pPr>
      <w:r>
        <w:rPr>
          <w:rFonts w:ascii="Times New Roman" w:hAnsi="Times New Roman"/>
          <w:b/>
          <w:i w:val="false"/>
          <w:color w:val="000000"/>
          <w:sz w:val="22"/>
        </w:rPr>
        <w:t>199—21.18</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Design and maintenance. </w:t>
      </w:r>
      <w:r>
        <w:rPr>
          <w:rFonts w:ascii="Times New Roman" w:hAnsi="Times New Roman"/>
          <w:b w:val="false"/>
          <w:i w:val="false"/>
          <w:color w:val="000000"/>
          <w:sz w:val="22"/>
        </w:rPr>
        <w:t>Systems for storm water drainage by piped collection shall be designed and maintained in conformance with good engineering practices. Such systems will be designed and maintained so as to minimize flooding and ponding outside of areas designed to retain storm water and to reasonably provide for the drainage of normally anticipated rainfall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Storm water drainage systems shall be inspected on a routine basis to identify and correct the blockage or obstruction of intake structures. The frequency of such inspections will be based upon the utility’s experience and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color w:val="000000"/>
          <w:sz w:val="22"/>
        </w:rPr>
        <w:t xml:space="preserve">Connections. </w:t>
      </w:r>
      <w:r>
        <w:rPr>
          <w:rFonts w:ascii="Times New Roman" w:hAnsi="Times New Roman"/>
          <w:b w:val="false"/>
          <w:i w:val="false"/>
          <w:color w:val="000000"/>
          <w:sz w:val="22"/>
        </w:rPr>
        <w:t>Utilities providing piped storm water drainage shall control the installation and maintenance of the piped connection up to and including all storm water intakes. Connections shall be adequate to receive all storm water drainage from properties upgradient of the storm water drainage connection unless other upgradient connections are provided. Connections shall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21.18(4)</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Rates for storm water drainage service provided by a utility may be based upon the acreage drained, or by some other method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21.18(5)</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Storm water drainage service is considered a separate class of service for ratemaking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199—21.19</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 rules of practice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48">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form contained herein will file its proposed form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shall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shall compute interest on customer deposits at 7.5 percent per annum, compounded annually. Interest for prior periods will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49">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50">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199—21.20</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utility shall notify the commission about any incident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non-storm water discharge from the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flood event affecting the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cyberattack affecting the well-being of the utility, its customers, or the environment;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event that causes a serious adverse impact on the health of people or the environment or interrupts service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51">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will leave the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will notify the commission when the incident has ended and normal storm water drainage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199—21.21</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storm water drainage service assets. </w:t>
      </w:r>
      <w:r>
        <w:rPr>
          <w:rFonts w:ascii="Times New Roman" w:hAnsi="Times New Roman"/>
          <w:b w:val="false"/>
          <w:i w:val="false"/>
          <w:color w:val="000000"/>
          <w:sz w:val="22"/>
        </w:rPr>
        <w:t xml:space="preserve">A utility acquiring the whole or any substantial part of a storm water drainage system with a purchase price of $3 million or more from a non-rate-regulated entity described in Iowa Code section </w:t>
      </w:r>
      <w:hyperlink r:id="rId52">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will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476.6(18)</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6/11/68; amended 6/27/75]</w:t>
      </w:r>
    </w:p>
    <w:p>
      <w:pPr>
        <w:spacing w:before="0" w:after="0"/>
        <w:ind w:left="120"/>
        <w:jc w:val="center"/>
      </w:pPr>
      <w:r>
        <w:rPr>
          <w:rFonts w:ascii="Times New Roman" w:hAnsi="Times New Roman"/>
          <w:b w:val="false"/>
          <w:i w:val="false"/>
          <w:color w:val="000000"/>
          <w:sz w:val="21"/>
        </w:rPr>
        <w:t>[Filed 9/30/77, Notice 6/9/77—published 10/19/77, effective 11/23/77]</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1/27/84, Notice 11/23/83—published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9/21/84, Notice 7/18/84—published 10/10/84, effective 11/14/84]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2/28/90, Notice 11/1/89—published 3/21/90, effective 4/25/90]</w:t>
      </w:r>
    </w:p>
    <w:p>
      <w:pPr>
        <w:spacing w:before="0" w:after="0"/>
        <w:ind w:left="120"/>
        <w:jc w:val="center"/>
      </w:pPr>
      <w:r>
        <w:rPr>
          <w:rFonts w:ascii="Times New Roman" w:hAnsi="Times New Roman"/>
          <w:b w:val="false"/>
          <w:i w:val="false"/>
          <w:color w:val="000000"/>
          <w:sz w:val="21"/>
        </w:rPr>
        <w:t>[Filed 8/31/90, Notice 4/4/90—published 9/19/90, effective 10/24/90]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1959C</w:t>
      </w:r>
      <w:r>
        <w:rPr>
          <w:rFonts w:ascii="Times New Roman" w:hAnsi="Times New Roman"/>
          <w:b w:val="false"/>
          <w:i w:val="false"/>
          <w:color w:val="000000"/>
          <w:sz w:val="21"/>
        </w:rPr>
        <w:t xml:space="preserve"> (Notice ARC 1848C,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4873C</w:t>
      </w:r>
      <w:r>
        <w:rPr>
          <w:rFonts w:ascii="Times New Roman" w:hAnsi="Times New Roman"/>
          <w:b w:val="false"/>
          <w:i w:val="false"/>
          <w:color w:val="000000"/>
          <w:sz w:val="21"/>
        </w:rPr>
        <w:t xml:space="preserve"> (Notice ARC 4536C, IAB 7/17/19)</w:t>
      </w:r>
      <w:r>
        <w:rPr>
          <w:rFonts w:ascii="Times New Roman" w:hAnsi="Times New Roman"/>
          <w:b w:val="false"/>
          <w:i w:val="false"/>
          <w:color w:val="000000"/>
          <w:sz w:val="21"/>
        </w:rPr>
        <w:t>, IAB 1/15/20, effective 2/19/20]</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8846C</w:t>
      </w:r>
      <w:r>
        <w:rPr>
          <w:rFonts w:ascii="Times New Roman" w:hAnsi="Times New Roman"/>
          <w:b w:val="false"/>
          <w:i w:val="false"/>
          <w:color w:val="000000"/>
          <w:sz w:val="21"/>
        </w:rPr>
        <w:t xml:space="preserve"> (Notice ARC 8229C, IAB 10/2/24)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Effective date of 21.3(12)</w:t>
      </w:r>
      <w:r>
        <w:rPr>
          <w:rFonts w:ascii="Times New Roman" w:hAnsi="Times New Roman"/>
          <w:b w:val="false"/>
          <w:i/>
          <w:color w:val="000000"/>
          <w:sz w:val="22"/>
        </w:rPr>
        <w:t>“a,” “b”</w:t>
      </w:r>
      <w:r>
        <w:rPr>
          <w:rFonts w:ascii="Times New Roman" w:hAnsi="Times New Roman"/>
          <w:b w:val="false"/>
          <w:i w:val="false"/>
          <w:color w:val="000000"/>
          <w:sz w:val="22"/>
        </w:rPr>
        <w:t xml:space="preserve">(1) and (3), and </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21.4(2)</w:t>
      </w:r>
      <w:r>
        <w:rPr>
          <w:rFonts w:ascii="Times New Roman" w:hAnsi="Times New Roman"/>
          <w:b w:val="false"/>
          <w:i/>
          <w:color w:val="000000"/>
          <w:sz w:val="22"/>
        </w:rPr>
        <w:t>“e”</w:t>
      </w:r>
      <w:r>
        <w:rPr>
          <w:rFonts w:ascii="Times New Roman" w:hAnsi="Times New Roman"/>
          <w:b w:val="false"/>
          <w:i w:val="false"/>
          <w:color w:val="000000"/>
          <w:sz w:val="22"/>
        </w:rPr>
        <w:t xml:space="preserve"> delayed until the adjournment of the 1994 Session of the General Assembly pursuant to Iowa Code section </w:t>
      </w:r>
      <w:hyperlink r:id="rId59">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1.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ac/chapter/199.14.pdf" Type="http://schemas.openxmlformats.org/officeDocument/2006/relationships/hyperlink" Id="rId7"/>
    <Relationship TargetMode="External" Target="https://www.legis.iowa.gov/docs/iac/rule/199.21.4.pdf" Type="http://schemas.openxmlformats.org/officeDocument/2006/relationships/hyperlink" Id="rId8"/>
    <Relationship TargetMode="External" Target="https://www.legis.iowa.gov/docs/iac/rule/199.23.1.pdf" Type="http://schemas.openxmlformats.org/officeDocument/2006/relationships/hyperlink" Id="rId9"/>
    <Relationship TargetMode="External" Target="https://www.legis.iowa.gov/docs/iac/rule/199.21.5.pdf" Type="http://schemas.openxmlformats.org/officeDocument/2006/relationships/hyperlink" Id="rId10"/>
    <Relationship TargetMode="External" Target="https://www.legis.iowa.gov/docs/iac/rule/199.21.3.pdf" Type="http://schemas.openxmlformats.org/officeDocument/2006/relationships/hyperlink" Id="rId11"/>
    <Relationship TargetMode="External" Target="mailto:customer@iuc.iowa.gov" Type="http://schemas.openxmlformats.org/officeDocument/2006/relationships/hyperlink" Id="rId12"/>
    <Relationship TargetMode="External" Target="https://www.legis.iowa.gov/docs/ico/chapter/556.4.pdf" Type="http://schemas.openxmlformats.org/officeDocument/2006/relationships/hyperlink" Id="rId13"/>
    <Relationship TargetMode="External" Target="https://www.legis.iowa.gov/docs/ico/chapter/556.13.pdf" Type="http://schemas.openxmlformats.org/officeDocument/2006/relationships/hyperlink" Id="rId14"/>
    <Relationship TargetMode="External" Target="https://www.legis.iowa.gov/docs/iac/rule/199.21.4.pdf" Type="http://schemas.openxmlformats.org/officeDocument/2006/relationships/hyperlink" Id="rId15"/>
    <Relationship TargetMode="External" Target="https://www.legis.iowa.gov/docs/iac/rule/199.21.4.pdf" Type="http://schemas.openxmlformats.org/officeDocument/2006/relationships/hyperlink" Id="rId16"/>
    <Relationship TargetMode="External" Target="https://www.legis.iowa.gov/docs/iac/rule/199.21.4.pdf" Type="http://schemas.openxmlformats.org/officeDocument/2006/relationships/hyperlink" Id="rId17"/>
    <Relationship TargetMode="External" Target="https://www.legis.iowa.gov/docs/iac/rule/199.21.4.pdf" Type="http://schemas.openxmlformats.org/officeDocument/2006/relationships/hyperlink" Id="rId18"/>
    <Relationship TargetMode="External" Target="https://www.legis.iowa.gov/docs/iac/rule/199.21.4.pdf" Type="http://schemas.openxmlformats.org/officeDocument/2006/relationships/hyperlink" Id="rId19"/>
    <Relationship TargetMode="External" Target="mailto:customer@iuc.iowa.gov" Type="http://schemas.openxmlformats.org/officeDocument/2006/relationships/hyperlink" Id="rId20"/>
    <Relationship TargetMode="External" Target="https://www.legis.iowa.gov/docs/iac/rule/199.21.4.pdf" Type="http://schemas.openxmlformats.org/officeDocument/2006/relationships/hyperlink" Id="rId21"/>
    <Relationship TargetMode="External" Target="https://www.legis.iowa.gov/docs/iac/rule/199.21.4.pdf" Type="http://schemas.openxmlformats.org/officeDocument/2006/relationships/hyperlink" Id="rId22"/>
    <Relationship TargetMode="External" Target="https://www.legis.iowa.gov/docs/iac/rule/199.21.4.pdf" Type="http://schemas.openxmlformats.org/officeDocument/2006/relationships/hyperlink" Id="rId23"/>
    <Relationship TargetMode="External" Target="https://www.legis.iowa.gov/docs/iac/rule/199.21.6.pdf" Type="http://schemas.openxmlformats.org/officeDocument/2006/relationships/hyperlink" Id="rId24"/>
    <Relationship TargetMode="External" Target="https://www.legis.iowa.gov/docs/iac/rule/199.21.6.pdf" Type="http://schemas.openxmlformats.org/officeDocument/2006/relationships/hyperlink" Id="rId25"/>
    <Relationship TargetMode="External" Target="https://www.legis.iowa.gov/docs/iac/rule/199.21.8.pdf" Type="http://schemas.openxmlformats.org/officeDocument/2006/relationships/hyperlink" Id="rId26"/>
    <Relationship TargetMode="External" Target="https://www.legis.iowa.gov/docs/ico/chapter/476.6.pdf" Type="http://schemas.openxmlformats.org/officeDocument/2006/relationships/hyperlink" Id="rId27"/>
    <Relationship TargetMode="External" Target="https://www.legis.iowa.gov/docs/iac/rule/199.21.8.pdf" Type="http://schemas.openxmlformats.org/officeDocument/2006/relationships/hyperlink" Id="rId28"/>
    <Relationship TargetMode="External" Target="mailto:dutyofficer@iuc.iowa.gov" Type="http://schemas.openxmlformats.org/officeDocument/2006/relationships/hyperlink" Id="rId29"/>
    <Relationship TargetMode="External" Target="https://www.legis.iowa.gov/docs/ico/chapter/476.1.pdf" Type="http://schemas.openxmlformats.org/officeDocument/2006/relationships/hyperlink" Id="rId30"/>
    <Relationship TargetMode="External" Target="https://www.legis.iowa.gov/docs/iac/rule/199.21.3.pdf" Type="http://schemas.openxmlformats.org/officeDocument/2006/relationships/hyperlink" Id="rId31"/>
    <Relationship TargetMode="External" Target="https://www.legis.iowa.gov/docs/iac/rule/199.21.3.pdf" Type="http://schemas.openxmlformats.org/officeDocument/2006/relationships/hyperlink" Id="rId32"/>
    <Relationship TargetMode="External" Target="https://www.legis.iowa.gov/docs/iac/rule/199.21.11.pdf" Type="http://schemas.openxmlformats.org/officeDocument/2006/relationships/hyperlink" Id="rId33"/>
    <Relationship TargetMode="External" Target="https://www.legis.iowa.gov/docs/iac/rule/199.21.13.pdf" Type="http://schemas.openxmlformats.org/officeDocument/2006/relationships/hyperlink" Id="rId34"/>
    <Relationship TargetMode="External" Target="https://www.legis.iowa.gov/docs/iac/rule/199.21.11.pdf" Type="http://schemas.openxmlformats.org/officeDocument/2006/relationships/hyperlink" Id="rId35"/>
    <Relationship TargetMode="External" Target="mailto:customer@iuc.iowa.gov" Type="http://schemas.openxmlformats.org/officeDocument/2006/relationships/hyperlink" Id="rId36"/>
    <Relationship TargetMode="External" Target="https://www.legis.iowa.gov/docs/ico/chapter/556.4.pdf" Type="http://schemas.openxmlformats.org/officeDocument/2006/relationships/hyperlink" Id="rId37"/>
    <Relationship TargetMode="External" Target="https://www.legis.iowa.gov/docs/ico/chapter/556.13.pdf" Type="http://schemas.openxmlformats.org/officeDocument/2006/relationships/hyperlink" Id="rId38"/>
    <Relationship TargetMode="External" Target="https://www.legis.iowa.gov/docs/iac/rule/199.21.4.pdf" Type="http://schemas.openxmlformats.org/officeDocument/2006/relationships/hyperlink" Id="rId39"/>
    <Relationship TargetMode="External" Target="https://www.legis.iowa.gov/docs/iac/rule/199.21.12.pdf" Type="http://schemas.openxmlformats.org/officeDocument/2006/relationships/hyperlink" Id="rId40"/>
    <Relationship TargetMode="External" Target="https://www.legis.iowa.gov/docs/iac/rule/199.21.12.pdf" Type="http://schemas.openxmlformats.org/officeDocument/2006/relationships/hyperlink" Id="rId41"/>
    <Relationship TargetMode="External" Target="https://www.legis.iowa.gov/docs/iac/rule/199.21.12.pdf" Type="http://schemas.openxmlformats.org/officeDocument/2006/relationships/hyperlink" Id="rId42"/>
    <Relationship TargetMode="External" Target="https://www.legis.iowa.gov/docs/iac/rule/199.21.4.pdf" Type="http://schemas.openxmlformats.org/officeDocument/2006/relationships/hyperlink" Id="rId43"/>
    <Relationship TargetMode="External" Target="https://www.legis.iowa.gov/docs/iac/rule/199.21.6.pdf" Type="http://schemas.openxmlformats.org/officeDocument/2006/relationships/hyperlink" Id="rId44"/>
    <Relationship TargetMode="External" Target="https://www.legis.iowa.gov/docs/iac/rule/567.63.6.pdf" Type="http://schemas.openxmlformats.org/officeDocument/2006/relationships/hyperlink" Id="rId45"/>
    <Relationship TargetMode="External" Target="mailto:dutyofficer@iuc.iowa.gov" Type="http://schemas.openxmlformats.org/officeDocument/2006/relationships/hyperlink" Id="rId46"/>
    <Relationship TargetMode="External" Target="https://www.legis.iowa.gov/docs/ico/chapter/476.1.pdf" Type="http://schemas.openxmlformats.org/officeDocument/2006/relationships/hyperlink" Id="rId47"/>
    <Relationship TargetMode="External" Target="mailto:customer@iuc.iowa.gov" Type="http://schemas.openxmlformats.org/officeDocument/2006/relationships/hyperlink" Id="rId48"/>
    <Relationship TargetMode="External" Target="https://www.legis.iowa.gov/docs/ico/chapter/556.4.pdf" Type="http://schemas.openxmlformats.org/officeDocument/2006/relationships/hyperlink" Id="rId49"/>
    <Relationship TargetMode="External" Target="https://www.legis.iowa.gov/docs/ico/chapter/556.13.pdf" Type="http://schemas.openxmlformats.org/officeDocument/2006/relationships/hyperlink" Id="rId50"/>
    <Relationship TargetMode="External" Target="mailto:dutyofficer@iuc.iowa.gov" Type="http://schemas.openxmlformats.org/officeDocument/2006/relationships/hyperlink" Id="rId51"/>
    <Relationship TargetMode="External" Target="https://www.legis.iowa.gov/docs/ico/chapter/476.1.pdf" Type="http://schemas.openxmlformats.org/officeDocument/2006/relationships/hyperlink" Id="rId52"/>
    <Relationship TargetMode="External" Target="https://www.legis.iowa.gov/docs/ico/chapter/17A.3.pdf" Type="http://schemas.openxmlformats.org/officeDocument/2006/relationships/hyperlink" Id="rId53"/>
    <Relationship TargetMode="External" Target="https://www.legis.iowa.gov/docs/ico/chapter/474.5.pdf" Type="http://schemas.openxmlformats.org/officeDocument/2006/relationships/hyperlink" Id="rId54"/>
    <Relationship TargetMode="External" Target="https://www.legis.iowa.gov/docs/ico/chapter/476.1.pdf" Type="http://schemas.openxmlformats.org/officeDocument/2006/relationships/hyperlink" Id="rId55"/>
    <Relationship TargetMode="External" Target="https://www.legis.iowa.gov/docs/ico/chapter/476.2.pdf" Type="http://schemas.openxmlformats.org/officeDocument/2006/relationships/hyperlink" Id="rId56"/>
    <Relationship TargetMode="External" Target="https://www.legis.iowa.gov/docs/ico/chapter/476.6.pdf" Type="http://schemas.openxmlformats.org/officeDocument/2006/relationships/hyperlink" Id="rId57"/>
    <Relationship TargetMode="External" Target="https://www.legis.iowa.gov/docs/ico/chapter/476.8.pdf" Type="http://schemas.openxmlformats.org/officeDocument/2006/relationships/hyperlink" Id="rId58"/>
    <Relationship TargetMode="External" Target="https://www.legis.iowa.gov/docs/ico/chapter/17A.8.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