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SERVICE SUPPLIED BY RATE-REGULATED GAS UTILITIES</w:t>
      </w:r>
    </w:p>
    <w:p>
      <w:pPr>
        <w:spacing w:before="0" w:after="0"/>
        <w:ind w:left="120"/>
        <w:jc w:val="center"/>
      </w:pPr>
      <w:r>
        <w:rPr>
          <w:rFonts w:ascii="Times New Roman" w:hAnsi="Times New Roman"/>
          <w:b w:val="false"/>
          <w:i w:val="false"/>
          <w:color w:val="000000"/>
          <w:sz w:val="14"/>
        </w:rPr>
        <w:t>[Prior to 10/8/86, Commerce Commission [250]]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199—19.1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Purpose and application of rules. </w:t>
      </w:r>
      <w:r>
        <w:rPr>
          <w:rFonts w:ascii="Times New Roman" w:hAnsi="Times New Roman"/>
          <w:b w:val="false"/>
          <w:i w:val="false"/>
          <w:color w:val="000000"/>
          <w:sz w:val="22"/>
        </w:rPr>
        <w:t xml:space="preserve">The rules shall apply to any rate-regulated gas utility operating within the state of Iowa as defined in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shall supersede any tariff on file with this commission that is in conflict with these rules. These rules are intended to promote safe and adequate service to the public, to provide standards for uniform and reasonable practices by utilities, and to establish a basis for determining the reasonableness of such demands as may be made by the public upon the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shall have the meaning indicated below:</w:t>
      </w:r>
    </w:p>
    <w:p>
      <w:pPr>
        <w:spacing w:before="0" w:after="0"/>
        <w:ind w:left="120"/>
        <w:jc w:val="both"/>
      </w:pPr>
      <w:r>
        <w:rPr>
          <w:rFonts w:ascii="Times New Roman" w:hAnsi="Times New Roman"/>
          <w:b w:val="false"/>
          <w:i w:val="false"/>
          <w:color w:val="000000"/>
          <w:sz w:val="22"/>
        </w:rPr>
        <w:t>The abbreviations used, and their meanings, are as follows:</w:t>
      </w:r>
    </w:p>
    <w:p>
      <w:pPr>
        <w:spacing w:before="0" w:after="0"/>
        <w:ind w:left="120"/>
        <w:jc w:val="both"/>
      </w:pPr>
      <w:r>
        <w:rPr>
          <w:rFonts w:ascii="Times New Roman" w:hAnsi="Times New Roman"/>
          <w:b w:val="false"/>
          <w:i w:val="false"/>
          <w:color w:val="000000"/>
          <w:sz w:val="22"/>
        </w:rPr>
        <w:t>Btu—British thermal unit</w:t>
      </w:r>
    </w:p>
    <w:p>
      <w:pPr>
        <w:spacing w:before="0" w:after="0"/>
        <w:ind w:left="120"/>
        <w:jc w:val="both"/>
      </w:pPr>
      <w:r>
        <w:rPr>
          <w:rFonts w:ascii="Times New Roman" w:hAnsi="Times New Roman"/>
          <w:b w:val="false"/>
          <w:i w:val="false"/>
          <w:color w:val="000000"/>
          <w:sz w:val="22"/>
        </w:rPr>
        <w:t>LP gas—liquefied petroleum gas</w:t>
      </w:r>
    </w:p>
    <w:p>
      <w:pPr>
        <w:spacing w:before="0" w:after="0"/>
        <w:ind w:left="120"/>
        <w:jc w:val="both"/>
      </w:pPr>
      <w:r>
        <w:rPr>
          <w:rFonts w:ascii="Times New Roman" w:hAnsi="Times New Roman"/>
          <w:b w:val="false"/>
          <w:i w:val="false"/>
          <w:color w:val="000000"/>
          <w:sz w:val="22"/>
        </w:rPr>
        <w:t>psig—pounds per square inch gauge</w:t>
      </w:r>
    </w:p>
    <w:p>
      <w:pPr>
        <w:spacing w:before="0" w:after="0"/>
        <w:ind w:left="120"/>
        <w:jc w:val="both"/>
      </w:pPr>
      <w:r>
        <w:rPr>
          <w:rFonts w:ascii="Times New Roman" w:hAnsi="Times New Roman"/>
          <w:b w:val="false"/>
          <w:i w:val="false"/>
          <w:color w:val="000000"/>
          <w:sz w:val="22"/>
        </w:rPr>
        <w:t>W.C.—water column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“Appliance” </w:t>
      </w:r>
      <w:r>
        <w:rPr>
          <w:rFonts w:ascii="Times New Roman" w:hAnsi="Times New Roman"/>
          <w:b w:val="false"/>
          <w:i w:val="false"/>
          <w:color w:val="000000"/>
          <w:sz w:val="22"/>
        </w:rPr>
        <w:t>refers to any device that utilizes gas fuel to produce light, heat or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as used in these rules is a statement or question by anyone, whether a utility customer or not, alleging a wrong, grievance, injury, dissatisfaction, illegal action or procedure, dangerous condition or action, or utility failure to fulfill an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“Cubic foot” </w:t>
      </w:r>
      <w:r>
        <w:rPr>
          <w:rFonts w:ascii="Times New Roman" w:hAnsi="Times New Roman"/>
          <w:b w:val="false"/>
          <w:i w:val="false"/>
          <w:color w:val="000000"/>
          <w:sz w:val="22"/>
        </w:rPr>
        <w:t>of gas has the following meanings: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Where gas is supplied and metered to customers at the pressure (as defined in subrule </w:t>
      </w:r>
      <w:hyperlink r:id="rId6">
        <w:r>
          <w:rPr>
            <w:rStyle w:val="Hyperlink"/>
            <w:rFonts w:ascii="Times New Roman" w:hAnsi="Times New Roman"/>
            <w:b w:val="false"/>
            <w:i w:val="false"/>
            <w:color w:val="000000"/>
            <w:sz w:val="22"/>
          </w:rPr>
          <w:t>19.7(2)</w:t>
        </w:r>
      </w:hyperlink>
      <w:r>
        <w:rPr>
          <w:rFonts w:ascii="Times New Roman" w:hAnsi="Times New Roman"/>
          <w:b w:val="false"/>
          <w:i w:val="false"/>
          <w:color w:val="000000"/>
          <w:sz w:val="22"/>
        </w:rPr>
        <w:t>) normally used for domestic customers’ appliances, a cubic foot of gas shall be that quantity of gas which, at the temperature and pressure existing in the meter, occupies one cubic foot, except that where a temperature compensated meter is used, the temperature base shall be 60°F.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When gas is supplied to customers at other than the pressure in “1” above, the utility shall specify in its rules the base for measurement of a cubic foot of gas (subparagraph </w:t>
      </w:r>
      <w:hyperlink r:id="rId7">
        <w:r>
          <w:rPr>
            <w:rStyle w:val="Hyperlink"/>
            <w:rFonts w:ascii="Times New Roman" w:hAnsi="Times New Roman"/>
            <w:b w:val="false"/>
            <w:i w:val="false"/>
            <w:color w:val="000000"/>
            <w:sz w:val="22"/>
          </w:rPr>
          <w:t>19.2(4)</w:t>
        </w:r>
      </w:hyperlink>
      <w:r>
        <w:rPr>
          <w:rFonts w:ascii="Times New Roman" w:hAnsi="Times New Roman"/>
          <w:b w:val="false"/>
          <w:i/>
          <w:color w:val="000000"/>
          <w:sz w:val="22"/>
        </w:rPr>
        <w:t>“c”</w:t>
      </w:r>
      <w:r>
        <w:rPr>
          <w:rFonts w:ascii="Times New Roman" w:hAnsi="Times New Roman"/>
          <w:b w:val="false"/>
          <w:i w:val="false"/>
          <w:color w:val="000000"/>
          <w:sz w:val="22"/>
        </w:rPr>
        <w:t>(6)). Unless otherwise stated by the utility, such cubic foot of gas shall be that quantity of gas which, at a temperature of 60°F and a pressure of 14.73 pounds per square inch absolute, occupies one cubic foot.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standard cubic foot of gas for testing the gas itself for heating value shall be that quantity of gas, saturated with water vapor, which, at a temperature of 60°F and a pressure of 30 inches of mercury, occupies one cubic foot. (Temperature of mercury = 32°F acceleration due to gravity = 32.17 ft. per second per second density = 13.595 grams per cubic centimeter.)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any legal entity responsible by law for payment for the gas service or heat from the gas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 </w:t>
      </w:r>
      <w:r>
        <w:rPr>
          <w:rFonts w:ascii="Times New Roman" w:hAnsi="Times New Roman"/>
          <w:b w:val="false"/>
          <w:i w:val="false"/>
          <w:color w:val="000000"/>
          <w:sz w:val="22"/>
        </w:rPr>
        <w:t>unless otherwise specifically designated, means manufactured gas, natural gas, other hydrocarbon gases, or any mixture of gases produced, transmitted, distributed or furnished by any gas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 plant” </w:t>
      </w:r>
      <w:r>
        <w:rPr>
          <w:rFonts w:ascii="Times New Roman" w:hAnsi="Times New Roman"/>
          <w:b w:val="false"/>
          <w:i w:val="false"/>
          <w:color w:val="000000"/>
          <w:sz w:val="22"/>
        </w:rPr>
        <w:t>means all facilities including all real estate, fixtures and property owned, controlled, operated or managed by a gas utility for the production, storage, transmission or distribution of gas and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of service” </w:t>
      </w:r>
      <w:r>
        <w:rPr>
          <w:rFonts w:ascii="Times New Roman" w:hAnsi="Times New Roman"/>
          <w:b w:val="false"/>
          <w:i w:val="false"/>
          <w:color w:val="000000"/>
          <w:sz w:val="22"/>
        </w:rPr>
        <w:t>means any disturbance of the gas supply whereby gas service to a customer cannot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w:t>
      </w:r>
      <w:r>
        <w:rPr>
          <w:rFonts w:ascii="Times New Roman" w:hAnsi="Times New Roman"/>
          <w:b w:val="false"/>
          <w:i w:val="false"/>
          <w:color w:val="000000"/>
          <w:sz w:val="22"/>
        </w:rPr>
        <w:t>means a gas pipe, excluding a service line, that is owned, operated, or maintained by a utility and is used for the purpose of transmission or distribution of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meter” </w:t>
      </w:r>
      <w:r>
        <w:rPr>
          <w:rFonts w:ascii="Times New Roman" w:hAnsi="Times New Roman"/>
          <w:b w:val="false"/>
          <w:i w:val="false"/>
          <w:color w:val="000000"/>
          <w:sz w:val="22"/>
        </w:rPr>
        <w:t>means a single meter used in determining the amount of gas provided to a multi-tenant building or to multiple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w:t>
      </w:r>
      <w:r>
        <w:rPr>
          <w:rFonts w:ascii="Times New Roman" w:hAnsi="Times New Roman"/>
          <w:b w:val="false"/>
          <w:i w:val="false"/>
          <w:color w:val="000000"/>
          <w:sz w:val="22"/>
        </w:rPr>
        <w:t>without other qualification, means any device or instrument used by a utility in measuring a quantity of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shop” </w:t>
      </w:r>
      <w:r>
        <w:rPr>
          <w:rFonts w:ascii="Times New Roman" w:hAnsi="Times New Roman"/>
          <w:b w:val="false"/>
          <w:i w:val="false"/>
          <w:color w:val="000000"/>
          <w:sz w:val="22"/>
        </w:rPr>
        <w:t>means a shop where meters are inspected, repaired and tested, and may be at a fixed location or may be 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addition” </w:t>
      </w:r>
      <w:r>
        <w:rPr>
          <w:rFonts w:ascii="Times New Roman" w:hAnsi="Times New Roman"/>
          <w:b w:val="false"/>
          <w:i w:val="false"/>
          <w:color w:val="000000"/>
          <w:sz w:val="22"/>
        </w:rPr>
        <w:t>means any additional plant, other than a distribution main or service line, required to be constructed to provide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“Pressure,” </w:t>
      </w:r>
      <w:r>
        <w:rPr>
          <w:rFonts w:ascii="Times New Roman" w:hAnsi="Times New Roman"/>
          <w:b w:val="false"/>
          <w:i w:val="false"/>
          <w:color w:val="000000"/>
          <w:sz w:val="22"/>
        </w:rPr>
        <w:t>unless otherwise stated, is expressed in pounds per square inch above atmospheric pressure, i.e., gauge pressure (abbreviation-psig).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“Rate-regulated utility” </w:t>
      </w:r>
      <w:r>
        <w:rPr>
          <w:rFonts w:ascii="Times New Roman" w:hAnsi="Times New Roman"/>
          <w:b w:val="false"/>
          <w:i w:val="false"/>
          <w:color w:val="000000"/>
          <w:sz w:val="22"/>
        </w:rPr>
        <w:t xml:space="preserve">means any utility that is subject to rate regulation as provided in Iowa Code chapter </w:t>
      </w:r>
      <w:hyperlink r:id="rId8">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means a gas pipe that transports gas from a main or source of supply to a customer meter or the connection to a customer’s piping, whichever is farther downstream, or the connection to a customer’s piping if there is not a customer meter. A customer meter is the meter that measures the transfer of gas from a utility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“town border station” </w:t>
      </w:r>
      <w:r>
        <w:rPr>
          <w:rFonts w:ascii="Times New Roman" w:hAnsi="Times New Roman"/>
          <w:b w:val="false"/>
          <w:i w:val="false"/>
          <w:color w:val="000000"/>
          <w:sz w:val="22"/>
        </w:rPr>
        <w:t>means the delivery point or measuring station at which a gas utility receives gas from a natural gas transmission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the entire body of rates, tolls, rentals, charges, classifications, rules, procedures, policies, etc., adopted and filed with the commission by a gas utility in fulfilling its role of furnishing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“Therm” </w:t>
      </w:r>
      <w:r>
        <w:rPr>
          <w:rFonts w:ascii="Times New Roman" w:hAnsi="Times New Roman"/>
          <w:b w:val="false"/>
          <w:i w:val="false"/>
          <w:color w:val="000000"/>
          <w:sz w:val="22"/>
        </w:rPr>
        <w:t>means 100,000 British thermal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payment” </w:t>
      </w:r>
      <w:r>
        <w:rPr>
          <w:rFonts w:ascii="Times New Roman" w:hAnsi="Times New Roman"/>
          <w:b w:val="false"/>
          <w:i w:val="false"/>
          <w:color w:val="000000"/>
          <w:sz w:val="22"/>
        </w:rPr>
        <w:t>is a payment on a customer’s account made on or before the date shown on a current bill for service or on a form that records an agreement between the customer and a utility for a series of partial payments to settle a delinquent account, as the date that determines application of a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any person, partnership, business association, or corporation, domestic or foreign, owning or operating any gas plant for furnishing gas or heat to the public for compensation.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reports,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 xml:space="preserve">The schedules of rates and rules of rate-regulated gas utilities shall be filed with the commission in accordance with this chapter. Tariff provisions will be definite and clear. </w:t>
      </w:r>
    </w:p>
    <w:p>
      <w:pPr>
        <w:spacing w:before="0" w:after="0"/>
        <w:ind w:left="120"/>
        <w:jc w:val="both"/>
      </w:pPr>
      <w:r>
        <w:rPr>
          <w:rFonts w:ascii="Times New Roman" w:hAnsi="Times New Roman"/>
          <w:b w:val="false"/>
          <w:i w:val="false"/>
          <w:color w:val="000000"/>
          <w:sz w:val="22"/>
        </w:rPr>
        <w:t xml:space="preserve">Utilities that are not subject to the rate regulation provided for by Iowa Code chapter </w:t>
      </w:r>
      <w:hyperlink r:id="rId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shall not be required to file schedules of rates, rules, or contracts outlined in this chapter, unless otherwise directed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tariff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on 8½ by 11-inch pages so as to result in a clear and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electronically in compliance with </w:t>
      </w:r>
      <w:hyperlink r:id="rId1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page is the title page, which will show the name of the utility, the type of utility service being provided, the words “Filed with Iowa Utilities Commission” and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will show on the upper right corner of its title page that it is a revision of a tariff on file and the number being superseded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tariff sheet in a tariff is revised, amended, or eliminated, the tariff sheet will indicate in the upper right corner the number of the revision to that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(C)—Change in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(D)—Discontinued rate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(L)—Changed text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(N)—New rate, treatment,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(R)—Reduction in rate or new treatment resulting in reduction in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left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Company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utility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words “Filed with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right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Tariff part identification,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Canceled 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left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responsible for the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right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 date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is to be left blank by the utility and will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A tariff filed with the commission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containing a list of rate schedules and other sections in the order in which they appear that indicates the first page of each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rates for each type of gas as they apply to each class of customer. Tariffs will also include the prices per unit of service, the number of units per billing period to which the prices apply, the period of billing, the minimum bill, the method of measuring demands and consumptions, including the method of calculating or estimating loads or minimums, delivery pressure, and any special terms or conditions applicable. All rates, books, and records should be separated into “gas” and “nongas” components. Books and records shall be available to the commission for audits upon request. The gas components will be the result of the utility’s periodic review of gas procurement practices (rule </w:t>
      </w:r>
      <w:hyperlink r:id="rId11">
        <w:r>
          <w:rPr>
            <w:rStyle w:val="Hyperlink"/>
            <w:rFonts w:ascii="Times New Roman" w:hAnsi="Times New Roman"/>
            <w:b w:val="false"/>
            <w:i w:val="false"/>
            <w:color w:val="000000"/>
            <w:sz w:val="22"/>
          </w:rPr>
          <w:t>199</w:t>
        </w:r>
      </w:hyperlink>
      <w:r>
        <w:rPr>
          <w:rFonts w:ascii="Times New Roman" w:hAnsi="Times New Roman"/>
          <w:b w:val="false"/>
          <w:i w:val="false"/>
          <w:color w:val="000000"/>
          <w:sz w:val="22"/>
        </w:rPr>
        <w:t>—</w:t>
      </w:r>
      <w:hyperlink r:id="rId12">
        <w:r>
          <w:rPr>
            <w:rStyle w:val="Hyperlink"/>
            <w:rFonts w:ascii="Times New Roman" w:hAnsi="Times New Roman"/>
            <w:b w:val="false"/>
            <w:i w:val="false"/>
            <w:color w:val="000000"/>
            <w:sz w:val="22"/>
          </w:rPr>
          <w:t>19.10</w:t>
        </w:r>
      </w:hyperlink>
      <w:r>
        <w:rPr>
          <w:rFonts w:ascii="Times New Roman" w:hAnsi="Times New Roman"/>
          <w:b w:val="false"/>
          <w:i w:val="false"/>
          <w:color w:val="000000"/>
          <w:sz w:val="22"/>
        </w:rPr>
        <w:t xml:space="preserve">(476)) and PGA (rule </w:t>
      </w:r>
      <w:hyperlink r:id="rId13">
        <w:r>
          <w:rPr>
            <w:rStyle w:val="Hyperlink"/>
            <w:rFonts w:ascii="Times New Roman" w:hAnsi="Times New Roman"/>
            <w:b w:val="false"/>
            <w:i w:val="false"/>
            <w:color w:val="000000"/>
            <w:sz w:val="22"/>
          </w:rPr>
          <w:t>199—19.9(476)</w:t>
        </w:r>
      </w:hyperlink>
      <w:r>
        <w:rPr>
          <w:rFonts w:ascii="Times New Roman" w:hAnsi="Times New Roman"/>
          <w:b w:val="false"/>
          <w:i w:val="false"/>
          <w:color w:val="000000"/>
          <w:sz w:val="22"/>
        </w:rPr>
        <w:t xml:space="preserve">) proceeding. The nongas components will be established through rate case proceedings under Iowa Code section </w:t>
      </w:r>
      <w:hyperlink r:id="rId14">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ind w:left="120"/>
        <w:jc w:val="both"/>
      </w:pPr>
      <w:r>
        <w:rPr>
          <w:rFonts w:ascii="Times New Roman" w:hAnsi="Times New Roman"/>
          <w:b w:val="false"/>
          <w:i w:val="false"/>
          <w:color w:val="000000"/>
          <w:sz w:val="22"/>
        </w:rPr>
        <w:t>Customer charges for all special services relating to providing the basic utility service, including disconnection, reconnection, and service or trip charges,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utility’s rules, or terms and conditions, describing the utility’s policies and practices in providing service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as to the equivalent total heating value of the gas in Btus per cubic foot on which the customers are billed. If necessary, this may be listed by district, division or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items that the utility furnishes, owns, and maintains on the customer’s premises, such as service pipe, meters, regulators, vents, and shut-off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statement indicating the extent to which the utility will provide service in the adjustment of customer appliances at no additional customer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general statement of the utility’s policy in making adjustments for wastage of gas when such wastage occurs without the knowledge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minimum number of days allowed for payment after the due date of the customer’s bill before service will be discontinued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volumetric measurement base to which all sales of gas at other than standard delivery pressure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Forms of standard contracts required of customers for the various types of service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that all rates and charges contained in this tariff or contract with reference thereto may be modified at any time by a subsequent filing made pursuant to the provisions of Iowa Code chapter </w:t>
      </w:r>
      <w:hyperlink r:id="rId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copy of each type of customer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Definitions of classes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for extending service in accordance with subrule </w:t>
      </w:r>
      <w:hyperlink r:id="rId17">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Rules with which prospective customers must comply as a condition of receiving service, and the terms of contracts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Rules governing the establishment and maintenance of credit by customers for payment of service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Rules governing disconnecting and reconnecting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Notice required from customer for having service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Rules covering temporary, emergency, auxiliary, and stand-by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Rules that address any limitations on loads or the type of equipment that may or may not be 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Rate-regulated utilities shall include a list of service areas and the applicable rates in such form as to facilitate ready determination of the rates available in each municipality and in such unincorporated communities as have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Rules on meter reading, billing periods, bill issuance, timely customer payment, notice of delinquency and service disconnection 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or prospective customer should file a complaint with the utility, and how the complaint will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disconnected customer or potential customer for residential service may negotiate for a payment agreement on amount due, determination of even payment amounts, and time allowed for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If a sliding scale or automatic adjustment is applicable to regulated rates or charges of billed customers, the manner and method of such adjustment calculation through a detailed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Annual, periodic and other reports to be filed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System map verification. </w:t>
      </w:r>
      <w:r>
        <w:rPr>
          <w:rFonts w:ascii="Times New Roman" w:hAnsi="Times New Roman"/>
          <w:b w:val="false"/>
          <w:i w:val="false"/>
          <w:color w:val="000000"/>
          <w:sz w:val="22"/>
        </w:rPr>
        <w:t>A utility shall file annually with the commission a verification that it has a correct set of utility system maps for each operating or distribution area. The maps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Peak shaving facility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Feeder and distribution mains indicating size and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 metering (town border stations and other supply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Regulator stations in system indicating inlet and outlet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Calorimeter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boundary crossing.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Franchise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Names of all communities (post offices)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Reports of gas service. </w:t>
      </w:r>
      <w:r>
        <w:rPr>
          <w:rFonts w:ascii="Times New Roman" w:hAnsi="Times New Roman"/>
          <w:b w:val="false"/>
          <w:i w:val="false"/>
          <w:color w:val="000000"/>
          <w:sz w:val="22"/>
        </w:rPr>
        <w:t>Each utility shall compile a monthly record of gas service, which will be available to the commission upon request. The record shall be completed within 30 days after the end of the month covered. Such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daily and monthly average of total heating values of gas in accordance with subrule </w:t>
      </w:r>
      <w:hyperlink r:id="rId18">
        <w:r>
          <w:rPr>
            <w:rStyle w:val="Hyperlink"/>
            <w:rFonts w:ascii="Times New Roman" w:hAnsi="Times New Roman"/>
            <w:b w:val="false"/>
            <w:i w:val="false"/>
            <w:color w:val="000000"/>
            <w:sz w:val="22"/>
          </w:rPr>
          <w:t>19.7(6)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monthly acquisition and disposition of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Interruptions of service occurring during the month in accordance with subrule </w:t>
      </w:r>
      <w:hyperlink r:id="rId19">
        <w:r>
          <w:rPr>
            <w:rStyle w:val="Hyperlink"/>
            <w:rFonts w:ascii="Times New Roman" w:hAnsi="Times New Roman"/>
            <w:b w:val="false"/>
            <w:i w:val="false"/>
            <w:color w:val="000000"/>
            <w:sz w:val="22"/>
          </w:rPr>
          <w:t>19.7(7)</w:t>
        </w:r>
      </w:hyperlink>
      <w:r>
        <w:rPr>
          <w:rFonts w:ascii="Times New Roman" w:hAnsi="Times New Roman"/>
          <w:b w:val="false"/>
          <w:i w:val="false"/>
          <w:color w:val="000000"/>
          <w:sz w:val="22"/>
        </w:rPr>
        <w:t>. If there were no interruptions, then it should be so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customer pressure investigations made and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customer meters tested and test results tabulated as follows: The number that falls into limits 0 to + 2%, + 2 to + 4%, 0 to - 2%, - 2 to - 4%, over + 4%, under - 4%, and “Does Not Register” in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on leak survey programs including the number of leaks found classified as to hazard and nature, and if known, the cause and type of pipe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district regulators checked and nature of repairs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house regulators checked and nature of repairs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Description of any unusual operating difficulties.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Type of odorant and monthly average pounds per million cubic feet used in each individual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use by engineers, architects, plumbing contractors, etc., covering meter and service installation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customer bill forms. </w:t>
      </w:r>
      <w:r>
        <w:rPr>
          <w:rFonts w:ascii="Times New Roman" w:hAnsi="Times New Roman"/>
          <w:b w:val="false"/>
          <w:i w:val="false"/>
          <w:color w:val="000000"/>
          <w:sz w:val="22"/>
        </w:rPr>
        <w:t>A copy of each type of customer bill form in current use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Reports to federal agencies. </w:t>
      </w:r>
      <w:r>
        <w:rPr>
          <w:rFonts w:ascii="Times New Roman" w:hAnsi="Times New Roman"/>
          <w:b w:val="false"/>
          <w:i w:val="false"/>
          <w:color w:val="000000"/>
          <w:sz w:val="22"/>
        </w:rPr>
        <w:t xml:space="preserve">Copies of reports submitted to the U.S. Department of Transportation pursuant to </w:t>
      </w:r>
      <w:r>
        <w:rPr>
          <w:rFonts w:ascii="Times New Roman" w:hAnsi="Times New Roman"/>
          <w:b w:val="false"/>
          <w:i w:val="false"/>
          <w:color w:val="000000"/>
          <w:sz w:val="22"/>
        </w:rPr>
        <w:t>49 CFR Part 191</w:t>
      </w:r>
      <w:r>
        <w:rPr>
          <w:rFonts w:ascii="Times New Roman" w:hAnsi="Times New Roman"/>
          <w:b w:val="false"/>
          <w:i w:val="false"/>
          <w:color w:val="000000"/>
          <w:sz w:val="22"/>
        </w:rPr>
        <w:t>, Part 192, or Part 199 shall be filed with the commission no later than ten days following the submission. Utilities operating in other states shall provide data to the commission for Iowa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Change in rate. </w:t>
      </w:r>
      <w:r>
        <w:rPr>
          <w:rFonts w:ascii="Times New Roman" w:hAnsi="Times New Roman"/>
          <w:b w:val="false"/>
          <w:i w:val="false"/>
          <w:color w:val="000000"/>
          <w:sz w:val="22"/>
        </w:rPr>
        <w:t>A notification to the commission shall be made of any planned change in rate of service by a utility. This information shall reflect the amount of increase or decrease and the effective date of application. An up-to-date tariff sheet shall be supplied to the commission showing the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List of persons authorized to receive commission inquiries.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 part of each utility’s annual report as required by the general information rule in </w:t>
      </w:r>
      <w:hyperlink r:id="rId20">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utilities shall also file a list of names, titles, addresses, and telephone numbers of persons authorized to receive, act upon, and respond to communications from the commission in connection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management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Customer relations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Engineering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Meter tests and repairs;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Pipeline permits (gas).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utility shall file with the commission a telephone contact number or numbers where the commission can obtain current information 24 hours a day about incidents and interruptions of service from a knowledgeable person. The contact information shall be kept current as changes or corrections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Residential customer statistics. </w:t>
      </w:r>
      <w:r>
        <w:rPr>
          <w:rFonts w:ascii="Times New Roman" w:hAnsi="Times New Roman"/>
          <w:b w:val="false"/>
          <w:i w:val="false"/>
          <w:color w:val="000000"/>
          <w:sz w:val="22"/>
        </w:rPr>
        <w:t>Each rate-regulated gas utility shall file with the commission on or before the fifteenth day of each month one copy of the following residential customer statistics for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accounts certified as eligible for energy assistance since the preceding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 on accounts eligible for energy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disconnections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reconnections;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Number of accounts deemed uncollectible;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deemed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Monthly, periodic and annual reports. </w:t>
      </w:r>
      <w:r>
        <w:rPr>
          <w:rFonts w:ascii="Times New Roman" w:hAnsi="Times New Roman"/>
          <w:b w:val="false"/>
          <w:i w:val="false"/>
          <w:color w:val="000000"/>
          <w:sz w:val="22"/>
        </w:rPr>
        <w:t>Each utility shall file such other monthly, periodic and annual reports as are requested by the commission. Monthly and periodic reports shall be due in the commission’s office within 30 days after the end of the reporting period. All annual reports shall be filed with the commission by April 1 of each year for the preceding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gas. </w:t>
      </w:r>
      <w:r>
        <w:rPr>
          <w:rFonts w:ascii="Times New Roman" w:hAnsi="Times New Roman"/>
          <w:b w:val="false"/>
          <w:i w:val="false"/>
          <w:color w:val="000000"/>
          <w:sz w:val="22"/>
        </w:rPr>
        <w:t>The meter and any service line pressure regulator shall be owned by the utility. The utility shall place a visible seal on all meters and service line regulators in customer use, such that the seal must be broken to gain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gas sold by a utility shall be on the basis of meter measurement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consumption of gas may be readily computed without metering;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temporary service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all gas delivered to multi-tenant buildings shall be measured on the basis of individual meter measurement for each unit,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gas is used in centralized heating, cooling, or water-heating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 facility is designated for elderly or handicapped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submetering or resale of service was permitted prior to 1966;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individual metering is impractical. “Impractical”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conditions or structural barriers exist that would make individual meters unsafe or physically impossible to install;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cost of providing individual metering exceeds the long-term benefits of individual metering.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 benefits of individual metering (reduced or controlled energy consumption) are more effectively accomplished through a master meter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multi-tenant building qualifies for master metering under this subparagraph if the predicted annual gas use would result in at least a 30 percent savings compared to the predicted annual gas use of a new building meeting the requirements of the state of Iowa energy code and operating with equipment, fixtures, and appliances meeting federal gas standards for manufactured devices for a new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existing multi-tenant building qualifies for master metering under this subparagraph when the predicted annual gas use would result in at least a 20 percent energy savings compared to the building’s current annual gas usage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building’s predicted annual gas use would result in at least a 20 or 30 percent savings, all relevant factors that decrease the building’s gas usage may be considered, so long as each factor is relevant to why master metering more effectively reduces or controls the building’s gas consumption. This includes but is not limited to new or more efficient equipment, materials, or appliances; improved operating practices; changes in fuel type; or structural improvements. This does not affect the determination made for buildings approved prior to July 16,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report from a qualified independent third party stating that the proposed building or renovation will meet the gas savings requirements of this subparagraph shall establish a rebuttable presumption of eligibility for master metering. “Qualified, independent third party” means a licensed architect or engineer, a certified residential energy services network home energy rating system (RESNET HERS) rater, or any other professional deemed qualified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multi-tenant building is master metered, the end user occupants may be charged for natural gas as an unidentified portion of the rent, condominium fee, or similar payment, or, if some other method of allocating the cost of the gas service is used, the total charge for gas service shall not exceed the total gas bill charged by the utility for the same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Master metering to multiple buildings is prohibited, except for multiple buildings owned by the same person or entity. Multi-tenant premises within a multiple building complex may be master-metered pursuant to this paragraph only if the requirements of paragraph </w:t>
      </w:r>
      <w:hyperlink r:id="rId22">
        <w:r>
          <w:rPr>
            <w:rStyle w:val="Hyperlink"/>
            <w:rFonts w:ascii="Times New Roman" w:hAnsi="Times New Roman"/>
            <w:b w:val="false"/>
            <w:i w:val="false"/>
            <w:color w:val="000000"/>
            <w:sz w:val="22"/>
          </w:rPr>
          <w:t>19.3(1)</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gas consumed by the utility shall be on the basis of meter measurement except where consumption may be readily computed without metering or where metering is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Meter reading records. </w:t>
      </w:r>
      <w:r>
        <w:rPr>
          <w:rFonts w:ascii="Times New Roman" w:hAnsi="Times New Roman"/>
          <w:b w:val="false"/>
          <w:i w:val="false"/>
          <w:color w:val="000000"/>
          <w:sz w:val="22"/>
        </w:rPr>
        <w:t>The meter reading records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Customer’s name, address, rate schedule, or identification of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number or description of the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Meter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reading has been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applicable multiplier or constant, or reference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Meter register. </w:t>
      </w:r>
      <w:r>
        <w:rPr>
          <w:rFonts w:ascii="Times New Roman" w:hAnsi="Times New Roman"/>
          <w:b w:val="false"/>
          <w:i w:val="false"/>
          <w:color w:val="000000"/>
          <w:sz w:val="22"/>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energy conservation initiatives as they desire. Where remote meter reading is used, whether outdoor on premises or off-premises-automated, the customers shall have a readable meter register at the meter as a means of verifying the accuracy of bills presented to them; however, utilities may also comply with this subrule by making the required information available via the Internet or other equivalent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Prepayment meters. </w:t>
      </w:r>
      <w:r>
        <w:rPr>
          <w:rFonts w:ascii="Times New Roman" w:hAnsi="Times New Roman"/>
          <w:b w:val="false"/>
          <w:i w:val="false"/>
          <w:color w:val="000000"/>
          <w:sz w:val="22"/>
        </w:rPr>
        <w:t>Prepayment meters shall not be geared or set so as to result in the charge of a rate or amount higher than would be paid if a standard type meter were used, except under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color w:val="000000"/>
          <w:sz w:val="22"/>
        </w:rPr>
        <w:t xml:space="preserve">Meter reading and billing interval.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Readings of all meters used for determining charges and billings to customers shall be scheduled at least monthly and for the beginning and termination of service. Bills to larger customers may, for good cause, be provided weekly or daily for a period not to exceed one month unless a waiver is granted by the commission. If the commission denies a waiver, or if a waiver is not sought with respect to a large-volume customer after the initial month, that customer’s bill shall be provided monthly for the next 12 months unless prior approval is received from the commission for a shorter interval. The group of larger customers to which shorter billing intervals may be applied shall be specified in the utility’s tariff sheets, but shall not include residential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Utilities should obtain readings of the meters on corresponding days of each meter reading period when possible. Unless the utility has a plan to test check meter readings, a utility representative shall physically read the meter at least once each 12 months and when the utility is notified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color w:val="000000"/>
          <w:sz w:val="22"/>
        </w:rPr>
        <w:t xml:space="preserve">Readings and estimates.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customer is connected or disconnected or the meter reading date causes a given billing period to deviate by more than 10 percent (counting only business days) from the normal meter reading period, such bill shall be prorated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access to a meter cannot be gained, the utility may, at its discretion, leave with the customer a meter reading form. The customer may provide the meter reading by telephone, email (if it is allowed by the utility), or mail. If the meter reading information is not obtained in time for the billing operation, an estimated bill may be provided. 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Utilities will file with the commission procedures for calculating bill estimates, which incorporate normalized weather data, as well as procedures for determining the reasonable heating degree day data to use in the calculations. Utilities shall inform the commission when changes are made to the procedures for calculating estimated bills.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distribution main extensions, and 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for construction” </w:t>
      </w:r>
      <w:r>
        <w:rPr>
          <w:rFonts w:ascii="Times New Roman" w:hAnsi="Times New Roman"/>
          <w:b w:val="false"/>
          <w:i w:val="false"/>
          <w:color w:val="000000"/>
          <w:sz w:val="22"/>
        </w:rPr>
        <w:t>means cash payments or equivalent surety made to the utility by an applicant for an extensive plant addition or a distribution main extension, portions of which may be refunded depending on any subsequent service line attached to the extensive plant addition or distribution main extension. Cash payments or equivalent surety shall include a grossed-up amount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 xml:space="preserve">means a period of 30 days, unless a longer period—not more than one year—is mutually agreed on by the utility and applicant, within which the customer will attach.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main extension” </w:t>
      </w:r>
      <w:r>
        <w:rPr>
          <w:rFonts w:ascii="Times New Roman" w:hAnsi="Times New Roman"/>
          <w:b w:val="false"/>
          <w:i w:val="false"/>
          <w:color w:val="000000"/>
          <w:sz w:val="22"/>
        </w:rPr>
        <w:t>means a segment of pipeline installed to convey gas to individual service lines or other distribution 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base revenues” </w:t>
      </w:r>
      <w:r>
        <w:rPr>
          <w:rFonts w:ascii="Times New Roman" w:hAnsi="Times New Roman"/>
          <w:b w:val="false"/>
          <w:i w:val="false"/>
          <w:color w:val="000000"/>
          <w:sz w:val="22"/>
        </w:rPr>
        <w:t>shall be calculated by subtracting the cost of purchased gas and energy efficiency charges from estimated annual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shall be calculated using average current costs in accordance with good engineering practices and upon the following factors: amount of service required or desired by the customer requesting the distribution main extension or service line; size, location, and characteristics of the distribution main extension or service line, including appurtenances; and whether the ground is frozen or whether other adverse conditions exist. Estimated construction costs shall not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w:t>
      </w:r>
      <w:r>
        <w:rPr>
          <w:rFonts w:ascii="Times New Roman" w:hAnsi="Times New Roman"/>
          <w:b w:val="false"/>
          <w:i w:val="false"/>
          <w:color w:val="000000"/>
          <w:sz w:val="22"/>
        </w:rPr>
        <w:t>The utility shall provide all gas plant at its cost and expense without requiring an advance for construction from customers or developers, except in those unusual circumstances where extensive plant additions are required before the customer can be served. A written contract between the utility and the customer that requires an advance for construction by the customer to make plant additions shall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Distribution main extensions. </w:t>
      </w:r>
      <w:r>
        <w:rPr>
          <w:rFonts w:ascii="Times New Roman" w:hAnsi="Times New Roman"/>
          <w:b w:val="false"/>
          <w:i w:val="false"/>
          <w:color w:val="000000"/>
          <w:sz w:val="22"/>
        </w:rPr>
        <w:t>Where the customer will attach to the distribution main extension within the agreed-upon attachment period after completion of the distribution main extension,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make the distribution main extension for a customer without requiring an advance for construction if the estimated construction costs to provide a distribution main extension are less than or equal to six times estimated base revenue calculated on the basis of similarly situated customers. If the utility uses a feasibility model to determine an advance for construction, the utility will file a summary explaining the model’s inputs and a description of the model as part of the utility’s tariff. The utility may charge customers for actual permit fees and additional costs associated with construction during adverse conditions, which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greater than six times estimated base revenue calculated on the basis of similarly situated customers, the applicant for a distribution main extension shall contract with the utility and make, no more than 30 days prior to commencement of construction, an advance for construction based upon the following formula:</w:t>
      </w:r>
    </w:p>
    <w:p>
      <w:pPr>
        <w:spacing w:before="0" w:after="0"/>
        <w:ind w:left="120"/>
        <w:jc w:val="center"/>
      </w:pPr>
      <w:r>
        <w:rPr>
          <w:rFonts w:ascii="Times New Roman" w:hAnsi="Times New Roman"/>
          <w:b w:val="false"/>
          <w:i w:val="false"/>
          <w:color w:val="000000"/>
          <w:sz w:val="22"/>
        </w:rPr>
        <w:t>(estimated construction cost – 6 x estimated base revenues)</w:t>
      </w:r>
    </w:p>
    <w:p>
      <w:pPr>
        <w:spacing w:before="0" w:after="0"/>
        <w:ind w:left="120"/>
        <w:jc w:val="both"/>
      </w:pPr>
      <w:r>
        <w:rPr>
          <w:rFonts w:ascii="Times New Roman" w:hAnsi="Times New Roman"/>
          <w:b w:val="false"/>
          <w:i w:val="false"/>
          <w:color w:val="000000"/>
          <w:sz w:val="22"/>
        </w:rPr>
        <w:t>If a utility uses a feasibility model to determine if an advance for construction is necessary, it will file a summary explaining the model’s inputs and a description of the model as part of the utility’s tariff. A written contract between the utility and the customer shall be available for commission inspection upon request. The utility will provide the customer with a cost estimate that details the costs and credits, by category. The utility may charge customers for actual permit fees, which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distribution main extension, the applicant for the distribution main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distribution main extension would otherwise require a payment from the customer, the utility shall charge the customer for actual permit fees and additional costs associated with construction during adverse conditions,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Advances for construction may be paid by cash or equivalent surety, unless the customer has failed to comply with the conditions of surety in the past, and shall be refundable for ten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customer is required to make an advance for construction, the utility shall refund the advance in aid of construction to the depositor for a period of ten years from the date of the original advance a pro rata share for each service line attached to the distribution main extension no less than four times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will provide the customer receiving the refund with a statement detailing the refund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amounts subject to refund shall be paid by the utility without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 record of each work order under which the distribution main extension was installed, to include the estimated revenues, the estimated construction costs, the amount of any payment received, and any refunds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construct a service line without requiring a contribution in aid of construction or any payment by the applicant where the length of the service line to the riser is up to 50 feet on private property or 100 feet on private property if polyethylene plastic pipe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length of the service line exceeds 50 feet on private property or 100 feet if polyethylene plastic pipe is used, the applicant shall provide a contribution in aid of construction for that portion of the service line on private property in excess of 50 feet or in excess of 100 feet if polyethylene plastic pipe is used, exclusive of the riser, within 30 days after completion. The contribution in aid of construction for that portion of the service line shall be computed as follows:</w:t>
      </w:r>
    </w:p>
    <w:p>
      <w:pPr>
        <w:spacing w:before="0" w:after="0"/>
        <w:ind w:left="120"/>
        <w:jc w:val="both"/>
      </w:pPr>
      <w:r>
        <w:rPr>
          <w:rFonts w:ascii="Times New Roman" w:hAnsi="Times New Roman"/>
          <w:b w:val="false"/>
          <w:i w:val="false"/>
          <w:color w:val="000000"/>
          <w:sz w:val="22"/>
        </w:rPr>
        <w:t>(Estimated Construction Costs) ×</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25" w:hRule="atLeast"/>
        </w:trPr>
        <w:tc>
          <w:tcPr>
            <w:tcW w:w="111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in Excess of 50 Feet) or (Total Length in Excess of 100 Feet)</w:t>
            </w:r>
          </w:p>
        </w:tc>
      </w:tr>
      <w:tr>
        <w:trPr>
          <w:trHeight w:val="22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of Service 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utility may adopt a tariff or rule that allows the utility to finance and construct a service line of more than 50 feet, or 100 feet if polyethylene plastic pipe is used, without requiring a contribution in aid of construction from the customer if the tariff or rule applies equally to all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or not the construction of the service line would otherwise require a payment from the customer, the utility may charge the customer for actual permit fees and additional costs associated with construction during adverse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Utilities are not required to make distribution main extensions or attach service lines as described in this subrule unless the distribution main extension or service line shall be of a permanent nature. When the utility provides a temporary service to a customer, the utility may require that the customer bear all of the cost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Different payment arrangement. </w:t>
      </w:r>
      <w:r>
        <w:rPr>
          <w:rFonts w:ascii="Times New Roman" w:hAnsi="Times New Roman"/>
          <w:b w:val="false"/>
          <w:i w:val="false"/>
          <w:color w:val="000000"/>
          <w:sz w:val="22"/>
        </w:rPr>
        <w:t>Utilities may make a contract with a customer using a different payment arrangement than provided in this subrule, if the contract provides a more favorable payment arrangement to the customer, so long as no discrimination is practiced among similarly situated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Areas without service or with constrained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utility may finance and expand natural gas service into an area of the state with no natural gas service or where capacity constraints limit the expansion of service. A utility expanding service under this paragraph may do so without requiring an advance for construction from a customer or group of customers if a standard feasibility model approved by the commission shows the expansion is economically justified over a period not to exceed 20 years. The approved model will be adopted following a commission proceeding in which interested parties will have the opportunity to review and comment on a model jointly proposed by the regulated gas utilities. The approved model will be made available on the commission’s website. The utility shall charge the customer or customers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feasibility model does not show the expansion is economically justified without an advance for construction, a customer or group of customers may contract with the utility and make, no more than 30 days prior to commencement of construction, an advance for construction in an amount that would make the expansion economically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making a determination that it intends to move forward with an expansion pursuant to this paragraph, the utility shall notify the commission by filing the inputs and results of the feasibility model and any associated contract or contracts with the commission. The utility shall maintain separate books and records for any expansion made pursuant to this paragraph until the utility’s next general rate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19.3(8)</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advance notice. </w:t>
      </w:r>
      <w:r>
        <w:rPr>
          <w:rFonts w:ascii="Times New Roman" w:hAnsi="Times New Roman"/>
          <w:b w:val="false"/>
          <w:i w:val="false"/>
          <w:color w:val="000000"/>
          <w:sz w:val="22"/>
        </w:rPr>
        <w:t>In order that full benefit may be derived from this chapter and in order to facilitate its proper application, all utilities shall observe the following cooperative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will provide all other public utilities in the same general territory advance notice of any construction or change in construction or in operating conditions of its facilities concerned or likely to be concerned in situations of proximity.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utilities will assist in promoting conformity with this chapter. An arrangement should be set up among all utilities whose facilities may occupy the same general territory, providing for the interchange of pertinent data and information including that relative to proposed and existing construction and changes in operating conditions concerned or likely to be concerned in situations of proximity.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transmission and distribution systems, with such other information as may be necessary to enable the utility to advise prospective customers, and others entitled to the information, as to the facilities available for serving customers in its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customers or prospective customers in selecting the most economical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customers affected by a change in rates or schedule classification in the manner provided in the rules of practice and procedure before the commission (compliance filings and tariffs rule in </w:t>
      </w:r>
      <w:hyperlink r:id="rId24">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 schedules and rules relating to the service of the utility, as filed with the commission, are available for public inspection. If the utility provides access to its rate schedules and rules for service on its website, the notice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inform its customers as to the method of reading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on the bill form, that tariff and rate schedule information is available upon request at the utility’s local business office. If the utility provides access to its tariff and rate schedules on its website, the statement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request, transmit a statement of either the customer’s actual consumption, or degree day adjusted consumption, at the company’s option, of natural gas for each billing period during the prior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Furnish such additional information as the customer may reasonably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Customer contact employee qualifications. </w:t>
      </w:r>
      <w:r>
        <w:rPr>
          <w:rFonts w:ascii="Times New Roman" w:hAnsi="Times New Roman"/>
          <w:b w:val="false"/>
          <w:i w:val="false"/>
          <w:color w:val="000000"/>
          <w:sz w:val="22"/>
        </w:rPr>
        <w:t>Utilities will promptly and courteously resolve inquiries for information or complaints.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ind w:left="120"/>
        <w:jc w:val="both"/>
      </w:pPr>
      <w:r>
        <w:rPr>
          <w:rFonts w:ascii="Times New Roman" w:hAnsi="Times New Roman"/>
          <w:b w:val="false"/>
          <w:i w:val="false"/>
          <w:color w:val="000000"/>
          <w:sz w:val="22"/>
        </w:rPr>
        <w:t xml:space="preserve">Rate-regulated utilities will notify their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515.725.7300 or toll-free 877.565.4450, or by writing to 1375 E. Court Ave., Des Moines, IA 50319-0069, or by email to </w:t>
      </w:r>
      <w:hyperlink r:id="rId25">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bill insert or notice for municipal utilities shall include the following statement: “If your complaint is related to service disconnection, safety, or renewable energy, and (utility name) does not resolve your complaint, you may request assistance from the Iowa Utilities Commission by calling 515.725.7300, or toll-free 877.565.4450, by writing to 1375 E. Court Ave., Des Moines, IA 50319, or by email to </w:t>
      </w:r>
      <w:hyperlink r:id="rId26">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bill insert or notice on the bill form shall be provided monthly by utilities serving more than 50,000 Iowa retail customers and no less than annually by all other natural gas utilities. Any utility that does not use the standard statement described in this subrule will file its proposed statement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may require from any customer or prospective customer a deposit intended to guarantee partial payment of bills for service. Each utility will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reasonable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will have no less than 12 days from the date of mailing to comply. The new or additional deposit shall be payable at any of the utility’s business offices or local authorized agents. An appropriate receipt shall be provided.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deposit shall be required as a condition for service other than determined by application of either credit rating or deposit calculation criteria, or both, of the filed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deposit for any residential or commercial customer for a place that has previously received service shall not be greater than the highest billing of service for one month for the place in the previous 12-month period. The deposit for any residential or commercial customer for a place that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rate-regulated utility to each customer required to make a deposit. Utilities will compute interest on customer deposits at 7.5 percent per annum, compounded annually. Interest is to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 records. </w:t>
      </w:r>
      <w:r>
        <w:rPr>
          <w:rFonts w:ascii="Times New Roman" w:hAnsi="Times New Roman"/>
          <w:b w:val="false"/>
          <w:i w:val="false"/>
          <w:color w:val="000000"/>
          <w:sz w:val="22"/>
        </w:rPr>
        <w:t>Each utility shall keep records to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and date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transaction concerning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19.4(6)</w:t>
      </w:r>
      <w:r>
        <w:rPr>
          <w:rFonts w:ascii="Times New Roman" w:hAnsi="Times New Roman"/>
          <w:b w:val="false"/>
          <w:i w:val="false"/>
          <w:color w:val="000000"/>
          <w:sz w:val="22"/>
        </w:rPr>
        <w:t> </w:t>
      </w:r>
      <w:r>
        <w:rPr>
          <w:rFonts w:ascii="Times New Roman" w:hAnsi="Times New Roman"/>
          <w:b w:val="false"/>
          <w:i/>
          <w:color w:val="000000"/>
          <w:sz w:val="22"/>
        </w:rPr>
        <w:t xml:space="preserve">Customer’s receipt for a deposit. </w:t>
      </w:r>
      <w:r>
        <w:rPr>
          <w:rFonts w:ascii="Times New Roman" w:hAnsi="Times New Roman"/>
          <w:b w:val="false"/>
          <w:i w:val="false"/>
          <w:color w:val="000000"/>
          <w:sz w:val="22"/>
        </w:rPr>
        <w:t>Utilities will issue a receipt of deposit to each customer from whom a deposit is received and provide means whereby a depositor may establish claim if the receipt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19.4(7)</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 xml:space="preserve">A deposit shall be refunded after 12 consecutive months of prompt payment (which may be 11 timely payments and one automatic forgiveness of late payment) unless the utility is entitled to require a new or additional deposit. For refund purposes, accounts will be reviewed after 12 months of service following the making of the deposit and for each 12-month interval terminating on the anniversary of the deposit. However, deposits received from customers subject to the waiver provided by subrule </w:t>
      </w:r>
      <w:hyperlink r:id="rId27">
        <w:r>
          <w:rPr>
            <w:rStyle w:val="Hyperlink"/>
            <w:rFonts w:ascii="Times New Roman" w:hAnsi="Times New Roman"/>
            <w:b w:val="false"/>
            <w:i w:val="false"/>
            <w:color w:val="000000"/>
            <w:sz w:val="22"/>
          </w:rPr>
          <w:t>19.3(5)</w:t>
        </w:r>
      </w:hyperlink>
      <w:r>
        <w:rPr>
          <w:rFonts w:ascii="Times New Roman" w:hAnsi="Times New Roman"/>
          <w:b w:val="false"/>
          <w:i w:val="false"/>
          <w:color w:val="000000"/>
          <w:sz w:val="22"/>
        </w:rPr>
        <w:t>,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19.4(8)</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Utilities will make reasonable efforts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28">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29">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19.4(9)</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Each customer shall be informed as promptly as possible following the reading of the customer’s meter, on bill form or otherwise,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reading of the meter at the beginning and at the end of the period for which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meter was read at the beginning and end of the billing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kind of units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applicable rate schedule with the identification of the applicable rate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balance brought forward and the amount of each net charge for rate-schedule-priced utility service, sales tax, other taxes, late payment charge, and total amount currently due. In the case of prepayment meters, the amount of money collected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 which will not be less than 20 days after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 minimum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19.4(10)</w:t>
      </w:r>
      <w:r>
        <w:rPr>
          <w:rFonts w:ascii="Times New Roman" w:hAnsi="Times New Roman"/>
          <w:b w:val="false"/>
          <w:i w:val="false"/>
          <w:color w:val="000000"/>
          <w:sz w:val="22"/>
        </w:rPr>
        <w:t> </w:t>
      </w:r>
      <w:r>
        <w:rPr>
          <w:rFonts w:ascii="Times New Roman" w:hAnsi="Times New Roman"/>
          <w:b w:val="false"/>
          <w:i/>
          <w:color w:val="000000"/>
          <w:sz w:val="22"/>
        </w:rPr>
        <w:t xml:space="preserve">Customer billing information alternate. </w:t>
      </w:r>
      <w:r>
        <w:rPr>
          <w:rFonts w:ascii="Times New Roman" w:hAnsi="Times New Roman"/>
          <w:b w:val="false"/>
          <w:i w:val="false"/>
          <w:color w:val="000000"/>
          <w:sz w:val="22"/>
        </w:rPr>
        <w:t xml:space="preserve">A utility serving fewer than 5,000 gas customers may provide the information in subrule </w:t>
      </w:r>
      <w:hyperlink r:id="rId30">
        <w:r>
          <w:rPr>
            <w:rStyle w:val="Hyperlink"/>
            <w:rFonts w:ascii="Times New Roman" w:hAnsi="Times New Roman"/>
            <w:b w:val="false"/>
            <w:i w:val="false"/>
            <w:color w:val="000000"/>
            <w:sz w:val="22"/>
          </w:rPr>
          <w:t>19.4(9)</w:t>
        </w:r>
      </w:hyperlink>
      <w:r>
        <w:rPr>
          <w:rFonts w:ascii="Times New Roman" w:hAnsi="Times New Roman"/>
          <w:b w:val="false"/>
          <w:i w:val="false"/>
          <w:color w:val="000000"/>
          <w:sz w:val="22"/>
        </w:rPr>
        <w:t xml:space="preserve"> on bill form or otherwise. If the utility elects not to provide the information in subrule </w:t>
      </w:r>
      <w:hyperlink r:id="rId31">
        <w:r>
          <w:rPr>
            <w:rStyle w:val="Hyperlink"/>
            <w:rFonts w:ascii="Times New Roman" w:hAnsi="Times New Roman"/>
            <w:b w:val="false"/>
            <w:i w:val="false"/>
            <w:color w:val="000000"/>
            <w:sz w:val="22"/>
          </w:rPr>
          <w:t>19.4(9)</w:t>
        </w:r>
      </w:hyperlink>
      <w:r>
        <w:rPr>
          <w:rFonts w:ascii="Times New Roman" w:hAnsi="Times New Roman"/>
          <w:b w:val="false"/>
          <w:i w:val="false"/>
          <w:color w:val="000000"/>
          <w:sz w:val="22"/>
        </w:rPr>
        <w:t xml:space="preserve"> on the bill form, it shall advise the customer, on the bill form or by bill insert, that such information can be obtained by contacting the utility’s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19.4(11)</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a utility for residential utility service and is not in default of a payment agreement with the utility, the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six even monthly payments. Utilities will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 also include provision for payment of the current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prepaid, or sent via electronic delivery with customer consent. If delivery is by other than U.S. mail, the document is considered provided to the customer when delivered to the last-known address, including electronic addresses, of the person responsible for payment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payment agreement. The utility shall offer a second payment agreement to a customer who is in default of a first payment agreement if the customer has made at least two consecutive full payments under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 payment agreement shall be for a term at least as long as the term of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 shall pay for current service in addition to the monthly payments under the second payment agreement and may be required to make the first payment up-front as a condition of entering into the second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may also require the customer to enter into a budget billing plan to pay the current bill.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or sent via electronic delivery with customer consent. If delivery is by other than U.S. mail, the written refusal shall be considered provided to the customer when delivered to the last-known address, including electronic addresses, of the person responsible for the payment for the service.</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within ten days after the written refusal is provided. During the review of this request, the utility shall not disconnect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19.4(12)</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 xml:space="preserve">The bill is considered provided to the customer when deposited in the U.S. mail with postage prepaid, or sent via electronic delivery with customer consent. If delivery is by other than U.S. mail, the bill is considered provided when delivered to the last-known address, including an electronic address, of the party responsible for payment. The customer will have a minimum of 20 days between the providing of a bill and the date by which the account becomes delinquent. Bills for customers on more frequent billing intervals under subrule </w:t>
      </w:r>
      <w:hyperlink r:id="rId32">
        <w:r>
          <w:rPr>
            <w:rStyle w:val="Hyperlink"/>
            <w:rFonts w:ascii="Times New Roman" w:hAnsi="Times New Roman"/>
            <w:b w:val="false"/>
            <w:i w:val="false"/>
            <w:color w:val="000000"/>
            <w:sz w:val="22"/>
          </w:rPr>
          <w:t>19.3(5)</w:t>
        </w:r>
      </w:hyperlink>
      <w:r>
        <w:rPr>
          <w:rFonts w:ascii="Times New Roman" w:hAnsi="Times New Roman"/>
          <w:b w:val="false"/>
          <w:i w:val="false"/>
          <w:color w:val="000000"/>
          <w:sz w:val="22"/>
        </w:rPr>
        <w:t xml:space="preserve"> will not be considered delinquent less than five days from the date the bill is provided. However, a late payment charge will not be assessed if payment is received within 20 days of the date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delinquency for all residential customers or other customers whose consumption is less than 250 ccf per month shall be changeable for cause, such as but not limited to 15 days from the approximate date each month upon which income is received by the person responsible for payment. Utilities are not required to delay the date of delinquency more than 30 days beyond the date of preparation of the previous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customer makes partial payment in a timely manner, and does not designate the service or product for which payment is made, the payment shall be credited pro rata between the bill for utility services and related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means no effect upon the credit rating of the customer and no collection of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Budget billing plan. Utilities shall offer a budget billing plan to all residential customers or other customers whose consumption is less than 250 ccf per month. A budget billing plan should be designed to limit the volatility of a customer’s bill and maintain reasonable account balances and will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offered to each eligible customer when the customer initially requests service. The plan may be estimated if there is insufficient usage history to create a budget billing plan based on actual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 for entry into the budget billing plan anytime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a customer may request termination of the plan at any time. If the customer’s account is in arrears at the time of termination, the balance shall be due and payable at the time of termination. If there is a credit balance, the customer may obtain a refund or apply the credit to future charges. A utility is not required to offer a new budget billing plan to a customer for six months after the customer has terminated from a budget billing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 computation method that produces a reasonable monthly budget billing amount, which may take into account forward-looking factors such as fuel price and weather forecasts, and that complies with requirements in this subrule. The computation method used by the utility shall be described in the utility’s tariff. The utility shall give notice to customers when it changes the type of computation method in the budget billing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to be paid at each billing interval by a customer on a budget billing plan shall be computed at the time of entry into the plan and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budget billing amount is recomputed, the utility shall divide the budget billing plan account balance by 12, and add the resulting amount to the estimated monthly budget billing amount. Except when a utility has a budget billing plan that recomputes the budget billing amount monthly, the customer may apply any credit to payments of subsequent months’ budget billing amounts due or obtain a refund of any credit in excess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 when a utility has a budget billing plan that recomputes the budget billing amount monthly, the customer shall be notified of the recomputed payment amount not less than one full billing cycle prior to the date of delinquency for the recomputed payment. The notice may accompany the bill prior to the bill that is affected by the recomputed payment amount.</w:t>
      </w:r>
    </w:p>
    <w:p>
      <w:pPr>
        <w:spacing w:before="0" w:after="0"/>
        <w:ind w:left="120"/>
        <w:jc w:val="both"/>
      </w:pPr>
      <w:r>
        <w:rPr>
          <w:rFonts w:ascii="Times New Roman" w:hAnsi="Times New Roman"/>
          <w:b w:val="false"/>
          <w:i w:val="false"/>
          <w:color w:val="000000"/>
          <w:sz w:val="22"/>
        </w:rPr>
        <w:t>Irrespective of the account balance, a delinquency in payment is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19.4(13)</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33">
        <w:r>
          <w:rPr>
            <w:rStyle w:val="Hyperlink"/>
            <w:rFonts w:ascii="Times New Roman" w:hAnsi="Times New Roman"/>
            <w:b w:val="false"/>
            <w:i w:val="false"/>
            <w:color w:val="000000"/>
            <w:sz w:val="22"/>
          </w:rPr>
          <w:t>19.4(14)</w:t>
        </w:r>
      </w:hyperlink>
      <w:r>
        <w:rPr>
          <w:rFonts w:ascii="Times New Roman" w:hAnsi="Times New Roman"/>
          <w:b w:val="false"/>
          <w:i w:val="false"/>
          <w:color w:val="000000"/>
          <w:sz w:val="22"/>
        </w:rPr>
        <w:t xml:space="preserve"> but not less than five years. Customer billing records shall show,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Therm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19.4(14)</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billing errors or faulty metering installation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Fast metering. Whenever a metering installation is tested and found to have overregistered more than 2 percent, the utility shall recalculate the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bills for service shall be recalculated from the time at which the error first developed or occurred if that time can be definitely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time at which the error first developed or occurred cannot be definitely determined, it shall be assumed that the overregistration has existed for the shortest time period calculated as one-half the time since the meter was installed or one-half the time elapsed since the last meter test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recalculated bills indicate that $5 or more is due an existing customer or $10 or more is due a person no longer a customer of the utility, the tariff shall provide for refunding of the full amount of the calculated difference between the amount paid and the recalculated amount. Refunds shall be made to the two most recent customers who received service through the metering installation during the time the error existed.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ind w:left="120"/>
        <w:jc w:val="both"/>
      </w:pPr>
      <w:r>
        <w:rPr>
          <w:rFonts w:ascii="Times New Roman" w:hAnsi="Times New Roman"/>
          <w:b w:val="false"/>
          <w:i w:val="false"/>
          <w:color w:val="000000"/>
          <w:sz w:val="22"/>
        </w:rPr>
        <w:t>Refunds shall be completed within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Slow metering. Whenever a meter is found to be more than 2 percent slow, the tariff may provide for back billing the customer for the amount the test indicates has been undercharged for the period of inaccuracy.</w:t>
      </w:r>
    </w:p>
    <w:p>
      <w:pPr>
        <w:spacing w:before="0" w:after="0"/>
        <w:ind w:left="120"/>
        <w:jc w:val="both"/>
      </w:pPr>
      <w:r>
        <w:rPr>
          <w:rFonts w:ascii="Times New Roman" w:hAnsi="Times New Roman"/>
          <w:b w:val="false"/>
          <w:i w:val="false"/>
          <w:color w:val="000000"/>
          <w:sz w:val="22"/>
        </w:rPr>
        <w:t>When the average error cannot be determined by test because of failure of part or all of the metering equipment, the tariff may provide for use of the registration of check metering installation, if any, or for estimating the quantity consumed based on available data. The utility will advise the customer of the failure and of the basis for the estimate of quantity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may not back bill due to underregistration unless a minimum back bill amount is specified in its tariff. The minimum amount specified for back billing shall not be less than $5 for an existing customer or $10 for a former customer. All recalculations resulting in an amount due equal to or greater than the tariff specified minimum shall result in issuance of a back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for back billing shall not exceed the last six months the meter was in service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Back billings shall be provided no later than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Billing adjustments due to fast or slow meters shall be calculated on the basis that the meter should be 100 percent accurate. For the purpose of billing adjustment, the meter error shall be one-half of the algebraic sum of the error at full-rated flow plus the error at check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 or other similar reasons, the amount of the overcharge shall be adjusted, refunded, or credited to the customer. The utility shall not be required to adjust, refund, or credit the customer’s bill for a period of more than five years unless a different time period is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Undercharges. 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commission. The maximum back bill will not exceed the dollar amount equivalent to the tariffed rate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Credits and explanations. Credits due to a customer because of meter inaccuracies, errors in billing, or misapplication of rates shall be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19.4(15)</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A customer, as defined in subrule </w:t>
      </w:r>
      <w:hyperlink r:id="rId34">
        <w:r>
          <w:rPr>
            <w:rStyle w:val="Hyperlink"/>
            <w:rFonts w:ascii="Times New Roman" w:hAnsi="Times New Roman"/>
            <w:b w:val="false"/>
            <w:i w:val="false"/>
            <w:color w:val="000000"/>
            <w:sz w:val="22"/>
          </w:rPr>
          <w:t>19.1(2)</w:t>
        </w:r>
      </w:hyperlink>
      <w:r>
        <w:rPr>
          <w:rFonts w:ascii="Times New Roman" w:hAnsi="Times New Roman"/>
          <w:b w:val="false"/>
          <w:i w:val="false"/>
          <w:color w:val="000000"/>
          <w:sz w:val="22"/>
        </w:rPr>
        <w:t>, may be refused or disconnected from service in accordance with tariffs that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give written notice of pending disconnection except as specified in paragraph </w:t>
      </w:r>
      <w:hyperlink r:id="rId35">
        <w:r>
          <w:rPr>
            <w:rStyle w:val="Hyperlink"/>
            <w:rFonts w:ascii="Times New Roman" w:hAnsi="Times New Roman"/>
            <w:b w:val="false"/>
            <w:i w:val="false"/>
            <w:color w:val="000000"/>
            <w:sz w:val="22"/>
          </w:rPr>
          <w:t>19.4(15)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notice shall set forth the reason for the notice and final date by which the account is to be settled or specific action taken. The notice is considered provided to the customer when addressed to the customer’s last-known address and deposited in the U.S. mail with postage prepaid. If delivery is by other than U.S. mail, the notice is considered provided when delivered to the last-known address of the person responsible for payment for the service. The date for disconnection of service shall be not less than 12 days after the notice is provided. The date for disconnection of service for customers on shorter billing intervals under subrule </w:t>
      </w:r>
      <w:hyperlink r:id="rId36">
        <w:r>
          <w:rPr>
            <w:rStyle w:val="Hyperlink"/>
            <w:rFonts w:ascii="Times New Roman" w:hAnsi="Times New Roman"/>
            <w:b w:val="false"/>
            <w:i w:val="false"/>
            <w:color w:val="000000"/>
            <w:sz w:val="22"/>
          </w:rPr>
          <w:t>19.3(5)</w:t>
        </w:r>
      </w:hyperlink>
      <w:r>
        <w:rPr>
          <w:rFonts w:ascii="Times New Roman" w:hAnsi="Times New Roman"/>
          <w:b w:val="false"/>
          <w:i w:val="false"/>
          <w:color w:val="000000"/>
          <w:sz w:val="22"/>
        </w:rPr>
        <w:t xml:space="preserve"> shall not be less than 24 hours after the notice is posted at the service premises.</w:t>
      </w:r>
    </w:p>
    <w:p>
      <w:pPr>
        <w:spacing w:before="0" w:after="0"/>
        <w:ind w:left="120"/>
        <w:jc w:val="both"/>
      </w:pPr>
      <w:r>
        <w:rPr>
          <w:rFonts w:ascii="Times New Roman" w:hAnsi="Times New Roman"/>
          <w:b w:val="false"/>
          <w:i w:val="false"/>
          <w:color w:val="000000"/>
          <w:sz w:val="22"/>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of a condition determined by the utility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customer use of equipment in a manner that adversely affects the utility’s equipment or the utility’s service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of tampering with the equipment furnished and owned by the utility. For the purposes of this subrule, a broken or absent meter seal alone shall not constitute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or refused after proper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furnish the service equipment, permits, certificates, or rights-of-way that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may be refused or disconnected after proper notice for nonpayment of a bill or deposit, except as restricted by subrules </w:t>
      </w:r>
      <w:hyperlink r:id="rId37">
        <w:r>
          <w:rPr>
            <w:rStyle w:val="Hyperlink"/>
            <w:rFonts w:ascii="Times New Roman" w:hAnsi="Times New Roman"/>
            <w:b w:val="false"/>
            <w:i w:val="false"/>
            <w:color w:val="000000"/>
            <w:sz w:val="22"/>
          </w:rPr>
          <w:t>19.4(16)</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19.4(17)</w:t>
        </w:r>
      </w:hyperlink>
      <w:r>
        <w:rPr>
          <w:rFonts w:ascii="Times New Roman" w:hAnsi="Times New Roman"/>
          <w:b w:val="false"/>
          <w:i w:val="false"/>
          <w:color w:val="000000"/>
          <w:sz w:val="22"/>
        </w:rPr>
        <w:t>, provided that the utility has complied with the following provisions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39">
        <w:r>
          <w:rPr>
            <w:rStyle w:val="Hyperlink"/>
            <w:rFonts w:ascii="Times New Roman" w:hAnsi="Times New Roman"/>
            <w:b w:val="false"/>
            <w:i w:val="false"/>
            <w:color w:val="000000"/>
            <w:sz w:val="22"/>
          </w:rPr>
          <w:t>19.3(5)</w:t>
        </w:r>
      </w:hyperlink>
      <w:r>
        <w:rPr>
          <w:rFonts w:ascii="Times New Roman" w:hAnsi="Times New Roman"/>
          <w:b w:val="false"/>
          <w:i w:val="false"/>
          <w:color w:val="000000"/>
          <w:sz w:val="22"/>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summary of the rights and responsibilities must be approved by the commission. Any utility providing gas service and defined as a public utility in Iowa Code section </w:t>
      </w:r>
      <w:hyperlink r:id="rId40">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that does not use the standard form set forth below for customers billed monthly shall submit to the commission electronically its proposed form for approval. A utility billing a combination customer for both gas and electric service may modify the standard form to replace each use of the word “gas” with the words “gas and electric” in all instances.</w:t>
      </w:r>
    </w:p>
    <w:p>
      <w:pPr>
        <w:spacing w:before="0" w:after="0"/>
        <w:ind w:left="120"/>
        <w:jc w:val="center"/>
      </w:pPr>
      <w:r>
        <w:rPr>
          <w:rFonts w:ascii="Times New Roman" w:hAnsi="Times New Roman"/>
          <w:b/>
          <w:i w:val="false"/>
          <w:color w:val="000000"/>
          <w:sz w:val="22"/>
        </w:rPr>
        <w:t>CUSTOMER RIGHTS AND RESPONSIBILITIES TO AVOID SHUTOFF</w:t>
      </w:r>
    </w:p>
    <w:p>
      <w:pPr>
        <w:spacing w:before="0" w:after="0"/>
        <w:ind w:left="120"/>
        <w:jc w:val="center"/>
      </w:pPr>
      <w:r>
        <w:rPr>
          <w:rFonts w:ascii="Times New Roman" w:hAnsi="Times New Roman"/>
          <w:b/>
          <w:i w:val="false"/>
          <w:color w:val="000000"/>
          <w:sz w:val="22"/>
        </w:rPr>
        <w:t>OF GAS SERVICE FOR NONPAYMENT</w:t>
      </w:r>
    </w:p>
    <w:p>
      <w:pPr>
        <w:spacing w:before="0" w:after="0"/>
        <w:ind w:left="120"/>
        <w:jc w:val="both"/>
      </w:pPr>
      <w:r>
        <w:rPr>
          <w:rFonts w:ascii="Times New Roman" w:hAnsi="Times New Roman"/>
          <w:b/>
          <w:i w:val="false"/>
          <w:color w:val="000000"/>
          <w:sz w:val="22"/>
        </w:rPr>
        <w:t>1. What can I do if I receive a notice from the utility that says my gas service will be shut off because I have a past due bill?</w:t>
      </w:r>
    </w:p>
    <w:p>
      <w:pPr>
        <w:spacing w:before="0" w:after="0"/>
        <w:ind w:left="120"/>
        <w:jc w:val="both"/>
      </w:pPr>
      <w:r>
        <w:rPr>
          <w:rFonts w:ascii="Times New Roman" w:hAnsi="Times New Roman"/>
          <w:b w:val="false"/>
          <w:i w:val="false"/>
          <w:color w:val="000000"/>
          <w:sz w:val="22"/>
        </w:rPr>
        <w:t>a. Pay the bill in full; or</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Apply for and become eligible for low-income energy assistance (see #3 below); or</w:t>
      </w:r>
    </w:p>
    <w:p>
      <w:pPr>
        <w:spacing w:before="0" w:after="0"/>
        <w:ind w:left="120"/>
        <w:jc w:val="both"/>
      </w:pPr>
      <w:r>
        <w:rPr>
          <w:rFonts w:ascii="Times New Roman" w:hAnsi="Times New Roman"/>
          <w:b w:val="false"/>
          <w:i w:val="false"/>
          <w:color w:val="000000"/>
          <w:sz w:val="22"/>
        </w:rPr>
        <w:t>d. Give the utility a written statement from a doctor or public health official stating that shutting off your gas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 income energy assistance? (Residential customers only)</w:t>
      </w:r>
    </w:p>
    <w:p>
      <w:pPr>
        <w:spacing w:before="0" w:after="0"/>
        <w:ind w:left="120"/>
        <w:jc w:val="both"/>
      </w:pPr>
      <w:r>
        <w:rPr>
          <w:rFonts w:ascii="Times New Roman" w:hAnsi="Times New Roman"/>
          <w:b w:val="false"/>
          <w:i w:val="false"/>
          <w:color w:val="000000"/>
          <w:sz w:val="22"/>
        </w:rPr>
        <w:t xml:space="preserve">a. Applications are taken at your local community action agency. If you are unsure where to apply, call 211 or 800.244.7431, or visit </w:t>
      </w:r>
      <w:hyperlink r:id="rId41">
        <w:r>
          <w:rPr>
            <w:rStyle w:val="Hyperlink"/>
            <w:rFonts w:ascii="Times New Roman" w:hAnsi="Times New Roman"/>
            <w:b w:val="false"/>
            <w:i w:val="false"/>
            <w:color w:val="000000"/>
            <w:sz w:val="22"/>
            <w:u w:val="single"/>
          </w:rPr>
          <w:t>hhs.iowa.gov/programs/programs-and-services/liheap</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 Between November 1 and April 1, the utility will delay disconnection of your service for 30 days once you notify the utility that you are applying for energy assistance or weatherization assistance, to allow you time to obtain assistance. Only one 30-day delay is required during the moratorium period.</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five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full payment or a payment agreement has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up to 45 days from the date the bill was mailed while you and the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utility shut off my utility service because I have not paid my bill?</w:t>
      </w:r>
    </w:p>
    <w:p>
      <w:pPr>
        <w:spacing w:before="0" w:after="0"/>
        <w:ind w:left="120"/>
        <w:jc w:val="both"/>
      </w:pPr>
      <w:r>
        <w:rPr>
          <w:rFonts w:ascii="Times New Roman" w:hAnsi="Times New Roman"/>
          <w:b w:val="false"/>
          <w:i w:val="false"/>
          <w:color w:val="000000"/>
          <w:sz w:val="22"/>
        </w:rPr>
        <w:t>a. Your utility can shut off service between the hours of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2 p.m., Monday through Friday.</w:t>
      </w:r>
    </w:p>
    <w:p>
      <w:pPr>
        <w:spacing w:before="0" w:after="0"/>
        <w:ind w:left="120"/>
        <w:jc w:val="both"/>
      </w:pPr>
      <w:r>
        <w:rPr>
          <w:rFonts w:ascii="Times New Roman" w:hAnsi="Times New Roman"/>
          <w:b w:val="false"/>
          <w:i w:val="false"/>
          <w:color w:val="000000"/>
          <w:sz w:val="22"/>
        </w:rPr>
        <w:t>b. The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e. If you have qualified for low-income energy assistance, the utility cannot shut off your service from November 1 through April 1. However, you will still owe the utility for the service used during this time.</w:t>
      </w:r>
    </w:p>
    <w:p>
      <w:pPr>
        <w:spacing w:before="0" w:after="0"/>
        <w:ind w:left="120"/>
        <w:jc w:val="both"/>
      </w:pPr>
      <w:r>
        <w:rPr>
          <w:rFonts w:ascii="Times New Roman" w:hAnsi="Times New Roman"/>
          <w:b w:val="false"/>
          <w:i w:val="false"/>
          <w:color w:val="000000"/>
          <w:sz w:val="22"/>
        </w:rPr>
        <w:t>f. The utility will not shut off your service if you have notified the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ind w:left="120"/>
        <w:jc w:val="both"/>
      </w:pPr>
      <w:r>
        <w:rPr>
          <w:rFonts w:ascii="Times New Roman" w:hAnsi="Times New Roman"/>
          <w:b/>
          <w:i w:val="false"/>
          <w:color w:val="000000"/>
          <w:sz w:val="22"/>
        </w:rPr>
        <w:t>7. How will I be told the utility is going to shut off my gas service?</w:t>
      </w:r>
    </w:p>
    <w:p>
      <w:pPr>
        <w:spacing w:before="0" w:after="0"/>
        <w:ind w:left="120"/>
        <w:jc w:val="both"/>
      </w:pPr>
      <w:r>
        <w:rPr>
          <w:rFonts w:ascii="Times New Roman" w:hAnsi="Times New Roman"/>
          <w:b w:val="false"/>
          <w:i w:val="false"/>
          <w:color w:val="000000"/>
          <w:sz w:val="22"/>
        </w:rPr>
        <w:t>a. You must be given a written notice at least 12 days before the utility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utility must also try to reach you by telephone or in person before it shuts off your service. From November 1 through April 1, if the utility cannot reach you by telephone or in person, the utility will put a written notice on the door or another conspicuous place of your residence to tell you that your utility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if you pay the whole amount you owe or agree to a reasonable payment plan.</w:t>
      </w:r>
    </w:p>
    <w:p>
      <w:pPr>
        <w:spacing w:before="0" w:after="0"/>
        <w:ind w:left="120"/>
        <w:jc w:val="both"/>
      </w:pPr>
      <w:r>
        <w:rPr>
          <w:rFonts w:ascii="Times New Roman" w:hAnsi="Times New Roman"/>
          <w:b w:val="false"/>
          <w:i w:val="false"/>
          <w:color w:val="000000"/>
          <w:sz w:val="22"/>
        </w:rPr>
        <w:t>b. If you make your payment during the utility’s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regular business hours, the utility must make a reasonable effort to turn your service back on that day. If service cannot reasonably be turned on that same day, the utility must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utility may charge you a fee to turn your service back on. The fee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Avenue, Des Moines, Iowa 50319-0069, or by email at </w:t>
      </w:r>
      <w:hyperlink r:id="rId42">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disconnecting service to a residence, the utility has made a diligent attempt to contact, by telephone or in person, the person responsible for payment for service to the residence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ind w:left="120"/>
        <w:jc w:val="both"/>
      </w:pPr>
      <w:r>
        <w:rPr>
          <w:rFonts w:ascii="Times New Roman" w:hAnsi="Times New Roman"/>
          <w:b w:val="false"/>
          <w:i w:val="false"/>
          <w:color w:val="000000"/>
          <w:sz w:val="22"/>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which will be provided at least 48 hours prior to disconnection of service to a tenant.</w:t>
      </w:r>
    </w:p>
    <w:p>
      <w:pPr>
        <w:spacing w:before="0" w:after="0"/>
        <w:ind w:left="120"/>
        <w:jc w:val="both"/>
      </w:pPr>
      <w:r>
        <w:rPr>
          <w:rFonts w:ascii="Times New Roman" w:hAnsi="Times New Roman"/>
          <w:b w:val="false"/>
          <w:i w:val="false"/>
          <w:color w:val="000000"/>
          <w:sz w:val="22"/>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Disputed bill. If the customer has received notice of disconnection and has a dispute concerning a bill for natural gas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may be extended by the commission in the event the customer files a written complaint with the commission in compliance with </w:t>
      </w:r>
      <w:hyperlink r:id="rId43">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Reconnection. Disconnection of a residential customer may take place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a weekday and not on weekends or holidays. If a disconnected customer makes payment or other arrangements during the utility’s normal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Severe cold weather. A disconnection may not take place where gas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of a resident.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ind w:left="120"/>
        <w:jc w:val="both"/>
      </w:pPr>
      <w:r>
        <w:rPr>
          <w:rFonts w:ascii="Times New Roman" w:hAnsi="Times New Roman"/>
          <w:b w:val="false"/>
          <w:i w:val="false"/>
          <w:color w:val="000000"/>
          <w:sz w:val="22"/>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44">
        <w:r>
          <w:rPr>
            <w:rStyle w:val="Hyperlink"/>
            <w:rFonts w:ascii="Times New Roman" w:hAnsi="Times New Roman"/>
            <w:b w:val="false"/>
            <w:i w:val="false"/>
            <w:color w:val="000000"/>
            <w:sz w:val="22"/>
          </w:rPr>
          <w:t>19.4(15)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Winter energy assistance (November 1 through April 1). If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public utility by the community action agency as eligible for either the low-income home energy assistance program or weatherization assistance program. A utility may develop an incentive program to delay disconnection on April 1 for customers who make payments throughout the November 1 through April 1 period. All such incentive programs shall be set forth in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Deployment. If the utility is informed that one of the heads of household, as defined in Iowa Code section </w:t>
      </w:r>
      <w:hyperlink r:id="rId45">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46">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Abnormal gas consumption. A customer who is subject to disconnection for nonpayment of bill, and who has gas consumption that appears to the customer to be abnormally high, may request the utility to provide assistance in identifying the factors contributing to this usage pattern and to suggest remedial measures. The utility shall provide assistance by discussing patterns of gas usage that may be readily identifiable, suggesting that an energy audit be conducted, and identifying sources of energy conservation information and financial assistance that may be available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disconnect gas service without the written 12-day notice for failure of the customer to comply with the terms of a payment agreement, except as provided in numbered paragraph </w:t>
      </w:r>
      <w:hyperlink r:id="rId47">
        <w:r>
          <w:rPr>
            <w:rStyle w:val="Hyperlink"/>
            <w:rFonts w:ascii="Times New Roman" w:hAnsi="Times New Roman"/>
            <w:b w:val="false"/>
            <w:i w:val="false"/>
            <w:color w:val="000000"/>
            <w:sz w:val="22"/>
          </w:rPr>
          <w:t>19.4(11)</w:t>
        </w:r>
      </w:hyperlink>
      <w:r>
        <w:rPr>
          <w:rFonts w:ascii="Times New Roman" w:hAnsi="Times New Roman"/>
          <w:b w:val="false"/>
          <w:i/>
          <w:color w:val="000000"/>
          <w:sz w:val="22"/>
        </w:rPr>
        <w:t>“c”</w:t>
      </w:r>
      <w:r>
        <w:rPr>
          <w:rFonts w:ascii="Times New Roman" w:hAnsi="Times New Roman"/>
          <w:b w:val="false"/>
          <w:i w:val="false"/>
          <w:color w:val="000000"/>
          <w:sz w:val="22"/>
        </w:rPr>
        <w:t xml:space="preserve">(1)“4,” provided the utility complies with the provisions of paragraph </w:t>
      </w:r>
      <w:hyperlink r:id="rId48">
        <w:r>
          <w:rPr>
            <w:rStyle w:val="Hyperlink"/>
            <w:rFonts w:ascii="Times New Roman" w:hAnsi="Times New Roman"/>
            <w:b w:val="false"/>
            <w:i w:val="false"/>
            <w:color w:val="000000"/>
            <w:sz w:val="22"/>
          </w:rPr>
          <w:t>19.4(15)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November 1, utilities will mail customers a notice describing the availability of winter energy assistance funds and the application process. The notice must be of a type size that is easily legible and conspicuous and contain the information set out by the state agency administering the assistance program. A utility serving fewer than 25,000 customers may publish the notice in a customer newsletter in lieu of mailing. A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19.4(16)</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 not constitute sufficient cause for refusal of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for merchandise purchased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public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the back bill provided in accordance with paragraph </w:t>
      </w:r>
      <w:hyperlink r:id="rId49">
        <w:r>
          <w:rPr>
            <w:rStyle w:val="Hyperlink"/>
            <w:rFonts w:ascii="Times New Roman" w:hAnsi="Times New Roman"/>
            <w:b w:val="false"/>
            <w:i w:val="false"/>
            <w:color w:val="000000"/>
            <w:sz w:val="22"/>
          </w:rPr>
          <w:t>19.4(14)</w:t>
        </w:r>
      </w:hyperlink>
      <w:r>
        <w:rPr>
          <w:rFonts w:ascii="Times New Roman" w:hAnsi="Times New Roman"/>
          <w:b w:val="false"/>
          <w:i/>
          <w:color w:val="000000"/>
          <w:sz w:val="22"/>
        </w:rPr>
        <w:t>“b”</w:t>
      </w:r>
      <w:r>
        <w:rPr>
          <w:rFonts w:ascii="Times New Roman" w:hAnsi="Times New Roman"/>
          <w:b w:val="false"/>
          <w:i w:val="false"/>
          <w:color w:val="000000"/>
          <w:sz w:val="22"/>
        </w:rPr>
        <w:t xml:space="preserve"> (slow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adjusted bills based on the undercharges set forth in paragraph </w:t>
      </w:r>
      <w:hyperlink r:id="rId50">
        <w:r>
          <w:rPr>
            <w:rStyle w:val="Hyperlink"/>
            <w:rFonts w:ascii="Times New Roman" w:hAnsi="Times New Roman"/>
            <w:b w:val="false"/>
            <w:i w:val="false"/>
            <w:color w:val="000000"/>
            <w:sz w:val="22"/>
          </w:rPr>
          <w:t>19.4(14)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of a residential customer to pay a deposit during the period November 1 through April 1 for the location at which the customer has been receiving service in the customer’s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an occupant, if the customer applying for service is creditworthy and able to satisfy any deposit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last date of service for the account giving rise to the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disconnection of service for the account giving rise to the delinquency,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voluntary payment or voluntary written promise of payment made by the customer, if made before the ten-year period described in this paragraph has otherwise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19.4(17)</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disconnection may take place from November 1 through April 1 for a resident who is a head of household and who has been certified to the public utility by the local community action agency as being eligible for either the low-income home energy assistance program or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informed that one of the heads of household as defined in Iowa Code section </w:t>
      </w:r>
      <w:hyperlink r:id="rId51">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2">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19.4(18)</w:t>
      </w:r>
      <w:r>
        <w:rPr>
          <w:rFonts w:ascii="Times New Roman" w:hAnsi="Times New Roman"/>
          <w:b w:val="false"/>
          <w:i w:val="false"/>
          <w:color w:val="000000"/>
          <w:sz w:val="22"/>
        </w:rPr>
        <w:t> </w:t>
      </w:r>
      <w:r>
        <w:rPr>
          <w:rFonts w:ascii="Times New Roman" w:hAnsi="Times New Roman"/>
          <w:b w:val="false"/>
          <w:i/>
          <w:color w:val="000000"/>
          <w:sz w:val="22"/>
        </w:rPr>
        <w:t xml:space="preserve">Change in character of service. </w:t>
      </w:r>
      <w:r>
        <w:rPr>
          <w:rFonts w:ascii="Times New Roman" w:hAnsi="Times New Roman"/>
          <w:b w:val="false"/>
          <w:i w:val="false"/>
          <w:color w:val="000000"/>
          <w:sz w:val="22"/>
        </w:rPr>
        <w:t>The following shall apply to a material change in the character of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Changes under the control of the utility. </w:t>
      </w:r>
      <w:r>
        <w:rPr>
          <w:rFonts w:ascii="Times New Roman" w:hAnsi="Times New Roman"/>
          <w:b w:val="false"/>
          <w:i w:val="false"/>
          <w:color w:val="000000"/>
          <w:sz w:val="22"/>
        </w:rPr>
        <w:t xml:space="preserve">The utility shall make such changes only with the approval of the commission and after adequate notice to the customers (paragraph </w:t>
      </w:r>
      <w:hyperlink r:id="rId53">
        <w:r>
          <w:rPr>
            <w:rStyle w:val="Hyperlink"/>
            <w:rFonts w:ascii="Times New Roman" w:hAnsi="Times New Roman"/>
            <w:b w:val="false"/>
            <w:i w:val="false"/>
            <w:color w:val="000000"/>
            <w:sz w:val="22"/>
          </w:rPr>
          <w:t>19.7(6)</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Changes not under control of the utility or customer. </w:t>
      </w:r>
      <w:r>
        <w:rPr>
          <w:rFonts w:ascii="Times New Roman" w:hAnsi="Times New Roman"/>
          <w:b w:val="false"/>
          <w:i w:val="false"/>
          <w:color w:val="000000"/>
          <w:sz w:val="22"/>
        </w:rPr>
        <w:t xml:space="preserve">Utilities will adjust appliances to attain the proper combustion of the gas supplied. Due consideration shall be given to the gas heating value and specific gravity (paragraph </w:t>
      </w:r>
      <w:hyperlink r:id="rId54">
        <w:r>
          <w:rPr>
            <w:rStyle w:val="Hyperlink"/>
            <w:rFonts w:ascii="Times New Roman" w:hAnsi="Times New Roman"/>
            <w:b w:val="false"/>
            <w:i w:val="false"/>
            <w:color w:val="000000"/>
            <w:sz w:val="22"/>
          </w:rPr>
          <w:t>19.7(6)</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Appliance adjustment charge. </w:t>
      </w:r>
      <w:r>
        <w:rPr>
          <w:rFonts w:ascii="Times New Roman" w:hAnsi="Times New Roman"/>
          <w:b w:val="false"/>
          <w:i w:val="false"/>
          <w:color w:val="000000"/>
          <w:sz w:val="22"/>
        </w:rPr>
        <w:t>Utilities will make any necessary adjustments to the customer’s appliances without charge and shall conduct the adjustment program with a minimum of inconvenience to the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19.4(19)</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Utilities will investigate promptly and thoroughly and keep a record of written complaints and all other reasonable complaints received by it from its customers in regard to safety, service, or rates, and the operation of its system that will enable it to review and analyze its procedures and actions. The record shall show the name and address of the complainant, the date and nature of the complaint, and its disposition and the date thereof. All complaints caused by a major outage or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Tariffs will include a concise, fully informative procedure for the resolution of customer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steps will be taken to ensure that customers unable to travel are not denied the right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step in a complaint hearing and review procedure shall be a filing for commission resolution of the issues.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gas plant of the utility shall be constructed, installed, maintained, and operated in accordance with accepted good engineering practice in the gas industry to ensure,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construction, operation, and maintenance of gas systems and liquefied natural gas facilities shall be in accordance with the following standards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49 CFR Part 191</w:t>
      </w:r>
      <w:r>
        <w:rPr>
          <w:rFonts w:ascii="Times New Roman" w:hAnsi="Times New Roman"/>
          <w:b w:val="false"/>
          <w:i w:val="false"/>
          <w:color w:val="000000"/>
          <w:sz w:val="22"/>
        </w:rPr>
        <w:t>, “Transportation of Natural and Other Gas by Pipeline; Annual Reports, Incident Reports, and Safety-Related Condition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49 CFR Part 192</w:t>
      </w:r>
      <w:r>
        <w:rPr>
          <w:rFonts w:ascii="Times New Roman" w:hAnsi="Times New Roman"/>
          <w:b w:val="false"/>
          <w:i w:val="false"/>
          <w:color w:val="000000"/>
          <w:sz w:val="22"/>
        </w:rPr>
        <w:t>, “Transportation of Natural and Other Gas by Pipeline: Minimum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49 CFR Part 193</w:t>
      </w:r>
      <w:r>
        <w:rPr>
          <w:rFonts w:ascii="Times New Roman" w:hAnsi="Times New Roman"/>
          <w:b w:val="false"/>
          <w:i w:val="false"/>
          <w:color w:val="000000"/>
          <w:sz w:val="22"/>
        </w:rPr>
        <w:t>, “Liquefied Natural Gas Facilities: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49 CFR Part 199</w:t>
      </w:r>
      <w:r>
        <w:rPr>
          <w:rFonts w:ascii="Times New Roman" w:hAnsi="Times New Roman"/>
          <w:b w:val="false"/>
          <w:i w:val="false"/>
          <w:color w:val="000000"/>
          <w:sz w:val="22"/>
        </w:rPr>
        <w:t>, “Drug and Alcohol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ASME B31.8 - 2022, “Gas Transmission and Distribution Piping Systems,” published December 22,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NFPA 59 - 2024, “Utility LP-Gas Plant Code,” published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the engineering standards for pipelines rule in </w:t>
      </w:r>
      <w:hyperlink r:id="rId60">
        <w:r>
          <w:rPr>
            <w:rStyle w:val="Hyperlink"/>
            <w:rFonts w:ascii="Times New Roman" w:hAnsi="Times New Roman"/>
            <w:b w:val="false"/>
            <w:i w:val="false"/>
            <w:color w:val="000000"/>
            <w:sz w:val="22"/>
          </w:rPr>
          <w:t>199—Chapter 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publications are adopted as standards of accepted good practice for gas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ANSI Z223.1/NFPA 54 - 2024, “National Fuel Gas Code,” published January 26,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NFPA 501A - 2021, “Standard for Fire Safety Criteria for Manufactured Home Installations, Sites, and Communities,” published January 1,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Adequacy of gas supply. </w:t>
      </w:r>
      <w:r>
        <w:rPr>
          <w:rFonts w:ascii="Times New Roman" w:hAnsi="Times New Roman"/>
          <w:b w:val="false"/>
          <w:i w:val="false"/>
          <w:color w:val="000000"/>
          <w:sz w:val="22"/>
        </w:rPr>
        <w:t>The natural gas regularly available from supply sources supplemented by production or storage capacity must be sufficiently large to meet all reasonable demands for firm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Gas transmission and distribution facilities. </w:t>
      </w:r>
      <w:r>
        <w:rPr>
          <w:rFonts w:ascii="Times New Roman" w:hAnsi="Times New Roman"/>
          <w:b w:val="false"/>
          <w:i w:val="false"/>
          <w:color w:val="000000"/>
          <w:sz w:val="22"/>
        </w:rPr>
        <w:t>The utility’s gas transmission and distribution facilities shall be designed, constructed and maintained as required to reliably perform the gas delivery burden placed upon them. Utilities will be capable of emergency repair work on a scale consistent with its scope of operation and with the physical conditions of its transmission and distribution facilities.</w:t>
      </w:r>
    </w:p>
    <w:p>
      <w:pPr>
        <w:spacing w:before="0" w:after="0"/>
        <w:ind w:left="120"/>
        <w:jc w:val="both"/>
      </w:pPr>
      <w:r>
        <w:rPr>
          <w:rFonts w:ascii="Times New Roman" w:hAnsi="Times New Roman"/>
          <w:b w:val="false"/>
          <w:i w:val="false"/>
          <w:color w:val="000000"/>
          <w:sz w:val="22"/>
        </w:rPr>
        <w:t>In appraising the reliability of the utility’s transmission and distribution system, the commission will consider, as principal factors, the condition of the physical property and the size, training, supervision, availability, equipment and mobility of the maintenance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Inspection of gas plant. </w:t>
      </w:r>
      <w:r>
        <w:rPr>
          <w:rFonts w:ascii="Times New Roman" w:hAnsi="Times New Roman"/>
          <w:b w:val="false"/>
          <w:i w:val="false"/>
          <w:color w:val="000000"/>
          <w:sz w:val="22"/>
        </w:rPr>
        <w:t>Utilities will adopt and follow a program of inspection of its gas plant in order to determine the necessity for replacement and repair. The frequency of the various inspections shall be based on the utility’s experience and accepted good practice. Utilities will keep sufficient records to give evidence of compliance with its inspection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program. </w:t>
      </w:r>
      <w:r>
        <w:rPr>
          <w:rFonts w:ascii="Times New Roman" w:hAnsi="Times New Roman"/>
          <w:b w:val="false"/>
          <w:i w:val="false"/>
          <w:color w:val="000000"/>
          <w:sz w:val="22"/>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commission considers the publications listed in subrule </w:t>
      </w:r>
      <w:hyperlink r:id="rId61">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xml:space="preserve"> to be representative of accepted good practice. Each utility shall maintain inspection and testing records for each meter and associated device until three years after its retirement.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Program content. </w:t>
      </w:r>
      <w:r>
        <w:rPr>
          <w:rFonts w:ascii="Times New Roman" w:hAnsi="Times New Roman"/>
          <w:b w:val="false"/>
          <w:i w:val="false"/>
          <w:color w:val="000000"/>
          <w:sz w:val="22"/>
        </w:rPr>
        <w:t>The written program shall, at minimum, address the following subject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Classification of meters by capacity, type, and any other factor considered pertinent.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Checking of new meters for acceptable accuracy before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of in-service meters, including any associated instruments or corrective devices, for accuracy, adjustments, or repairs, and including meters removed from service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Periodic calibration or testing of devices or instruments used by the utility to test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Leak testing of meters before return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limits of meter accuracy considered acceptable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nature of meter and meter test records maintained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Accepted good practice. </w:t>
      </w:r>
      <w:r>
        <w:rPr>
          <w:rFonts w:ascii="Times New Roman" w:hAnsi="Times New Roman"/>
          <w:b w:val="false"/>
          <w:i w:val="false"/>
          <w:color w:val="000000"/>
          <w:sz w:val="22"/>
        </w:rPr>
        <w:t>The following publications are considered to be representative of accepted good practice in matters of metering and meter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Gas Displacement Meters (500 Cubic Feet Per Hour Capacity and Under), ANSI B109.1-2000, published January 12,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Diaphragm Type Gas Displacement Meters (Over 500 Cubic Feet Per Hour Capacity), ANSI B109.2-2000, published January 12,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Rotary Type Gas Displacement Meters, ANSI B109.3-2000, published January 12,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Measurement of Gas Flow by Turbine Meters, ANSI/ASME MFC-4M-1986 (Reaffirmed 2016), issued July 15,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Orifice Metering of Natural Gas and Other Related Hydrocarbon Fluids, API MPMS Chapter </w:t>
      </w:r>
      <w:hyperlink r:id="rId62">
        <w:r>
          <w:rPr>
            <w:rStyle w:val="Hyperlink"/>
            <w:rFonts w:ascii="Times New Roman" w:hAnsi="Times New Roman"/>
            <w:b w:val="false"/>
            <w:i w:val="false"/>
            <w:color w:val="000000"/>
            <w:sz w:val="22"/>
          </w:rPr>
          <w:t>14.3</w:t>
        </w:r>
      </w:hyperlink>
      <w:r>
        <w:rPr>
          <w:rFonts w:ascii="Times New Roman" w:hAnsi="Times New Roman"/>
          <w:b w:val="false"/>
          <w:i w:val="false"/>
          <w:color w:val="000000"/>
          <w:sz w:val="22"/>
        </w:rPr>
        <w:t>, Parts 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Meter adjustment. </w:t>
      </w:r>
      <w:r>
        <w:rPr>
          <w:rFonts w:ascii="Times New Roman" w:hAnsi="Times New Roman"/>
          <w:b w:val="false"/>
          <w:i w:val="false"/>
          <w:color w:val="000000"/>
          <w:sz w:val="22"/>
        </w:rPr>
        <w:t>All meters and associated metering devices, when tested, will be adjusted as closely as practicable to the condition of zero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Utilities will test a customer’s meter at the customer’s request, but need not do so more frequently than once in 18 months.</w:t>
      </w:r>
    </w:p>
    <w:p>
      <w:pPr>
        <w:spacing w:before="0" w:after="0"/>
        <w:ind w:left="120"/>
        <w:jc w:val="both"/>
      </w:pPr>
      <w:r>
        <w:rPr>
          <w:rFonts w:ascii="Times New Roman" w:hAnsi="Times New Roman"/>
          <w:b w:val="false"/>
          <w:i w:val="false"/>
          <w:color w:val="000000"/>
          <w:sz w:val="22"/>
        </w:rPr>
        <w:t>Test results will be mailed to the customer within ten days of the completed test, and a record of each test shall be kept on file at the utility’s office. The utility shall give the customer or a representative of the customer the opportunity to be present while the test is conducted.</w:t>
      </w:r>
    </w:p>
    <w:p>
      <w:pPr>
        <w:spacing w:before="0" w:after="0"/>
        <w:ind w:left="120"/>
        <w:jc w:val="both"/>
      </w:pPr>
      <w:r>
        <w:rPr>
          <w:rFonts w:ascii="Times New Roman" w:hAnsi="Times New Roman"/>
          <w:b w:val="false"/>
          <w:i w:val="false"/>
          <w:color w:val="000000"/>
          <w:sz w:val="22"/>
        </w:rPr>
        <w:t>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Referee tests. </w:t>
      </w:r>
      <w:r>
        <w:rPr>
          <w:rFonts w:ascii="Times New Roman" w:hAnsi="Times New Roman"/>
          <w:b w:val="false"/>
          <w:i w:val="false"/>
          <w:color w:val="000000"/>
          <w:sz w:val="22"/>
        </w:rPr>
        <w:t xml:space="preserve">Upon written request by a customer or utility, the commission will conduct a referee test of a meter but not more frequently than once in 18 months. In addition to the written request, the customer will also provide the utility with a $30 deposit. The customer’s request to the commission will indicate that the deposit has been paid. </w:t>
      </w:r>
    </w:p>
    <w:p>
      <w:pPr>
        <w:spacing w:before="0" w:after="0"/>
        <w:ind w:left="120"/>
        <w:jc w:val="both"/>
      </w:pPr>
      <w:r>
        <w:rPr>
          <w:rFonts w:ascii="Times New Roman" w:hAnsi="Times New Roman"/>
          <w:b w:val="false"/>
          <w:i w:val="false"/>
          <w:color w:val="000000"/>
          <w:sz w:val="22"/>
        </w:rPr>
        <w:t xml:space="preserve">Within five days of receipt of the written request and payment, the commission will notify the utility of the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made pursuant to subrule </w:t>
      </w:r>
      <w:hyperlink r:id="rId63">
        <w:r>
          <w:rPr>
            <w:rStyle w:val="Hyperlink"/>
            <w:rFonts w:ascii="Times New Roman" w:hAnsi="Times New Roman"/>
            <w:b w:val="false"/>
            <w:i w:val="false"/>
            <w:color w:val="000000"/>
            <w:sz w:val="22"/>
          </w:rPr>
          <w:t>19.4(14)</w:t>
        </w:r>
      </w:hyperlink>
      <w:r>
        <w:rPr>
          <w:rFonts w:ascii="Times New Roman" w:hAnsi="Times New Roman"/>
          <w:b w:val="false"/>
          <w:i w:val="false"/>
          <w:color w:val="000000"/>
          <w:sz w:val="22"/>
        </w:rPr>
        <w:t>. The commission will issue its report after the test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 xml:space="preserve">No meter that is known to be mechanically defective, has an incorrect correction factor, or has not been tested and adjusted, if necessary, in accordance with paragraphs </w:t>
      </w:r>
      <w:hyperlink r:id="rId64">
        <w:r>
          <w:rPr>
            <w:rStyle w:val="Hyperlink"/>
            <w:rFonts w:ascii="Times New Roman" w:hAnsi="Times New Roman"/>
            <w:b w:val="false"/>
            <w:i w:val="false"/>
            <w:color w:val="000000"/>
            <w:sz w:val="22"/>
          </w:rPr>
          <w:t>19.6(2)</w:t>
        </w:r>
        <w:r>
          <w:rPr>
            <w:rFonts w:ascii="Times New Roman" w:hAnsi="Times New Roman"/>
            <w:b w:val="false"/>
            <w:i/>
            <w:color w:val="000000"/>
            <w:sz w:val="22"/>
          </w:rPr>
          <w:t>“b,” “c,”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shall be installed or continued in service. The capacity of the meter and the index mechanism shall be consistent with the gas requirements of the customer.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color w:val="000000"/>
          <w:sz w:val="22"/>
        </w:rPr>
        <w:t xml:space="preserve">Purity. </w:t>
      </w:r>
      <w:r>
        <w:rPr>
          <w:rFonts w:ascii="Times New Roman" w:hAnsi="Times New Roman"/>
          <w:b w:val="false"/>
          <w:i w:val="false"/>
          <w:color w:val="000000"/>
          <w:sz w:val="22"/>
        </w:rPr>
        <w:t>All gas supplied to customers shall be substantially free of impurities that may cause corrosion of mains or piping or from corrosive or harmful fumes when burned in a properly designed and adjusted burner.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color w:val="000000"/>
          <w:sz w:val="22"/>
        </w:rPr>
        <w:t xml:space="preserve">Pressure limits. </w:t>
      </w:r>
      <w:r>
        <w:rPr>
          <w:rFonts w:ascii="Times New Roman" w:hAnsi="Times New Roman"/>
          <w:b w:val="false"/>
          <w:i w:val="false"/>
          <w:color w:val="000000"/>
          <w:sz w:val="22"/>
        </w:rPr>
        <w:t>The maximum allowable operating pressure for a low-pressure distribution system shall not be so high as to cause the unsafe operation of any connected and properly adjusted low-pressure gas-burning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19.7(3)</w:t>
      </w:r>
      <w:r>
        <w:rPr>
          <w:rFonts w:ascii="Times New Roman" w:hAnsi="Times New Roman"/>
          <w:b w:val="false"/>
          <w:i w:val="false"/>
          <w:color w:val="000000"/>
          <w:sz w:val="22"/>
        </w:rPr>
        <w:t> </w:t>
      </w:r>
      <w:r>
        <w:rPr>
          <w:rFonts w:ascii="Times New Roman" w:hAnsi="Times New Roman"/>
          <w:b w:val="false"/>
          <w:i/>
          <w:color w:val="000000"/>
          <w:sz w:val="22"/>
        </w:rPr>
        <w:t xml:space="preserve">Adequacy for pressure. </w:t>
      </w:r>
      <w:r>
        <w:rPr>
          <w:rFonts w:ascii="Times New Roman" w:hAnsi="Times New Roman"/>
          <w:b w:val="false"/>
          <w:i w:val="false"/>
          <w:color w:val="000000"/>
          <w:sz w:val="22"/>
        </w:rPr>
        <w:t>Each utility shall have a substantially accurate knowledge of the pressures inside its piping. Periodic pressure measurements shall be taken during periods of high demand at remote locations in distribution systems to determine the adequacy of service. Records of such measurements including the date, time, and location of the measurement shall be maintained not less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w:t>
      </w:r>
      <w:r>
        <w:rPr>
          <w:rFonts w:ascii="Times New Roman" w:hAnsi="Times New Roman"/>
          <w:b w:val="false"/>
          <w:i w:val="false"/>
          <w:color w:val="000000"/>
          <w:sz w:val="22"/>
        </w:rPr>
        <w:t> </w:t>
      </w:r>
      <w:r>
        <w:rPr>
          <w:rFonts w:ascii="Times New Roman" w:hAnsi="Times New Roman"/>
          <w:b w:val="false"/>
          <w:i/>
          <w:color w:val="000000"/>
          <w:sz w:val="22"/>
        </w:rPr>
        <w:t xml:space="preserve">Standards for pressure 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standards. </w:t>
      </w:r>
      <w:r>
        <w:rPr>
          <w:rFonts w:ascii="Times New Roman" w:hAnsi="Times New Roman"/>
          <w:b w:val="false"/>
          <w:i w:val="false"/>
          <w:color w:val="000000"/>
          <w:sz w:val="22"/>
        </w:rPr>
        <w:t>Each utility shall own or have access to a dead weight tester that is maintained in an accurate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Working standards. </w:t>
      </w:r>
      <w:r>
        <w:rPr>
          <w:rFonts w:ascii="Times New Roman" w:hAnsi="Times New Roman"/>
          <w:b w:val="false"/>
          <w:i w:val="false"/>
          <w:color w:val="000000"/>
          <w:sz w:val="22"/>
        </w:rPr>
        <w:t>Each utility must have or have access to water manometers, laboratory quality indicating pressure gauges, and field-type dead weight pressure gauges as necessary for the proper testing of the indicating and recording pressure gauges used in determining the pressure on the utility’s system. Working standards must be checked periodically by comparison with a secondary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19.7(5)</w:t>
      </w:r>
      <w:r>
        <w:rPr>
          <w:rFonts w:ascii="Times New Roman" w:hAnsi="Times New Roman"/>
          <w:b w:val="false"/>
          <w:i w:val="false"/>
          <w:color w:val="000000"/>
          <w:sz w:val="22"/>
        </w:rPr>
        <w:t> </w:t>
      </w:r>
      <w:r>
        <w:rPr>
          <w:rFonts w:ascii="Times New Roman" w:hAnsi="Times New Roman"/>
          <w:b w:val="false"/>
          <w:i/>
          <w:color w:val="000000"/>
          <w:sz w:val="22"/>
        </w:rPr>
        <w:t xml:space="preserve">Handling of standards. </w:t>
      </w:r>
      <w:r>
        <w:rPr>
          <w:rFonts w:ascii="Times New Roman" w:hAnsi="Times New Roman"/>
          <w:b w:val="false"/>
          <w:i w:val="false"/>
          <w:color w:val="000000"/>
          <w:sz w:val="22"/>
        </w:rPr>
        <w:t>Extreme care must be exercised in the handling of standards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19.7(6)</w:t>
      </w:r>
      <w:r>
        <w:rPr>
          <w:rFonts w:ascii="Times New Roman" w:hAnsi="Times New Roman"/>
          <w:b w:val="false"/>
          <w:i w:val="false"/>
          <w:color w:val="000000"/>
          <w:sz w:val="22"/>
        </w:rPr>
        <w:t> </w:t>
      </w:r>
      <w:r>
        <w:rPr>
          <w:rFonts w:ascii="Times New Roman" w:hAnsi="Times New Roman"/>
          <w:b w:val="false"/>
          <w:i/>
          <w:color w:val="000000"/>
          <w:sz w:val="22"/>
        </w:rPr>
        <w:t xml:space="preserve">Heating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Awareness. </w:t>
      </w:r>
      <w:r>
        <w:rPr>
          <w:rFonts w:ascii="Times New Roman" w:hAnsi="Times New Roman"/>
          <w:b w:val="false"/>
          <w:i w:val="false"/>
          <w:color w:val="000000"/>
          <w:sz w:val="22"/>
        </w:rPr>
        <w:t>Each utility shall have a substantially accurate knowledge of the heating value of the gas being delivered to customers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Natural and LP gas. </w:t>
      </w:r>
      <w:r>
        <w:rPr>
          <w:rFonts w:ascii="Times New Roman" w:hAnsi="Times New Roman"/>
          <w:b w:val="false"/>
          <w:i w:val="false"/>
          <w:color w:val="000000"/>
          <w:sz w:val="22"/>
        </w:rPr>
        <w:t xml:space="preserve">The heating value of natural gas and undiluted, commercially pure LP gas is not considered to be under the control of the utility. Utilities will determine the allowable range of monthly average heating values within which its customers’ appliances may be expected to function properly without repeated readjustment of the burners. If the monthly average heating value is above or below the limits of the allowable range for three successive months, the customers’ appliances must be readjusted in accordance with paragraph </w:t>
      </w:r>
      <w:hyperlink r:id="rId65">
        <w:r>
          <w:rPr>
            <w:rStyle w:val="Hyperlink"/>
            <w:rFonts w:ascii="Times New Roman" w:hAnsi="Times New Roman"/>
            <w:b w:val="false"/>
            <w:i w:val="false"/>
            <w:color w:val="000000"/>
            <w:sz w:val="22"/>
          </w:rPr>
          <w:t>19.4(18)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Renewable natural gas (RNG). </w:t>
      </w:r>
      <w:r>
        <w:rPr>
          <w:rFonts w:ascii="Times New Roman" w:hAnsi="Times New Roman"/>
          <w:b w:val="false"/>
          <w:i w:val="false"/>
          <w:color w:val="000000"/>
          <w:sz w:val="22"/>
        </w:rPr>
        <w:t>The heating value of gas supplied from an RNG facility is considered within the control of the RNG supplier. The average daily heating value of mixed gas in a distribution system shall be at least 95 percent of that normally delivered by the pipeline supplier. RNG producers are responsible for ensuring the gas produced from the RNG facility is compatible to meet these heating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Peak shaving or other mixed gas. </w:t>
      </w:r>
      <w:r>
        <w:rPr>
          <w:rFonts w:ascii="Times New Roman" w:hAnsi="Times New Roman"/>
          <w:b w:val="false"/>
          <w:i w:val="false"/>
          <w:color w:val="000000"/>
          <w:sz w:val="22"/>
        </w:rPr>
        <w:t>The heating value of gas in a distribution system that includes gas from LP or LNG peak shaving facilities, or gas from a source other than a pipeline supplier, is considered within the control of the utility. The average daily heating value of mixed gas shall be at least 95 percent of that normally delivered by the pipeline supplier. All mixed gas shall have a specific gravity of less than 1.000, and heating value shall not be so high as to cause improper operation of properly adjusted customer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Heating value determination and records. </w:t>
      </w:r>
      <w:r>
        <w:rPr>
          <w:rFonts w:ascii="Times New Roman" w:hAnsi="Times New Roman"/>
          <w:b w:val="false"/>
          <w:i w:val="false"/>
          <w:color w:val="000000"/>
          <w:sz w:val="22"/>
        </w:rPr>
        <w:t>Unless acceptable heating value information is available for all periods from other sources, including the pipeline supplier, utilities will have a method by which the heating value of the gas in a distribution system can be accurately determined. The type, accuracy, operation, and location of equipment, and the accuracy of computation methods, shall be in accordance with accepted industry practices and equipment manufacturer’s recommendations, subject to review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19.7(7)</w:t>
      </w:r>
      <w:r>
        <w:rPr>
          <w:rFonts w:ascii="Times New Roman" w:hAnsi="Times New Roman"/>
          <w:b w:val="false"/>
          <w:i w:val="false"/>
          <w:color w:val="000000"/>
          <w:sz w:val="22"/>
        </w:rPr>
        <w:t> </w:t>
      </w:r>
      <w:r>
        <w:rPr>
          <w:rFonts w:ascii="Times New Roman" w:hAnsi="Times New Roman"/>
          <w:b w:val="false"/>
          <w:i/>
          <w:color w:val="000000"/>
          <w:sz w:val="22"/>
        </w:rPr>
        <w:t xml:space="preserve">Interruptions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make reasonable efforts to avoid interruptions of service, but when interruptions occur, service shall be reestablished within the shortest time practicable, consistent with safety. Records will be maintained for not less than two years of interruptions of service required to be reported pursuant to subrule </w:t>
      </w:r>
      <w:hyperlink r:id="rId66">
        <w:r>
          <w:rPr>
            <w:rStyle w:val="Hyperlink"/>
            <w:rFonts w:ascii="Times New Roman" w:hAnsi="Times New Roman"/>
            <w:b w:val="false"/>
            <w:i w:val="false"/>
            <w:color w:val="000000"/>
            <w:sz w:val="22"/>
          </w:rPr>
          <w:t>19.16(1)</w:t>
        </w:r>
      </w:hyperlink>
      <w:r>
        <w:rPr>
          <w:rFonts w:ascii="Times New Roman" w:hAnsi="Times New Roman"/>
          <w:b w:val="false"/>
          <w:i w:val="false"/>
          <w:color w:val="000000"/>
          <w:sz w:val="22"/>
        </w:rPr>
        <w:t>. Utilities will periodically review these records to determine steps to be taken to prevent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Planned interruptions shall be made at a time that will not cause unreasonable inconvenience to customers. Interruptions shall be preceded by adequate notice to those who will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199—19.8</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 xml:space="preserve">As criteria of accepted good safety practice, the commission will use the applicable provisions of the standards incorporated by reference in subrule </w:t>
      </w:r>
      <w:hyperlink r:id="rId67">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Utilities will exercise reasonable care to reduce hazards inherent in connection with utility service to which its employees, its customers, and the general public may be subjected and shall adopt and execute a safety program designed to protect the public, fitted to the size and type of its operations. Utilities will give reasonable assistance to the commission in the investigation of the cause of accidents and in the determination of suitable means of preventing accidents and will maintain a summary of all reportable accidents arising from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Turning on gas. </w:t>
      </w:r>
      <w:r>
        <w:rPr>
          <w:rFonts w:ascii="Times New Roman" w:hAnsi="Times New Roman"/>
          <w:b w:val="false"/>
          <w:i w:val="false"/>
          <w:color w:val="000000"/>
          <w:sz w:val="22"/>
        </w:rPr>
        <w:t>Each utility upon the installation of a meter and turning on gas or the act of turning on gas alone shall take the necessary steps to assure itself that there exists no flow of gas through the meter, which is a warning that the customer’s piping or appliances are not safe for gas turn on (Ref: Sec.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8.2.3 and Annex D, ANSI Z223.1/NFPA 54-2018).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Gas leaks. </w:t>
      </w:r>
      <w:r>
        <w:rPr>
          <w:rFonts w:ascii="Times New Roman" w:hAnsi="Times New Roman"/>
          <w:b w:val="false"/>
          <w:i w:val="false"/>
          <w:color w:val="000000"/>
          <w:sz w:val="22"/>
        </w:rPr>
        <w:t>A report of a gas leak shall be considered an emergency requiring immediate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19.8(5)</w:t>
      </w:r>
      <w:r>
        <w:rPr>
          <w:rFonts w:ascii="Times New Roman" w:hAnsi="Times New Roman"/>
          <w:b w:val="false"/>
          <w:i w:val="false"/>
          <w:color w:val="000000"/>
          <w:sz w:val="22"/>
        </w:rPr>
        <w:t> </w:t>
      </w:r>
      <w:r>
        <w:rPr>
          <w:rFonts w:ascii="Times New Roman" w:hAnsi="Times New Roman"/>
          <w:b w:val="false"/>
          <w:i/>
          <w:color w:val="000000"/>
          <w:sz w:val="22"/>
        </w:rPr>
        <w:t xml:space="preserve">Odorization. </w:t>
      </w:r>
      <w:r>
        <w:rPr>
          <w:rFonts w:ascii="Times New Roman" w:hAnsi="Times New Roman"/>
          <w:b w:val="false"/>
          <w:i w:val="false"/>
          <w:color w:val="000000"/>
          <w:sz w:val="22"/>
        </w:rPr>
        <w:t xml:space="preserve">Any gas distributed to customers through gas mains or gas services or used for domestic purposes in compressor plants, which does not naturally possess a distinctive odor to the extent that its presence in the atmosphere is readily detectable at all gas concentrations of one-fifth of the lower explosive limit and above, shall have an odorant added to it to make it so detectable. Odorization is not necessary, however, for such gas as is delivered for further processing or use where the odorant would serve no useful purpose as a warning agent. Utilities will test the gas to ensure the odor meets the standards of subrule </w:t>
      </w:r>
      <w:hyperlink r:id="rId68">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Prompt remedial action shall be taken if odorization levels do not meet the prescribed limits for detectability.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19.8(6)</w:t>
      </w:r>
      <w:r>
        <w:rPr>
          <w:rFonts w:ascii="Times New Roman" w:hAnsi="Times New Roman"/>
          <w:b w:val="false"/>
          <w:i w:val="false"/>
          <w:color w:val="000000"/>
          <w:sz w:val="22"/>
        </w:rPr>
        <w:t> </w:t>
      </w:r>
      <w:r>
        <w:rPr>
          <w:rFonts w:ascii="Times New Roman" w:hAnsi="Times New Roman"/>
          <w:b w:val="false"/>
          <w:i/>
          <w:color w:val="000000"/>
          <w:sz w:val="22"/>
        </w:rPr>
        <w:t xml:space="preserve">Burial near electric lines. </w:t>
      </w:r>
      <w:r>
        <w:rPr>
          <w:rFonts w:ascii="Times New Roman" w:hAnsi="Times New Roman"/>
          <w:b w:val="false"/>
          <w:i w:val="false"/>
          <w:color w:val="000000"/>
          <w:sz w:val="22"/>
        </w:rPr>
        <w:t>Each pipeline will be protected from damage or introduction of current from an electrical fault by installing it with at least 12 inches of clearance from buried electrical conductors or by other means if the clearance is not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199—19.9</w:t>
      </w:r>
      <w:r>
        <w:rPr>
          <w:rFonts w:ascii="Times New Roman" w:hAnsi="Times New Roman"/>
          <w:b/>
          <w:i w:val="false"/>
          <w:color w:val="000000"/>
          <w:sz w:val="22"/>
        </w:rPr>
        <w:t xml:space="preserve">(476) </w:t>
      </w:r>
      <w:r>
        <w:rPr>
          <w:rFonts w:ascii="Times New Roman" w:hAnsi="Times New Roman"/>
          <w:b/>
          <w:i w:val="false"/>
          <w:color w:val="000000"/>
          <w:sz w:val="22"/>
        </w:rPr>
        <w:t xml:space="preserve">Purchased gas adjustment (PGA).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color w:val="000000"/>
          <w:sz w:val="22"/>
        </w:rPr>
        <w:t xml:space="preserve">PGA clause. </w:t>
      </w:r>
      <w:r>
        <w:rPr>
          <w:rFonts w:ascii="Times New Roman" w:hAnsi="Times New Roman"/>
          <w:b w:val="false"/>
          <w:i w:val="false"/>
          <w:color w:val="000000"/>
          <w:sz w:val="22"/>
        </w:rPr>
        <w:t xml:space="preserve">Pursuant to Iowa Code section </w:t>
      </w:r>
      <w:hyperlink r:id="rId69">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 PGAs shall be computed separately for each customer classification or grouping previously approved by the commission and will use the same unit of measure as the utility’s tariffed rates. PGAs shall be calculated using factors filed in annual or periodic filings according to the following formula:</w:t>
      </w:r>
    </w:p>
    <w:p>
      <w:pPr>
        <w:spacing w:before="0" w:after="0"/>
        <w:ind w:left="120"/>
        <w:jc w:val="both"/>
      </w:pPr>
      <w:r>
        <w:rPr>
          <w:rFonts w:ascii="Times New Roman" w:hAnsi="Times New Roman"/>
          <w:b w:val="false"/>
          <w:i w:val="false"/>
          <w:color w:val="000000"/>
          <w:sz w:val="22"/>
        </w:rPr>
        <w:t xml:space="preserve">PGA = </w:t>
      </w:r>
      <w:r>
        <w:rPr>
          <w:rFonts w:ascii="Times New Roman" w:hAnsi="Times New Roman"/>
          <w:b w:val="false"/>
          <w:i w:val="false"/>
          <w:color w:val="000000"/>
          <w:sz w:val="22"/>
          <w:u w:val="single"/>
        </w:rPr>
        <w:t>(C × Rc) + (D × Rd) + (Z × Rz)</w:t>
      </w:r>
      <w:r>
        <w:rPr>
          <w:rFonts w:ascii="Times New Roman" w:hAnsi="Times New Roman"/>
          <w:b w:val="false"/>
          <w:i w:val="false"/>
          <w:color w:val="000000"/>
          <w:sz w:val="22"/>
        </w:rPr>
        <w:t xml:space="preserve"> + Rb + E</w:t>
      </w:r>
    </w:p>
    <w:p>
      <w:pPr>
        <w:spacing w:before="0" w:after="0"/>
        <w:ind w:left="120"/>
        <w:jc w:val="both"/>
      </w:pPr>
      <w:r>
        <w:rPr>
          <w:rFonts w:ascii="Times New Roman" w:hAnsi="Times New Roman"/>
          <w:b w:val="false"/>
          <w:i w:val="false"/>
          <w:color w:val="000000"/>
          <w:sz w:val="22"/>
        </w:rPr>
        <w:t>S</w:t>
      </w:r>
    </w:p>
    <w:p>
      <w:pPr>
        <w:spacing w:before="0" w:after="0"/>
        <w:ind w:left="120"/>
        <w:jc w:val="both"/>
      </w:pPr>
      <w:r>
        <w:rPr>
          <w:rFonts w:ascii="Times New Roman" w:hAnsi="Times New Roman"/>
          <w:b w:val="false"/>
          <w:i w:val="false"/>
          <w:color w:val="000000"/>
          <w:sz w:val="22"/>
        </w:rPr>
        <w:t>PGA is the purchased gas adjustment per unit.</w:t>
      </w:r>
    </w:p>
    <w:p>
      <w:pPr>
        <w:spacing w:before="0" w:after="0"/>
        <w:ind w:left="120"/>
        <w:jc w:val="both"/>
      </w:pPr>
      <w:r>
        <w:rPr>
          <w:rFonts w:ascii="Times New Roman" w:hAnsi="Times New Roman"/>
          <w:b w:val="false"/>
          <w:i w:val="false"/>
          <w:color w:val="000000"/>
          <w:sz w:val="22"/>
        </w:rPr>
        <w:t>S is the anticipated yearly gas commodity sales volume for each customer classification or grouping.</w:t>
      </w:r>
    </w:p>
    <w:p>
      <w:pPr>
        <w:spacing w:before="0" w:after="0"/>
        <w:ind w:left="120"/>
        <w:jc w:val="both"/>
      </w:pPr>
      <w:r>
        <w:rPr>
          <w:rFonts w:ascii="Times New Roman" w:hAnsi="Times New Roman"/>
          <w:b w:val="false"/>
          <w:i w:val="false"/>
          <w:color w:val="000000"/>
          <w:sz w:val="22"/>
        </w:rPr>
        <w:t>C is the volume of applicable commodity purchased for each customer classification or grouping required to meet sales, S, plus the expected lost and unaccounted for volumes.</w:t>
      </w:r>
    </w:p>
    <w:p>
      <w:pPr>
        <w:spacing w:before="0" w:after="0"/>
        <w:ind w:left="120"/>
        <w:jc w:val="both"/>
      </w:pPr>
      <w:r>
        <w:rPr>
          <w:rFonts w:ascii="Times New Roman" w:hAnsi="Times New Roman"/>
          <w:b w:val="false"/>
          <w:i w:val="false"/>
          <w:color w:val="000000"/>
          <w:sz w:val="22"/>
        </w:rPr>
        <w:t>Rc is the weighted average of applicable commodity prices or rates, including appropriate hedging tools costs, to be in effect September 1 corresponding to purchases C.</w:t>
      </w:r>
    </w:p>
    <w:p>
      <w:pPr>
        <w:spacing w:before="0" w:after="0"/>
        <w:ind w:left="120"/>
        <w:jc w:val="both"/>
      </w:pPr>
      <w:r>
        <w:rPr>
          <w:rFonts w:ascii="Times New Roman" w:hAnsi="Times New Roman"/>
          <w:b w:val="false"/>
          <w:i w:val="false"/>
          <w:color w:val="000000"/>
          <w:sz w:val="22"/>
        </w:rPr>
        <w:t>D is the total volume of applicable entitlement reservation purchases required to meet sales, S, for each customer classification or grouping.</w:t>
      </w:r>
    </w:p>
    <w:p>
      <w:pPr>
        <w:spacing w:before="0" w:after="0"/>
        <w:ind w:left="120"/>
        <w:jc w:val="both"/>
      </w:pPr>
      <w:r>
        <w:rPr>
          <w:rFonts w:ascii="Times New Roman" w:hAnsi="Times New Roman"/>
          <w:b w:val="false"/>
          <w:i w:val="false"/>
          <w:color w:val="000000"/>
          <w:sz w:val="22"/>
        </w:rPr>
        <w:t>Rd is the weighted average of applicable entitlement reservation charges to be in effect September 1 corresponding to purchases D.</w:t>
      </w:r>
    </w:p>
    <w:p>
      <w:pPr>
        <w:spacing w:before="0" w:after="0"/>
        <w:ind w:left="120"/>
        <w:jc w:val="both"/>
      </w:pPr>
      <w:r>
        <w:rPr>
          <w:rFonts w:ascii="Times New Roman" w:hAnsi="Times New Roman"/>
          <w:b w:val="false"/>
          <w:i w:val="false"/>
          <w:color w:val="000000"/>
          <w:sz w:val="22"/>
        </w:rPr>
        <w:t>Z is the total quantity of applicable storage service purchases required to meet sales, S, for each customer classification or grouping.</w:t>
      </w:r>
    </w:p>
    <w:p>
      <w:pPr>
        <w:spacing w:before="0" w:after="0"/>
        <w:ind w:left="120"/>
        <w:jc w:val="both"/>
      </w:pPr>
      <w:r>
        <w:rPr>
          <w:rFonts w:ascii="Times New Roman" w:hAnsi="Times New Roman"/>
          <w:b w:val="false"/>
          <w:i w:val="false"/>
          <w:color w:val="000000"/>
          <w:sz w:val="22"/>
        </w:rPr>
        <w:t>Rz is the weighted average of applicable storage service rates to be in effect September 1 corresponding to purchases Z.</w:t>
      </w:r>
    </w:p>
    <w:p>
      <w:pPr>
        <w:spacing w:before="0" w:after="0"/>
        <w:ind w:left="120"/>
        <w:jc w:val="both"/>
      </w:pPr>
      <w:r>
        <w:rPr>
          <w:rFonts w:ascii="Times New Roman" w:hAnsi="Times New Roman"/>
          <w:b w:val="false"/>
          <w:i w:val="false"/>
          <w:color w:val="000000"/>
          <w:sz w:val="22"/>
        </w:rPr>
        <w:t>Rb is the adjusted amount necessary to obtain the anticipated balance for the remaining PGA year calculated by taking the anticipated PGA balance divided by the forecasted volumes, including storage, for one or more months of the remaining PGA year.</w:t>
      </w:r>
    </w:p>
    <w:p>
      <w:pPr>
        <w:spacing w:before="0" w:after="0"/>
        <w:ind w:left="120"/>
        <w:jc w:val="both"/>
      </w:pPr>
      <w:r>
        <w:rPr>
          <w:rFonts w:ascii="Times New Roman" w:hAnsi="Times New Roman"/>
          <w:b w:val="false"/>
          <w:i w:val="false"/>
          <w:color w:val="000000"/>
          <w:sz w:val="22"/>
        </w:rPr>
        <w:t xml:space="preserve">E is the per unit overcollection or undercollection adjustment as calculated under subrule </w:t>
      </w:r>
      <w:hyperlink r:id="rId70">
        <w:r>
          <w:rPr>
            <w:rStyle w:val="Hyperlink"/>
            <w:rFonts w:ascii="Times New Roman" w:hAnsi="Times New Roman"/>
            <w:b w:val="false"/>
            <w:i w:val="false"/>
            <w:color w:val="000000"/>
            <w:sz w:val="22"/>
          </w:rPr>
          <w:t>19.9(6)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components of the formula shall be determined as follows for each customer classification or grouping: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actual sales volumes S for the prior 12-month period ending May 31, with the necessary degree-day adjustments, and further adjustments approved by the commission. Unless a utility receives prior commission approval to use another methodology, a utility shall use the same weather normalization methodology used in its prior approved PGA. The source of the heating degree days (HDDs) used in the utility’s weather normalization calculation shall be the state climatologist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expected lost and unaccounted for factors shall be calculated by determining the actual difference between sales and purchase volumes for the 12 months ending May 31 or from the current annual IG-1 filing, but in no case will this factor be less than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purchases C, D, and Z as necessary to comply with subrule </w:t>
      </w:r>
      <w:hyperlink r:id="rId71">
        <w:r>
          <w:rPr>
            <w:rStyle w:val="Hyperlink"/>
            <w:rFonts w:ascii="Times New Roman" w:hAnsi="Times New Roman"/>
            <w:b w:val="false"/>
            <w:i w:val="false"/>
            <w:color w:val="000000"/>
            <w:sz w:val="22"/>
          </w:rPr>
          <w:t>19.9(1)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PGAs shall be adjusted prospectively to reflect the final decision issued by the commission in a periodic review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color w:val="000000"/>
          <w:sz w:val="22"/>
        </w:rPr>
        <w:t xml:space="preserve">Annual PGA filing. </w:t>
      </w:r>
      <w:r>
        <w:rPr>
          <w:rFonts w:ascii="Times New Roman" w:hAnsi="Times New Roman"/>
          <w:b w:val="false"/>
          <w:i w:val="false"/>
          <w:color w:val="000000"/>
          <w:sz w:val="22"/>
        </w:rPr>
        <w:t>Each rate-regulated utility shall file on or before August 1 of each year, for the commission’s approval, a PGA for the 12-month period beginning September 1 of that year.</w:t>
      </w:r>
    </w:p>
    <w:p>
      <w:pPr>
        <w:spacing w:before="0" w:after="0"/>
        <w:ind w:left="120"/>
        <w:jc w:val="both"/>
      </w:pPr>
      <w:r>
        <w:rPr>
          <w:rFonts w:ascii="Times New Roman" w:hAnsi="Times New Roman"/>
          <w:b w:val="false"/>
          <w:i w:val="false"/>
          <w:color w:val="000000"/>
          <w:sz w:val="22"/>
        </w:rPr>
        <w:t xml:space="preserve">The annual filing shall restate each factor of the formula stated in subrule </w:t>
      </w:r>
      <w:hyperlink r:id="rId72">
        <w:r>
          <w:rPr>
            <w:rStyle w:val="Hyperlink"/>
            <w:rFonts w:ascii="Times New Roman" w:hAnsi="Times New Roman"/>
            <w:b w:val="false"/>
            <w:i w:val="false"/>
            <w:color w:val="000000"/>
            <w:sz w:val="22"/>
          </w:rPr>
          <w:t>19.9(1)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annual filing shall be based on customer classifications and groupings previously approved by the commission unless new classifications or groupings are proposed.</w:t>
      </w:r>
    </w:p>
    <w:p>
      <w:pPr>
        <w:spacing w:before="0" w:after="0"/>
        <w:ind w:left="120"/>
        <w:jc w:val="both"/>
      </w:pPr>
      <w:r>
        <w:rPr>
          <w:rFonts w:ascii="Times New Roman" w:hAnsi="Times New Roman"/>
          <w:b w:val="false"/>
          <w:i w:val="false"/>
          <w:color w:val="000000"/>
          <w:sz w:val="22"/>
        </w:rPr>
        <w:t>The annual filing shall include all worksheets and detailed supporting data used to determine the PGA volumes and factors, along with an explanation of the calculations for each factor. Information already on file with the commission may be incorporated by reference in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color w:val="000000"/>
          <w:sz w:val="22"/>
        </w:rPr>
        <w:t xml:space="preserve">Periodic changes to PGA clause. </w:t>
      </w:r>
      <w:r>
        <w:rPr>
          <w:rFonts w:ascii="Times New Roman" w:hAnsi="Times New Roman"/>
          <w:b w:val="false"/>
          <w:i w:val="false"/>
          <w:color w:val="000000"/>
          <w:sz w:val="22"/>
        </w:rPr>
        <w:t>Periodic PGA filings shall be based on the PGA customer classifications and groupings previously approved by the commission. Changes in the customer classification and grouping on file are not automatic and require prior approval by the commission.</w:t>
      </w:r>
    </w:p>
    <w:p>
      <w:pPr>
        <w:spacing w:before="0" w:after="0"/>
        <w:ind w:left="120"/>
        <w:jc w:val="both"/>
      </w:pPr>
      <w:r>
        <w:rPr>
          <w:rFonts w:ascii="Times New Roman" w:hAnsi="Times New Roman"/>
          <w:b w:val="false"/>
          <w:i w:val="false"/>
          <w:color w:val="000000"/>
          <w:sz w:val="22"/>
        </w:rPr>
        <w:t>Periodic filings shall include all worksheets and detailed supporting data used to determine the amount of the adjustment.</w:t>
      </w:r>
    </w:p>
    <w:p>
      <w:pPr>
        <w:spacing w:before="0" w:after="0"/>
        <w:ind w:left="120"/>
        <w:jc w:val="both"/>
      </w:pPr>
      <w:r>
        <w:rPr>
          <w:rFonts w:ascii="Times New Roman" w:hAnsi="Times New Roman"/>
          <w:b w:val="false"/>
          <w:i w:val="false"/>
          <w:color w:val="000000"/>
          <w:sz w:val="22"/>
        </w:rPr>
        <w:t xml:space="preserve">Changes in factor S or C may not be made in periodic purchased gas filings. A change in factor D or Z may be made in periodic filings and will be deemed approved if it conforms to the annual purchased gas filing or if it conforms to the principles set out in subrule </w:t>
      </w:r>
      <w:hyperlink r:id="rId73">
        <w:r>
          <w:rPr>
            <w:rStyle w:val="Hyperlink"/>
            <w:rFonts w:ascii="Times New Roman" w:hAnsi="Times New Roman"/>
            <w:b w:val="false"/>
            <w:i w:val="false"/>
            <w:color w:val="000000"/>
            <w:sz w:val="22"/>
          </w:rPr>
          <w:t>19.9(5)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Utilities shall automatically implement all PGA changes that result from changes in Rc, Rd, or Rz and will concurrently notify the commission with adequate information to calculate and support the change. The PGA shall be calculated separately for each customer classification or grouping.</w:t>
      </w:r>
    </w:p>
    <w:p>
      <w:pPr>
        <w:spacing w:before="0" w:after="0"/>
        <w:ind w:left="120"/>
        <w:jc w:val="both"/>
      </w:pPr>
      <w:r>
        <w:rPr>
          <w:rFonts w:ascii="Times New Roman" w:hAnsi="Times New Roman"/>
          <w:b w:val="false"/>
          <w:i w:val="false"/>
          <w:color w:val="000000"/>
          <w:sz w:val="22"/>
        </w:rPr>
        <w:t>Unless otherwise ordered by the commission, a rate-regulated utility’s PGA rate factors shall be adjusted as purchased gas costs change and shall recover from the customers only the actual costs of purchased gas and other currently incurred charges associated with the delivery, inventory, or reservation of natural gas. Such periodic changes shall become effective with usage on or after the date of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19.9(4)</w:t>
      </w:r>
      <w:r>
        <w:rPr>
          <w:rFonts w:ascii="Times New Roman" w:hAnsi="Times New Roman"/>
          <w:b w:val="false"/>
          <w:i w:val="false"/>
          <w:color w:val="000000"/>
          <w:sz w:val="22"/>
        </w:rPr>
        <w:t> </w:t>
      </w:r>
      <w:r>
        <w:rPr>
          <w:rFonts w:ascii="Times New Roman" w:hAnsi="Times New Roman"/>
          <w:b w:val="false"/>
          <w:i/>
          <w:color w:val="000000"/>
          <w:sz w:val="22"/>
        </w:rPr>
        <w:t xml:space="preserve">Factor Rb. </w:t>
      </w:r>
      <w:r>
        <w:rPr>
          <w:rFonts w:ascii="Times New Roman" w:hAnsi="Times New Roman"/>
          <w:b w:val="false"/>
          <w:i w:val="false"/>
          <w:color w:val="000000"/>
          <w:sz w:val="22"/>
        </w:rPr>
        <w:t>Each utility has the option of filing an Rb calculation with its October-January PGA filings but shall file an Rb calculation with its February filing and subsequent monthly filings in the PGA year. If the anticipated PGA balance represents costs in excess of revenues, factor Rb shall be assigned a positive value; if the anticipated balance represents revenues in excess of costs, factor Rb shall be assigned a negative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w:t>
      </w:r>
      <w:r>
        <w:rPr>
          <w:rFonts w:ascii="Times New Roman" w:hAnsi="Times New Roman"/>
          <w:b w:val="false"/>
          <w:i w:val="false"/>
          <w:color w:val="000000"/>
          <w:sz w:val="22"/>
        </w:rPr>
        <w:t> </w:t>
      </w:r>
      <w:r>
        <w:rPr>
          <w:rFonts w:ascii="Times New Roman" w:hAnsi="Times New Roman"/>
          <w:b w:val="false"/>
          <w:i/>
          <w:color w:val="000000"/>
          <w:sz w:val="22"/>
        </w:rPr>
        <w:t xml:space="preserve">Allocations of changes in contract pipeline transportation capacity obligations. </w:t>
      </w:r>
      <w:r>
        <w:rPr>
          <w:rFonts w:ascii="Times New Roman" w:hAnsi="Times New Roman"/>
          <w:b w:val="false"/>
          <w:i w:val="false"/>
          <w:color w:val="000000"/>
          <w:sz w:val="22"/>
        </w:rPr>
        <w:t>Any change in contractual pipeline transportation capacity obligations to transportation or storage service providers serving Iowa shall be reported to the commission within 30 days of receipt. The change must be applied on a pro-rata basis to all customer classifications or groupings, unless another method has been approved by the commission. Where a change has been granted as a result of the utility’s request based on the needs of specified customers, that change may be allocated to the specified customers. Where the commission has approved anticipated sales levels for one or more customer classifications or groupings, those levels may limit the pro-rata reduction for those classifications or groupings.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19.9(6)</w:t>
      </w:r>
      <w:r>
        <w:rPr>
          <w:rFonts w:ascii="Times New Roman" w:hAnsi="Times New Roman"/>
          <w:b w:val="false"/>
          <w:i w:val="false"/>
          <w:color w:val="000000"/>
          <w:sz w:val="22"/>
        </w:rPr>
        <w:t> </w:t>
      </w:r>
      <w:r>
        <w:rPr>
          <w:rFonts w:ascii="Times New Roman" w:hAnsi="Times New Roman"/>
          <w:b w:val="false"/>
          <w:i/>
          <w:color w:val="000000"/>
          <w:sz w:val="22"/>
        </w:rPr>
        <w:t xml:space="preserve">Reconciliation of underbillings and overbillings. </w:t>
      </w:r>
      <w:r>
        <w:rPr>
          <w:rFonts w:ascii="Times New Roman" w:hAnsi="Times New Roman"/>
          <w:b w:val="false"/>
          <w:i w:val="false"/>
          <w:color w:val="000000"/>
          <w:sz w:val="22"/>
        </w:rPr>
        <w:t>The utility shall file with the commission on or before October 1 of each year a PGA reconciliation for the 12-month period that began on September 1 of the previous year. This reconciliation will be the actual net invoiced costs of purchased gas and appropriate financial hedging tools costs less the actual revenue billed through its PGA clause net of the prior year’s reconciliation dollars for each customer classification or grouping. Actual net costs for purchased gas shall be the applicable invoice costs from all appropriate sources associated with the time period of usage.</w:t>
      </w:r>
    </w:p>
    <w:p>
      <w:pPr>
        <w:spacing w:before="0" w:after="0"/>
        <w:ind w:left="120"/>
        <w:jc w:val="both"/>
      </w:pPr>
      <w:r>
        <w:rPr>
          <w:rFonts w:ascii="Times New Roman" w:hAnsi="Times New Roman"/>
          <w:b w:val="false"/>
          <w:i w:val="false"/>
          <w:color w:val="000000"/>
          <w:sz w:val="22"/>
        </w:rPr>
        <w:t>Negative differences in the reconciliation are considered overbilling by the utility, and positive differences are considered underbilling. This reconciliation shall be filed with all worksheets and detailed supporting data for each particular PGA clause. Penalty purchases shall only be includable where the utility clearly demonstrates a net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reconciliation filings will include the following information concerning the hedging tools used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volume of physical gas being hedged by the utility and the strategies used by the utility for hedging.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 each hedging strategy was undertaken (e.g., to hedge storage gas, a floating price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as to how each hedging strategy was consistent with the utility’s natural gas procurement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as to why the utility believes each hedging strategy was in the best interest of general system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detailed explanation of the instruments used to implement each hedging strategy (e.g., fixed-price purchases, future contracts, basis swaps, fixed-price swaps, call options, put options, option collars).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of all commissions paid and to whom those payments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amount of money or other collateral held in margin accounts or provided to counterparties as credit support for hedging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amount of all other third-party administrative or contracting costs paid and to whom those costs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of each hedging counterparty and the amount of money paid to or received from each counterparty with respect to hedging (e.g., option premiums, financial settlement of gains or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Detailed reports or schedules of each hedging strategy, including the following information for each hedging instrument entered into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hedging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hedging instrument was entered into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counterparty with whom the hedging instrument was entered into.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notional quantity of natural gas associated with the hedging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notional delivery period associated with the hedging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amount of gains or losses realized by the utility on the hedging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each futures contract or fixed-price purchase or sale, the fixed price paid or received by the utility and the final settlement price for the futures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each swap contract, the fixed price or index price paid by the utility, the index price or fixed price received by the utility, and the final settlement price of each applicable index referenced in the swap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each option contract, the underlying futures contract or index price referenced in the option contract, the strike price for the option, the premium paid or received by the utility for the option, and the final settlement price for the futures contract or index price referenced in the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For any other hedging instruments, relevant economic terms, conditions, reference prices, and other factors to support calculations of gains or losses associated with such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For the total natural gas volumes hedged during the PGA year, the fully hedged price of gas and the price if the gas had not been hedged.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Underbillings will be collected through ten-month adjustments to the appropriate PGA. The underbilling generated from each PGA clause shall be divided by the anticipated sales volumes for the prospective ten-month period beginning November 1 (based upon the sales determination in subrule </w:t>
      </w:r>
      <w:hyperlink r:id="rId74">
        <w:r>
          <w:rPr>
            <w:rStyle w:val="Hyperlink"/>
            <w:rFonts w:ascii="Times New Roman" w:hAnsi="Times New Roman"/>
            <w:b w:val="false"/>
            <w:i w:val="false"/>
            <w:color w:val="000000"/>
            <w:sz w:val="22"/>
          </w:rPr>
          <w:t>19.9(1)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quotient, determined on the same basis as the utility’s tariff rates, shall be added to the PGA for the prospective ten-month period beginning November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Overbillings will be refunded to the customer classification or grouping from which they were generated. Overbillings will be divided by the annual cost of purchased gas subject to recovery for the 12-month period that began the prior September 1 for each PGA clause and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net overbilling from the PGA reconciliation exceeds the applicable percentage of the annual cost of purchased gas subject to recovery for a specific customer classification or grouping, the utility will file a proposed refund plan that includes its interest calculations, its plan for refunding the overbilling either by bill credit or check, and the date it proposes to implement the refund. The minimum amount to be refunded by check is $10. Interest shall be calculated on amounts exceeding the applicable percentage from the PGA year midpoint to the date of refunding. The interest rate shall be the dealer commercial paper rate (90-day, high-grade unsecured notes) quoted in the “Money Rates” section of the Wall Street Journal on the last working day of August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net overbilling from the PGA reconciliation does not exceed the applicable percentage of the annual cost of purchased gas subject to recovery for a specific customer classification or grouping, the utility may refund the overbilling by bill credit or check starting on the first day of billing in the November billing cycle of the current year, or the utility may refund the overbilling through ten-month adjustments to the particular PGA from which they were generated. The minimum amount to be refunded by check is $10. This adjustment shall be determined by dividing the overcollection by the anticipated sales volume for the prospective ten-month period beginning November 1 as determined in subrule </w:t>
      </w:r>
      <w:hyperlink r:id="rId75">
        <w:r>
          <w:rPr>
            <w:rStyle w:val="Hyperlink"/>
            <w:rFonts w:ascii="Times New Roman" w:hAnsi="Times New Roman"/>
            <w:b w:val="false"/>
            <w:i w:val="false"/>
            <w:color w:val="000000"/>
            <w:sz w:val="22"/>
          </w:rPr>
          <w:t>19.9(1)</w:t>
        </w:r>
      </w:hyperlink>
      <w:r>
        <w:rPr>
          <w:rFonts w:ascii="Times New Roman" w:hAnsi="Times New Roman"/>
          <w:b w:val="false"/>
          <w:i w:val="false"/>
          <w:color w:val="000000"/>
          <w:sz w:val="22"/>
        </w:rPr>
        <w:t xml:space="preserve"> for the applicable PGA clause. The quotient, determined on the same basis as the utility’s tariff rates, shall be a reduction to that particular PGA for the prospective ten-month period beginning November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overbilling percentage applicable to utilities serving fewer than 10,000 customers is 5 percent. For utilities serving 10,000 or more customers, the applicable percentage is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customer has reduced or terminated system supply service and is receiving transportation service, any liability for overcollections and undercollections shall be determined in accordance with the utility’s gas transportation tariff.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19.9(7)</w:t>
      </w:r>
      <w:r>
        <w:rPr>
          <w:rFonts w:ascii="Times New Roman" w:hAnsi="Times New Roman"/>
          <w:b w:val="false"/>
          <w:i w:val="false"/>
          <w:color w:val="000000"/>
          <w:sz w:val="22"/>
        </w:rPr>
        <w:t> </w:t>
      </w:r>
      <w:r>
        <w:rPr>
          <w:rFonts w:ascii="Times New Roman" w:hAnsi="Times New Roman"/>
          <w:b w:val="false"/>
          <w:i/>
          <w:color w:val="000000"/>
          <w:sz w:val="22"/>
        </w:rPr>
        <w:t xml:space="preserve">Refunds related to gas costs charged through the PGA. </w:t>
      </w:r>
      <w:r>
        <w:rPr>
          <w:rFonts w:ascii="Times New Roman" w:hAnsi="Times New Roman"/>
          <w:b w:val="false"/>
          <w:i w:val="false"/>
          <w:color w:val="000000"/>
          <w:sz w:val="22"/>
        </w:rPr>
        <w:t>The utility shall file a refund plan with the commission within 30 days of the receipt of any refund related to gas costs charged through the PGA.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Refunds will be provided to customers by bill credit or check in an amount equal to any refund, plus accrued interest, if the refund exceeds $20 per average residential customer under the applicable customer classification or grouping. The utility may refund lesser amounts through the applicable customer classification or grouping or retain undistributed refund amounts in special refund retention accounts for each customer classification or grouping under the applicable PGA clause until such time as additional refund obligations or interest cause the average residential customer refund to exceed $20. Any obligations remaining in the retention accounts on September 1 shall become a part of the annual PGA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with the refund plan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reason for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refund with support for the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balance of the appropriate refund retention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due under each customer classification or grouping.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intended period of the refund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interest accrued for each refund through the proposed refund period, with complete interest calculations and supporting data as determined in paragraph </w:t>
      </w:r>
      <w:hyperlink r:id="rId76">
        <w:r>
          <w:rPr>
            <w:rStyle w:val="Hyperlink"/>
            <w:rFonts w:ascii="Times New Roman" w:hAnsi="Times New Roman"/>
            <w:b w:val="false"/>
            <w:i w:val="false"/>
            <w:color w:val="000000"/>
            <w:sz w:val="22"/>
          </w:rPr>
          <w:t>19.9(7)</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amount to be refunded, the amount to be refunded per customer classification or grouping, and the refund per ccf or therm.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interest accrued for each refund received and for each amount in the refund retention accounts through the date of the filing with the complete interest calculation and support as determined in paragraph </w:t>
      </w:r>
      <w:hyperlink r:id="rId77">
        <w:r>
          <w:rPr>
            <w:rStyle w:val="Hyperlink"/>
            <w:rFonts w:ascii="Times New Roman" w:hAnsi="Times New Roman"/>
            <w:b w:val="false"/>
            <w:i w:val="false"/>
            <w:color w:val="000000"/>
            <w:sz w:val="22"/>
          </w:rPr>
          <w:t>19.9(7)</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total amount to be retained, the amount to be retained per customer classification or grouping, and the level per ccf or therm.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calculations demonstrating that the retained balance is less than $20 per average residential customer with supporting schedules for all factors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refund to each customer will be determined by dividing the amount in the appropriate refund retention account, including interest, by the total ccf or therm of system gas consumed by affected customers during the period for which the refundable amounts are applicable and multiplying the quotient by the ccf or therms of system supply gas actually consumed by the customer during the appropriate period. The utility may use the last available 12-month period if the use of the actual period generating the refund is impractical. The utility shall file complete support documentation for all figures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interest rate on refunds distributed under this subrule, compounded annually, shall be the dealer commercial paper rate (90-day, high-grade unsecured notes) quoted in the “Money Rates” section of the Wall Street Journal on the day the refund obligation vests. Interest shall accrue from the date the rate-regulated utility receives the refund or billing from the supplier or the midpoint of the first month of overcollection to the date the refund is distributed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rate-regulated utility shall make a reasonable effort to forward refunds, by check, to eligible recipients who are no longer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minimum amount to be refunded by check is $10.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199—19.10</w:t>
      </w:r>
      <w:r>
        <w:rPr>
          <w:rFonts w:ascii="Times New Roman" w:hAnsi="Times New Roman"/>
          <w:b/>
          <w:i w:val="false"/>
          <w:color w:val="000000"/>
          <w:sz w:val="22"/>
        </w:rPr>
        <w:t xml:space="preserve">(476) </w:t>
      </w:r>
      <w:r>
        <w:rPr>
          <w:rFonts w:ascii="Times New Roman" w:hAnsi="Times New Roman"/>
          <w:b/>
          <w:i w:val="false"/>
          <w:color w:val="000000"/>
          <w:sz w:val="22"/>
        </w:rPr>
        <w:t xml:space="preserve">Periodic review of gas procurement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Procurement plan. </w:t>
      </w:r>
      <w:r>
        <w:rPr>
          <w:rFonts w:ascii="Times New Roman" w:hAnsi="Times New Roman"/>
          <w:b w:val="false"/>
          <w:i w:val="false"/>
          <w:color w:val="000000"/>
          <w:sz w:val="22"/>
        </w:rPr>
        <w:t xml:space="preserve">Pursuant to Iowa Code section </w:t>
      </w:r>
      <w:hyperlink r:id="rId79">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 the commission shall periodically conduct a contested case proceeding for the purpose of evaluating the reasonableness and prudence of a rate-regulated public utility’s natural gas procurement and contracting practices. In the years in which the commission does not conduct a contested case proceeding, the commission may require the utilities to file certain information for the commission’s review. In years in which the commission conducts a full proceeding, a rate-regulated utility shall file prepared direct testimony and exhibits in support of a detailed 12-month plan and a three-year natural gas procurement plan. A utility’s procurement plan shall be organized as follows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index of all documents and information filed in the plan and identification of the commission files in which documents incorporated by reference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contracts and gas supply arrangements executed or in effect for obtaining gas and all supply arrangements planned for the future 12-month and three-year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utility’s natural gas forecasting, procurement, and contracting practices; available supply options; and other available services (e.g., storage services, balancing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exhibit detailing the utility’s current, 12-month, and three-year forecasts of total annual throughput by customer class, peak day demand, and anticipated reserve margin on a PGA-year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organizational description of the officer or division responsible for gas procurement and a summary of operating procedures and policies for procuring and evaluating gas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legal, regulatory, and commercial actions taken to minimize purchased gas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 Copies of all studies or investigation reports supporting the utility’s testimony or materially considered by the utility in contracting decisions during the plan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 list of all contracts in effect at the time of the procurement plan filing. The list shall include the contract term, the applicable service, and the contracted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of the supply options selected by the utility and an evaluation of the reasonableness and prudence of its contracting and procurement decisions. This evaluation should explain the relationship between forecast and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Burden on the utility. </w:t>
      </w:r>
      <w:r>
        <w:rPr>
          <w:rFonts w:ascii="Times New Roman" w:hAnsi="Times New Roman"/>
          <w:b w:val="false"/>
          <w:i w:val="false"/>
          <w:color w:val="000000"/>
          <w:sz w:val="22"/>
        </w:rPr>
        <w:t xml:space="preserve">The utility has the burden to prove it is taking all reasonable actions to minimize its purchased gas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color w:val="000000"/>
          <w:sz w:val="22"/>
        </w:rPr>
        <w:t xml:space="preserve">Disallowance of costs. </w:t>
      </w:r>
      <w:r>
        <w:rPr>
          <w:rFonts w:ascii="Times New Roman" w:hAnsi="Times New Roman"/>
          <w:b w:val="false"/>
          <w:i w:val="false"/>
          <w:color w:val="000000"/>
          <w:sz w:val="22"/>
        </w:rPr>
        <w:t>Purchased gas costs in excess of costs incurred under responsible and prudent policies and practices are disallowed. The PGA factor will be adjusted prospectively to reflect the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19.10(4)</w:t>
      </w:r>
      <w:r>
        <w:rPr>
          <w:rFonts w:ascii="Times New Roman" w:hAnsi="Times New Roman"/>
          <w:b w:val="false"/>
          <w:i w:val="false"/>
          <w:color w:val="000000"/>
          <w:sz w:val="22"/>
        </w:rPr>
        <w:t> </w:t>
      </w:r>
      <w:r>
        <w:rPr>
          <w:rFonts w:ascii="Times New Roman" w:hAnsi="Times New Roman"/>
          <w:b w:val="false"/>
          <w:i/>
          <w:color w:val="000000"/>
          <w:sz w:val="22"/>
        </w:rPr>
        <w:t xml:space="preserve">Executive summary. </w:t>
      </w:r>
      <w:r>
        <w:rPr>
          <w:rFonts w:ascii="Times New Roman" w:hAnsi="Times New Roman"/>
          <w:b w:val="false"/>
          <w:i w:val="false"/>
          <w:color w:val="000000"/>
          <w:sz w:val="22"/>
        </w:rPr>
        <w:t>On or before August 1 of each year, each natural gas utility shall file an executive summary and index of all standard and special contracts in effect for the purchase, sale or interchange of gas. The executive summary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 and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estimated dollar value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service offered (including volumes and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199—19.11</w:t>
      </w:r>
      <w:r>
        <w:rPr>
          <w:rFonts w:ascii="Times New Roman" w:hAnsi="Times New Roman"/>
          <w:b/>
          <w:i w:val="false"/>
          <w:color w:val="000000"/>
          <w:sz w:val="22"/>
        </w:rPr>
        <w:t xml:space="preserve">(476) </w:t>
      </w:r>
      <w:r>
        <w:rPr>
          <w:rFonts w:ascii="Times New Roman" w:hAnsi="Times New Roman"/>
          <w:b/>
          <w:i w:val="false"/>
          <w:color w:val="000000"/>
          <w:sz w:val="22"/>
        </w:rPr>
        <w:t xml:space="preserve">Flexible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allow gas utility companies to offer, at their option, incentive or discount rates to their sales and transportation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Natural gas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deciding whether to offer a specific discount, the utility shall evaluate the individual customer’s, group’s, or class’s situation and perform a cost-benefit analysis before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discount offered should be such as to significantly affect the customer’s or customers’ decision to stay on the system or to increase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If a company elects to offer flexible rates, the utility shall file for review and approval of tariff sheets specifying the general conditions for offering discounted rates. The tariff sheets shall include, at a minimum,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cost-benefit analysis demonstrating that offering the discount will be more beneficial than not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ceiling for all discounted rates shall be the approved rate on file for the customer’s rate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for the discount sales rates shall be equal to the cost of gas. Therefore, the maximum discount allowed under the sales or transportation tariffs is equal to the nongas costs of serving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discount shall be offered for a period longer than five years unless the commission determines upon good cause shown that a longer period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Discounts should not be offered if they will encourage deterioration in the load characteristics of the customer receiving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Customer charges may be discounted.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Each natural gas utility electing to offer flexible rates shall file annual reports with the commission within 30 days of the end of each 12 months. Reports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1 of the report concerns discounts initiated in the last 12 months,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new customers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of the discount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alternate fuels available to the customer, if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to or transported for the customer in the preceding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all new or revised flexible-rate contracts executed between the utility and its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2 of the report relates to overall program evaluation. For all discounts currently being offered,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each customer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volume of gas sold or transported in the last 12 months to each customer at discounted rates,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or transported to each customer in the same 12 months of the preceding year,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the discount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value of volumes sold or transported to each customer for each of the previous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customer charges are discounted, the dollar value of the discount shall be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3 of the report concerns discounts denied or discounts terminated. For all customers specifically evaluated and denied or having a discount terminated in the last 12 months,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identification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or transported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or transported to each customer in the same 12 months of the preceding year,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volumes sold or transported to each customer for each of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report is required if the utility had no customers receiving a discount during the relevant period and had no customers that were evaluated for the discount and rejected during the relevant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19.11(5)</w:t>
      </w:r>
      <w:r>
        <w:rPr>
          <w:rFonts w:ascii="Times New Roman" w:hAnsi="Times New Roman"/>
          <w:b w:val="false"/>
          <w:i w:val="false"/>
          <w:color w:val="000000"/>
          <w:sz w:val="22"/>
        </w:rPr>
        <w:t> </w:t>
      </w:r>
      <w:r>
        <w:rPr>
          <w:rFonts w:ascii="Times New Roman" w:hAnsi="Times New Roman"/>
          <w:b w:val="false"/>
          <w:i/>
          <w:color w:val="000000"/>
          <w:sz w:val="22"/>
        </w:rPr>
        <w:t xml:space="preserve">Rate case treatment. </w:t>
      </w:r>
      <w:r>
        <w:rPr>
          <w:rFonts w:ascii="Times New Roman" w:hAnsi="Times New Roman"/>
          <w:b w:val="false"/>
          <w:i w:val="false"/>
          <w:color w:val="000000"/>
          <w:sz w:val="22"/>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or transportation services or customer charges were made at full tariffed rates for the customer class. Determining the actual amount will be a factual determination to be made in the rate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199—19.12</w:t>
      </w:r>
      <w:r>
        <w:rPr>
          <w:rFonts w:ascii="Times New Roman" w:hAnsi="Times New Roman"/>
          <w:b/>
          <w:i w:val="false"/>
          <w:color w:val="000000"/>
          <w:sz w:val="22"/>
        </w:rPr>
        <w:t xml:space="preserve">(476) </w:t>
      </w:r>
      <w:r>
        <w:rPr>
          <w:rFonts w:ascii="Times New Roman" w:hAnsi="Times New Roman"/>
          <w:b/>
          <w:i w:val="false"/>
          <w:color w:val="000000"/>
          <w:sz w:val="22"/>
        </w:rPr>
        <w:t xml:space="preserve">Transportation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subrule requires gas distribution utility companies to transport natural gas owned by an end user on a nondiscriminatory basis, subject to the capacity limitations of the specific system. “System capacity” means the maximum flow of gas the relevant portion of the system is capable of handling. Capacity availability is determined using the total current firm gas flow, including both system and transportation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End user rights. </w:t>
      </w:r>
      <w:r>
        <w:rPr>
          <w:rFonts w:ascii="Times New Roman" w:hAnsi="Times New Roman"/>
          <w:b w:val="false"/>
          <w:i w:val="false"/>
          <w:color w:val="000000"/>
          <w:sz w:val="22"/>
        </w:rPr>
        <w:t>The end user purchasing transportation services from the utility shall have the following rights and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end user has the right to receive, pursuant to agreement, 100 percent of the gas delivered by it or on its behalf to the transporting utility (adjusted for a reasonable volume of lost, unaccounted-for, and company-used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volumes that the end user is entitled to receive are subject to curtailment or interruption due to limitations in the system capacity of the transporting utility. Curtailment of the transportation volumes will take place according to the priority class, subdivision, or category that the end user would have been assigned if it were purchasing gas from the transporting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periods of curtailment or interruption, the end user is entitled to a credit equal to the difference between the volumes delivered to the utility and those received by the end user, adjusted for lost, unaccounted-for, and company-used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user is responsible for all costs associated with any additional plant required for providing transportation services to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charges. </w:t>
      </w:r>
      <w:r>
        <w:rPr>
          <w:rFonts w:ascii="Times New Roman" w:hAnsi="Times New Roman"/>
          <w:b w:val="false"/>
          <w:i w:val="false"/>
          <w:color w:val="000000"/>
          <w:sz w:val="22"/>
        </w:rPr>
        <w:t>Transportation service shall be offered to at least the following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Interruptible distribution service with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Interruptible distribution service without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Firm distribution service with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Firm distribution service without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charges and rates. </w:t>
      </w:r>
      <w:r>
        <w:rPr>
          <w:rFonts w:ascii="Times New Roman" w:hAnsi="Times New Roman"/>
          <w:b w:val="false"/>
          <w:i w:val="false"/>
          <w:color w:val="000000"/>
          <w:sz w:val="22"/>
        </w:rPr>
        <w:t>All rates and charges for transportation shall be based on the cost of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 supply reserve” service entitles the end user to return to the system service to the extent of the interstate pipeline capacity purchased. The charge will be at least equal to the administrative costs of monitoring the service, plus any other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 users without system supply reserve service may only return to system service by paying an additional charge and are subject to the availability of adequate interstate pipeline capacity. An end user wishing to receive transportation service without system supply reserve must pay the utility for the discounted value of any contract between the utility and the end user remaining in effect at the time of beginning transportation service. The discounted values shall include all directly assignable and identifiable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may require a reconnection charge when an end user receiving transportation service without system supply reserve service requests to return to the system supply. The end user shall return to the system and receive service under the appropriate classification as determined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user electing to receive transportation service shall pay reasonable rates for any use of the facilities, equipment, or services of the transporting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A natural gas utility will provide a copy of information concerning transportation contracts upon request of the commission, commission staff, or the office of consumer advocate.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19.12(6)</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risks. </w:t>
      </w:r>
      <w:r>
        <w:rPr>
          <w:rFonts w:ascii="Times New Roman" w:hAnsi="Times New Roman"/>
          <w:b w:val="false"/>
          <w:i w:val="false"/>
          <w:color w:val="000000"/>
          <w:sz w:val="22"/>
        </w:rPr>
        <w:t xml:space="preserve">The utility must notify its large-volume users as defined in </w:t>
      </w:r>
      <w:hyperlink r:id="rId81">
        <w:r>
          <w:rPr>
            <w:rStyle w:val="Hyperlink"/>
            <w:rFonts w:ascii="Times New Roman" w:hAnsi="Times New Roman"/>
            <w:b w:val="false"/>
            <w:i w:val="false"/>
            <w:color w:val="000000"/>
            <w:sz w:val="22"/>
          </w:rPr>
          <w:t>19.13(1)</w:t>
        </w:r>
      </w:hyperlink>
      <w:r>
        <w:rPr>
          <w:rFonts w:ascii="Times New Roman" w:hAnsi="Times New Roman"/>
          <w:b w:val="false"/>
          <w:i w:val="false"/>
          <w:color w:val="000000"/>
          <w:sz w:val="22"/>
        </w:rPr>
        <w:t xml:space="preserve"> contracting for transportation service in writing that unless the customer buys system supply reserve service from the utility, the utility is not obligated to supply gas to the customer. The notice must also advise the large-volume user of the nature of any identifiable penalties, any administrative or reconnection costs associated with purchasing available firm or interruptible gas, and how any available gas would be priced by the utility. The notice may be provided through a contract provision or separate written instrument. The large-volume user must acknowledge in writing that it has been made aware of the risks and accepts the risks.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199—19.13</w:t>
      </w:r>
      <w:r>
        <w:rPr>
          <w:rFonts w:ascii="Times New Roman" w:hAnsi="Times New Roman"/>
          <w:b/>
          <w:i w:val="false"/>
          <w:color w:val="000000"/>
          <w:sz w:val="22"/>
        </w:rPr>
        <w:t xml:space="preserve">(476) </w:t>
      </w:r>
      <w:r>
        <w:rPr>
          <w:rFonts w:ascii="Times New Roman" w:hAnsi="Times New Roman"/>
          <w:b/>
          <w:i w:val="false"/>
          <w:color w:val="000000"/>
          <w:sz w:val="22"/>
        </w:rPr>
        <w:t xml:space="preserve">Certification of competitive natural gas providers and aggregators.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this rule, shall have the meanings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“Large-volume user” </w:t>
      </w:r>
      <w:r>
        <w:rPr>
          <w:rFonts w:ascii="Times New Roman" w:hAnsi="Times New Roman"/>
          <w:b w:val="false"/>
          <w:i w:val="false"/>
          <w:color w:val="000000"/>
          <w:sz w:val="22"/>
        </w:rPr>
        <w:t>means any end user whose usage exceeds 25,000 therms in any month or 100,000 therms in any consecutive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“Small-volume user” </w:t>
      </w:r>
      <w:r>
        <w:rPr>
          <w:rFonts w:ascii="Times New Roman" w:hAnsi="Times New Roman"/>
          <w:b w:val="false"/>
          <w:i w:val="false"/>
          <w:color w:val="000000"/>
          <w:sz w:val="22"/>
        </w:rPr>
        <w:t>means any end user whose usage does not exceed 25,000 therms in any month and does not exceed 100,000 therms in any consecutive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fuel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“VFP” </w:t>
      </w:r>
      <w:r>
        <w:rPr>
          <w:rFonts w:ascii="Times New Roman" w:hAnsi="Times New Roman"/>
          <w:b w:val="false"/>
          <w:i w:val="false"/>
          <w:color w:val="000000"/>
          <w:sz w:val="22"/>
        </w:rPr>
        <w:t xml:space="preserve">means a competitive natural gas provider or aggregator as defined in Iowa Code section </w:t>
      </w:r>
      <w:hyperlink r:id="rId82">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that owns or operates facilities to sell natural gas as vehicle fuel to a retail end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 to obtain certificate. </w:t>
      </w:r>
      <w:r>
        <w:rPr>
          <w:rFonts w:ascii="Times New Roman" w:hAnsi="Times New Roman"/>
          <w:b w:val="false"/>
          <w:i w:val="false"/>
          <w:color w:val="000000"/>
          <w:sz w:val="22"/>
        </w:rPr>
        <w:t xml:space="preserve">A competitive natural gas provider (CNGP) shall not provide competitive natural gas services to an Iowa retail end user without a certificate approved by the commission pursuant to Iowa Code section </w:t>
      </w:r>
      <w:hyperlink r:id="rId83">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19.13(3)</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and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to provide service as a CNGP pursuant to Iowa Code sections </w:t>
      </w:r>
      <w:hyperlink r:id="rId84">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shall contain information to reasonably demonstrate that the applicant possesses the managerial, technical, and financial capability sufficient to obtain and deliver the services the CNGP or aggregator proposes to offer. Applications shall be filed pursuant to 199—Chapter </w:t>
      </w:r>
      <w:hyperlink r:id="rId86">
        <w:r>
          <w:rPr>
            <w:rStyle w:val="Hyperlink"/>
            <w:rFonts w:ascii="Times New Roman" w:hAnsi="Times New Roman"/>
            <w:b w:val="false"/>
            <w:i w:val="false"/>
            <w:color w:val="000000"/>
            <w:sz w:val="22"/>
          </w:rPr>
          <w:t>14</w:t>
        </w:r>
      </w:hyperlink>
      <w:r>
        <w:rPr>
          <w:rFonts w:ascii="Times New Roman" w:hAnsi="Times New Roman"/>
          <w:b w:val="false"/>
          <w:i w:val="false"/>
          <w:color w:val="000000"/>
          <w:sz w:val="22"/>
        </w:rPr>
        <w:t xml:space="preserve">. Application forms to provide competitive natural gas service to large-volume, small-volume, and VFPs can be accessed on the commission’s website, </w:t>
      </w:r>
      <w:hyperlink r:id="rId87">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All applications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name and all trade names under which the applicant will operate, a description of the business structure of the applicant, evidence of authority to do business in Iowa, and the applicant’s state of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addresses, and telephone numbers of corporate officers responsible for the applicant’s operations in Iowa and a telephone number where the applicant can be contacted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states and jurisdictions in which the applicant or an affiliate is providing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commitment to comply with all the applicable conditions of certification contained in subrules </w:t>
      </w:r>
      <w:hyperlink r:id="rId88">
        <w:r>
          <w:rPr>
            <w:rStyle w:val="Hyperlink"/>
            <w:rFonts w:ascii="Times New Roman" w:hAnsi="Times New Roman"/>
            <w:b w:val="false"/>
            <w:i w:val="false"/>
            <w:color w:val="000000"/>
            <w:sz w:val="22"/>
          </w:rPr>
          <w:t>19.13(5)</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19.13(6)</w:t>
        </w:r>
      </w:hyperlink>
      <w:r>
        <w:rPr>
          <w:rFonts w:ascii="Times New Roman" w:hAnsi="Times New Roman"/>
          <w:b w:val="false"/>
          <w:i w:val="false"/>
          <w:color w:val="000000"/>
          <w:sz w:val="22"/>
        </w:rPr>
        <w:t xml:space="preserve"> and acknowledgment that failure to comply with all the applicable conditions of certification may result in the revocation of the CNGP’s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confidential treatment of the information required to obtain a CNGP certificate may be filed with the commission pursuant to the public information and inspection of records subrule in </w:t>
      </w:r>
      <w:hyperlink r:id="rId90">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notify the commission during the pendency of the certification request and after certification of any material change in the representations and commitments made in the application within 14 days of such change. Any new legal actions or formal complaints are considered material changes in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19.13(4)</w:t>
      </w:r>
      <w:r>
        <w:rPr>
          <w:rFonts w:ascii="Times New Roman" w:hAnsi="Times New Roman"/>
          <w:b w:val="false"/>
          <w:i w:val="false"/>
          <w:color w:val="000000"/>
          <w:sz w:val="22"/>
        </w:rPr>
        <w:t> </w:t>
      </w:r>
      <w:r>
        <w:rPr>
          <w:rFonts w:ascii="Times New Roman" w:hAnsi="Times New Roman"/>
          <w:b w:val="false"/>
          <w:i/>
          <w:color w:val="000000"/>
          <w:sz w:val="22"/>
        </w:rPr>
        <w:t xml:space="preserve">Deficiencies and commission determination. </w:t>
      </w:r>
      <w:r>
        <w:rPr>
          <w:rFonts w:ascii="Times New Roman" w:hAnsi="Times New Roman"/>
          <w:b w:val="false"/>
          <w:i w:val="false"/>
          <w:color w:val="000000"/>
          <w:sz w:val="22"/>
        </w:rPr>
        <w:t xml:space="preserve">Applications will be considered complete when all required items are submitted. Applicants will be notified of deficiencies and given 30 days to complete applications. Applications with deficiencies that are not cured within the 30-day period will be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19.13(5)</w:t>
      </w:r>
      <w:r>
        <w:rPr>
          <w:rFonts w:ascii="Times New Roman" w:hAnsi="Times New Roman"/>
          <w:b w:val="false"/>
          <w:i w:val="false"/>
          <w:color w:val="000000"/>
          <w:sz w:val="22"/>
        </w:rPr>
        <w:t> </w:t>
      </w:r>
      <w:r>
        <w:rPr>
          <w:rFonts w:ascii="Times New Roman" w:hAnsi="Times New Roman"/>
          <w:b w:val="false"/>
          <w:i/>
          <w:color w:val="000000"/>
          <w:sz w:val="22"/>
        </w:rPr>
        <w:t xml:space="preserve">Conditions of certification. </w:t>
      </w:r>
      <w:r>
        <w:rPr>
          <w:rFonts w:ascii="Times New Roman" w:hAnsi="Times New Roman"/>
          <w:b w:val="false"/>
          <w:i w:val="false"/>
          <w:color w:val="000000"/>
          <w:sz w:val="22"/>
        </w:rPr>
        <w:t>CNGPs shall comply with the conditions set out in this subrule. Failure to comply with the conditions of certification may result in revocation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Unauthorized charges. </w:t>
      </w:r>
      <w:r>
        <w:rPr>
          <w:rFonts w:ascii="Times New Roman" w:hAnsi="Times New Roman"/>
          <w:b w:val="false"/>
          <w:i w:val="false"/>
          <w:color w:val="000000"/>
          <w:sz w:val="22"/>
        </w:rPr>
        <w:t>A CNGP shall not charge or attempt to collect any charges from end users for any competitive natural gas services or equipment used in providing competitive natural gas services not contracted for or otherwise agreed to by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emergencies. </w:t>
      </w:r>
      <w:r>
        <w:rPr>
          <w:rFonts w:ascii="Times New Roman" w:hAnsi="Times New Roman"/>
          <w:b w:val="false"/>
          <w:i w:val="false"/>
          <w:color w:val="000000"/>
          <w:sz w:val="22"/>
        </w:rPr>
        <w:t>Upon receipt of information from an end user of the existence of an emergency situation with respect to delivery service, a CNGP shall immediately contact the appropriate public utility whose facilities may be involved. The CNGP shall also provide the end user with the emergency telephone number of the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to the commission. </w:t>
      </w:r>
      <w:r>
        <w:rPr>
          <w:rFonts w:ascii="Times New Roman" w:hAnsi="Times New Roman"/>
          <w:b w:val="false"/>
          <w:i w:val="false"/>
          <w:color w:val="000000"/>
          <w:sz w:val="22"/>
        </w:rPr>
        <w:t xml:space="preserve">Each CNGP shall file a report with the commission on April 1 of each year for the 12-month period ending December 31 of the previous year. The report shall be filed on forms provided by the commission, which can be accessed on the commission’s website, </w:t>
      </w:r>
      <w:hyperlink r:id="rId91">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This information may be filed with a request for confidentiality, pursuant to the public information and inspection of records subrule in </w:t>
      </w:r>
      <w:hyperlink r:id="rId92">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For each utility distribution system, the report shall include, at a minimum, total monthly and annual sales volumes, total monthly revenues, and total number of customers served each month as of December 31 of the applicable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19.13(6)</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applicable to CNGPs providing service to small-volume end users. </w:t>
      </w:r>
      <w:r>
        <w:rPr>
          <w:rFonts w:ascii="Times New Roman" w:hAnsi="Times New Roman"/>
          <w:b w:val="false"/>
          <w:i w:val="false"/>
          <w:color w:val="000000"/>
          <w:sz w:val="22"/>
        </w:rPr>
        <w:t xml:space="preserve">All CNGPs when providing service to small-volume natural gas end users shall be subject to the following conditions in addition to those listed under subrule </w:t>
      </w:r>
      <w:hyperlink r:id="rId93">
        <w:r>
          <w:rPr>
            <w:rStyle w:val="Hyperlink"/>
            <w:rFonts w:ascii="Times New Roman" w:hAnsi="Times New Roman"/>
            <w:b w:val="false"/>
            <w:i w:val="false"/>
            <w:color w:val="000000"/>
            <w:sz w:val="22"/>
          </w:rPr>
          <w:t>19.13(5)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r>
        <w:rPr>
          <w:rFonts w:ascii="Times New Roman" w:hAnsi="Times New Roman"/>
          <w:b w:val="false"/>
          <w:i w:val="false"/>
          <w:color w:val="000000"/>
          <w:sz w:val="22"/>
        </w:rPr>
        <w:t>Compliance with the following provisions shall apply to customers whose usage does not exceed 2,500 therms in any month or 10,000 therms in any consecutive 12-month period.</w:t>
      </w:r>
    </w:p>
    <w:p>
      <w:pPr>
        <w:spacing w:before="0" w:after="0"/>
        <w:ind w:left="120"/>
        <w:jc w:val="both"/>
      </w:pPr>
      <w:r>
        <w:rPr>
          <w:rFonts w:ascii="Times New Roman" w:hAnsi="Times New Roman"/>
          <w:b w:val="false"/>
          <w:i w:val="false"/>
          <w:color w:val="000000"/>
          <w:sz w:val="22"/>
        </w:rPr>
        <w:t xml:space="preserve">Customer deposits – subrule </w:t>
      </w:r>
      <w:hyperlink r:id="rId94">
        <w:r>
          <w:rPr>
            <w:rStyle w:val="Hyperlink"/>
            <w:rFonts w:ascii="Times New Roman" w:hAnsi="Times New Roman"/>
            <w:b w:val="false"/>
            <w:i w:val="false"/>
            <w:color w:val="000000"/>
            <w:sz w:val="22"/>
          </w:rPr>
          <w:t>19.4(3).</w:t>
        </w:r>
      </w:hyperlink>
    </w:p>
    <w:p>
      <w:pPr>
        <w:spacing w:before="0" w:after="0"/>
        <w:ind w:left="120"/>
        <w:jc w:val="both"/>
      </w:pPr>
      <w:r>
        <w:rPr>
          <w:rFonts w:ascii="Times New Roman" w:hAnsi="Times New Roman"/>
          <w:b w:val="false"/>
          <w:i w:val="false"/>
          <w:color w:val="000000"/>
          <w:sz w:val="22"/>
        </w:rPr>
        <w:t xml:space="preserve">Interest on customer deposits – subrule </w:t>
      </w:r>
      <w:hyperlink r:id="rId95">
        <w:r>
          <w:rPr>
            <w:rStyle w:val="Hyperlink"/>
            <w:rFonts w:ascii="Times New Roman" w:hAnsi="Times New Roman"/>
            <w:b w:val="false"/>
            <w:i w:val="false"/>
            <w:color w:val="000000"/>
            <w:sz w:val="22"/>
          </w:rPr>
          <w:t>19.4(4).</w:t>
        </w:r>
      </w:hyperlink>
    </w:p>
    <w:p>
      <w:pPr>
        <w:spacing w:before="0" w:after="0"/>
        <w:ind w:left="120"/>
        <w:jc w:val="both"/>
      </w:pPr>
      <w:r>
        <w:rPr>
          <w:rFonts w:ascii="Times New Roman" w:hAnsi="Times New Roman"/>
          <w:b w:val="false"/>
          <w:i w:val="false"/>
          <w:color w:val="000000"/>
          <w:sz w:val="22"/>
        </w:rPr>
        <w:t xml:space="preserve">Customer deposit records – subrule </w:t>
      </w:r>
      <w:hyperlink r:id="rId96">
        <w:r>
          <w:rPr>
            <w:rStyle w:val="Hyperlink"/>
            <w:rFonts w:ascii="Times New Roman" w:hAnsi="Times New Roman"/>
            <w:b w:val="false"/>
            <w:i w:val="false"/>
            <w:color w:val="000000"/>
            <w:sz w:val="22"/>
          </w:rPr>
          <w:t>19.4(5).</w:t>
        </w:r>
      </w:hyperlink>
    </w:p>
    <w:p>
      <w:pPr>
        <w:spacing w:before="0" w:after="0"/>
        <w:ind w:left="120"/>
        <w:jc w:val="both"/>
      </w:pPr>
      <w:r>
        <w:rPr>
          <w:rFonts w:ascii="Times New Roman" w:hAnsi="Times New Roman"/>
          <w:b w:val="false"/>
          <w:i w:val="false"/>
          <w:color w:val="000000"/>
          <w:sz w:val="22"/>
        </w:rPr>
        <w:t xml:space="preserve">Customer’s receipt for a deposit – subrule </w:t>
      </w:r>
      <w:hyperlink r:id="rId97">
        <w:r>
          <w:rPr>
            <w:rStyle w:val="Hyperlink"/>
            <w:rFonts w:ascii="Times New Roman" w:hAnsi="Times New Roman"/>
            <w:b w:val="false"/>
            <w:i w:val="false"/>
            <w:color w:val="000000"/>
            <w:sz w:val="22"/>
          </w:rPr>
          <w:t>19.4(6).</w:t>
        </w:r>
      </w:hyperlink>
    </w:p>
    <w:p>
      <w:pPr>
        <w:spacing w:before="0" w:after="0"/>
        <w:ind w:left="120"/>
        <w:jc w:val="both"/>
      </w:pPr>
      <w:r>
        <w:rPr>
          <w:rFonts w:ascii="Times New Roman" w:hAnsi="Times New Roman"/>
          <w:b w:val="false"/>
          <w:i w:val="false"/>
          <w:color w:val="000000"/>
          <w:sz w:val="22"/>
        </w:rPr>
        <w:t xml:space="preserve">Deposit refund – subrule </w:t>
      </w:r>
      <w:hyperlink r:id="rId98">
        <w:r>
          <w:rPr>
            <w:rStyle w:val="Hyperlink"/>
            <w:rFonts w:ascii="Times New Roman" w:hAnsi="Times New Roman"/>
            <w:b w:val="false"/>
            <w:i w:val="false"/>
            <w:color w:val="000000"/>
            <w:sz w:val="22"/>
          </w:rPr>
          <w:t>19.4(7).</w:t>
        </w:r>
      </w:hyperlink>
    </w:p>
    <w:p>
      <w:pPr>
        <w:spacing w:before="0" w:after="0"/>
        <w:ind w:left="120"/>
        <w:jc w:val="both"/>
      </w:pPr>
      <w:r>
        <w:rPr>
          <w:rFonts w:ascii="Times New Roman" w:hAnsi="Times New Roman"/>
          <w:b w:val="false"/>
          <w:i w:val="false"/>
          <w:color w:val="000000"/>
          <w:sz w:val="22"/>
        </w:rPr>
        <w:t xml:space="preserve">Unclaimed deposits – subrule </w:t>
      </w:r>
      <w:hyperlink r:id="rId99">
        <w:r>
          <w:rPr>
            <w:rStyle w:val="Hyperlink"/>
            <w:rFonts w:ascii="Times New Roman" w:hAnsi="Times New Roman"/>
            <w:b w:val="false"/>
            <w:i w:val="false"/>
            <w:color w:val="000000"/>
            <w:sz w:val="22"/>
          </w:rPr>
          <w:t>19.4(8).</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Bills to end users. </w:t>
      </w:r>
      <w:r>
        <w:rPr>
          <w:rFonts w:ascii="Times New Roman" w:hAnsi="Times New Roman"/>
          <w:b w:val="false"/>
          <w:i w:val="false"/>
          <w:color w:val="000000"/>
          <w:sz w:val="22"/>
        </w:rPr>
        <w:t>A CNGP shall include on bills to end users all the information listed in this paragraph. The bill may be sent to the customer electronically at the customer’s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period of time for which the billing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owed for current service, including an itemization of all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past-due amount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penalty for any late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location for or method of remitting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toll-free telephone number for the end user to call for information and to make complaints regarding the CNGP.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toll-free telephone number for the end user to contact the CNGP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toll-free telephone number for the end user to notify the public utility of an emergency regarding delivery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tariffed transportation charges and supplier refunds, where a combined bill is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Each prospective end user must receive in writing, prior to initiation of service, all terms and conditions of service and all rights and responsibilities of the end user associated with the offered service. The information may be provided electronically, at the customer’s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of service termination. </w:t>
      </w:r>
      <w:r>
        <w:rPr>
          <w:rFonts w:ascii="Times New Roman" w:hAnsi="Times New Roman"/>
          <w:b w:val="false"/>
          <w:i w:val="false"/>
          <w:color w:val="000000"/>
          <w:sz w:val="22"/>
        </w:rPr>
        <w:t>Notice shall be provided to the end user, the commission, and the public utility at least 12 calendar days prior to service termination. If the notice of service termination is rescinded, the CNGP must notify the public utility. CNGPs are prohibited from physically disconnecting the end user or threatening physical disconnection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 of accounts. </w:t>
      </w:r>
      <w:r>
        <w:rPr>
          <w:rFonts w:ascii="Times New Roman" w:hAnsi="Times New Roman"/>
          <w:b w:val="false"/>
          <w:i w:val="false"/>
          <w:color w:val="000000"/>
          <w:sz w:val="22"/>
        </w:rPr>
        <w:t>CNGPs will not transfer the account of any end user to another supplier except with the consent of the end user and notice to the commission. This provision does not preclude a CNGP from transferring all or a portion of its accounts pursuant to a sale or transfer of all or a substantial portion of a CNGP’s business in Iowa, provided that the transfer satisfies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transferee will serve the affected end users through a certified CNGP;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transferee will honor the transferor’s contracts with the affected end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transferor provides written notice of the transfer to each affected end user prior to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affected end user is given 30 days to change supplier without penalty;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transferor provides notice to the public utility of the effective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The commission may require the applicant to file a bond or other demonstration of its financial capability to satisfy claims and expenses that can reasonably be anticipated to occur as part of operations under its certificate, including the failure to honor contractual commitments. In determining the adequacy of the bond or demonstration, the commission shall consider the extent of the services to be offered, the size of the provider, and the size of the load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Replacement cost for supply failure. </w:t>
      </w:r>
      <w:r>
        <w:rPr>
          <w:rFonts w:ascii="Times New Roman" w:hAnsi="Times New Roman"/>
          <w:b w:val="false"/>
          <w:i w:val="false"/>
          <w:color w:val="000000"/>
          <w:sz w:val="22"/>
        </w:rPr>
        <w:t>Each individual rate-regulated public utility shall file for the commission’s review tariffs establishing replacement cost for supply failure. Replacement cost revenue will be credited to the rate-regulated public utility’s system PGA.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contribution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gas public utility, as defined in Iowa Code sections </w:t>
      </w:r>
      <w:hyperlink r:id="rId100">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and is intended to implement Iowa Code section </w:t>
      </w:r>
      <w:hyperlink r:id="rId102">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utility shall notify all customers of the customer contribution fund at least twice a year. Upon commencement of service and at least once a year, the notice will be mailed or personally delivered to all customers, or provided by electronic means to those customers who have consented to receiving electronic notices. The other notice may be published in a local newspaper(s) of general circulation within the utility’s service territory. A utility serving fewer than 6,000 customers may publish its semiannual notices locally in a free newspaper, utility newsletter, or shopper’s guide instead of a newspaper. At a minimum,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and the purpose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authorization form that includes a monthly billing option and any other methods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Contributions will be provided as monthly pledges, as well as one-time or periodic contributions. A pledge will not be construed to be a binding contract between the utility and the pledgor. The pledge amount shall not be subject to delayed payment charges by the utility. Each utility may allow persons or organizations to contribute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utility shall file with the commission a report of all the customer contribution fund activity for the previous fiscal year beginning July 1 and ending June 30. The report shall be in a form provided by the commission and contain an accounting of the total revenues collected and all distributions of the fund. The utility shall report all utility expenses directly related to the customer contribution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199—19.15</w:t>
      </w:r>
      <w:r>
        <w:rPr>
          <w:rFonts w:ascii="Times New Roman" w:hAnsi="Times New Roman"/>
          <w:b/>
          <w:i w:val="false"/>
          <w:color w:val="000000"/>
          <w:sz w:val="22"/>
        </w:rPr>
        <w:t xml:space="preserve">(476) </w:t>
      </w:r>
      <w:r>
        <w:rPr>
          <w:rFonts w:ascii="Times New Roman" w:hAnsi="Times New Roman"/>
          <w:b/>
          <w:i w:val="false"/>
          <w:color w:val="000000"/>
          <w:sz w:val="22"/>
        </w:rPr>
        <w:t xml:space="preserve">Reserve margin.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All rate-regulated gas utility companies may maintain a reserve of contract services in excess of their maximum daily system demand requirement and recover the cost of the reserve from their customers through the PGA.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services” </w:t>
      </w:r>
      <w:r>
        <w:rPr>
          <w:rFonts w:ascii="Times New Roman" w:hAnsi="Times New Roman"/>
          <w:b w:val="false"/>
          <w:i w:val="false"/>
          <w:color w:val="000000"/>
          <w:sz w:val="22"/>
        </w:rPr>
        <w:t>refers to the amount of firm gas delivery capacity or delivery services contracted for use by a utility to satisfy its maximum daily system demand requirement, including the planned delivery capacity of the utility-owned liquefied natural gas facilities but excluding the delivery capacity of propane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 day” </w:t>
      </w:r>
      <w:r>
        <w:rPr>
          <w:rFonts w:ascii="Times New Roman" w:hAnsi="Times New Roman"/>
          <w:b w:val="false"/>
          <w:i w:val="false"/>
          <w:color w:val="000000"/>
          <w:sz w:val="22"/>
        </w:rPr>
        <w:t>means reasonably anticipated colder-than-normal weather conditions during a 24-hour period beginning at 9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w:t>
      </w:r>
      <w:r>
        <w:rPr>
          <w:rFonts w:ascii="Times New Roman" w:hAnsi="Times New Roman"/>
          <w:b w:val="false"/>
          <w:i w:val="false"/>
          <w:color w:val="000000"/>
          <w:sz w:val="22"/>
        </w:rPr>
        <w:t xml:space="preserve">means the maximum daily gas demand requirement that the utility forecasts to occur on behalf of its system firm sales customers under design day weather conditions. The maximum daily gas demand requirement forecast will be determined based upon an evaluation of historic usage levels of firm sales customers, adjusted for reasonably anticipated colder-than-normal weather conditions and other clearly identifiable factors that may contribute to the demand for gas by firm sales customers. The maximum daily system demand requirements shall be submitted for approval by the commission with the Annual PGA filing required by subrule </w:t>
      </w:r>
      <w:hyperlink r:id="rId103">
        <w:r>
          <w:rPr>
            <w:rStyle w:val="Hyperlink"/>
            <w:rFonts w:ascii="Times New Roman" w:hAnsi="Times New Roman"/>
            <w:b w:val="false"/>
            <w:i w:val="false"/>
            <w:color w:val="000000"/>
            <w:sz w:val="22"/>
          </w:rPr>
          <w:t>19.9(2)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of less than 25,000 Dth per day. </w:t>
      </w:r>
      <w:r>
        <w:rPr>
          <w:rFonts w:ascii="Times New Roman" w:hAnsi="Times New Roman"/>
          <w:b w:val="false"/>
          <w:i w:val="false"/>
          <w:color w:val="000000"/>
          <w:sz w:val="22"/>
        </w:rPr>
        <w:t>A reserve margin of 9 percent or less in excess of the maximum daily system demand requirements will be presumed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19.15(4)</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of more than 25,000 Dth per day. </w:t>
      </w:r>
      <w:r>
        <w:rPr>
          <w:rFonts w:ascii="Times New Roman" w:hAnsi="Times New Roman"/>
          <w:b w:val="false"/>
          <w:i w:val="false"/>
          <w:color w:val="000000"/>
          <w:sz w:val="22"/>
        </w:rPr>
        <w:t>A reserve margin of 5 percent or less in excess of the maximum daily system demand requirements will be presumed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19.15(5)</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All contract services in excess of an amount needed to meet the maximum daily system demand requirements plus the reserve are presumed to be unjust and unreasonable unless a factual showing to the contrary is made during the periodic review of gas proceeding or in a proceeding specifically addressing the issue with an opportunity for an evidentiary hearing. All contract services less than an amount of the maximum daily system demand requirements plus the reserve are presumed to be just and reasonable unless a factual showing to the contrary can be made during the periodic review of gas proceeding or in a proceeding specifically addressing the issue with an opportunity for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19.15(6)</w:t>
      </w:r>
      <w:r>
        <w:rPr>
          <w:rFonts w:ascii="Times New Roman" w:hAnsi="Times New Roman"/>
          <w:b w:val="false"/>
          <w:i w:val="false"/>
          <w:color w:val="000000"/>
          <w:sz w:val="22"/>
        </w:rPr>
        <w:t> </w:t>
      </w:r>
      <w:r>
        <w:rPr>
          <w:rFonts w:ascii="Times New Roman" w:hAnsi="Times New Roman"/>
          <w:b w:val="false"/>
          <w:i/>
          <w:color w:val="000000"/>
          <w:sz w:val="22"/>
        </w:rPr>
        <w:t xml:space="preserve">Allocation of cost of the reserve. </w:t>
      </w:r>
      <w:r>
        <w:rPr>
          <w:rFonts w:ascii="Times New Roman" w:hAnsi="Times New Roman"/>
          <w:b w:val="false"/>
          <w:i w:val="false"/>
          <w:color w:val="000000"/>
          <w:sz w:val="22"/>
        </w:rPr>
        <w:t>Fifty percent of the reserve cost shall be collected as a demand charge allocation to noncontractual firm customers. The remaining 50 percent shall be collected as a throughput charge on customers excluding transportation customers who have elected no system supply reserve.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199—19.16</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notification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Utilities will notify the commission immediately, or as soon as practical, of any incident involving the release of gas, failure of equipment, or interruption of facility operations, which results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reportable incidents as defined in </w:t>
      </w:r>
      <w:r>
        <w:rPr>
          <w:rFonts w:ascii="Times New Roman" w:hAnsi="Times New Roman"/>
          <w:b w:val="false"/>
          <w:i w:val="false"/>
          <w:color w:val="000000"/>
          <w:sz w:val="22"/>
        </w:rPr>
        <w:t>49 CFR 191.3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interruption of service to 50 or more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Evacuation of a school, hospital, health care facility, or event totaling 100 or more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Rerouting of traffic or closing of a primary interstate highway by public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National media attention.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 or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incident considered significant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19.16(2)</w:t>
      </w:r>
      <w:r>
        <w:rPr>
          <w:rFonts w:ascii="Times New Roman" w:hAnsi="Times New Roman"/>
          <w:b w:val="false"/>
          <w:i w:val="false"/>
          <w:color w:val="000000"/>
          <w:sz w:val="22"/>
        </w:rPr>
        <w:t> </w:t>
      </w:r>
      <w:r>
        <w:rPr>
          <w:rFonts w:ascii="Times New Roman" w:hAnsi="Times New Roman"/>
          <w:b w:val="false"/>
          <w:i/>
          <w:color w:val="000000"/>
          <w:sz w:val="22"/>
        </w:rPr>
        <w:t xml:space="preserve">Reporting information. </w:t>
      </w:r>
      <w:r>
        <w:rPr>
          <w:rFonts w:ascii="Times New Roman" w:hAnsi="Times New Roman"/>
          <w:b w:val="false"/>
          <w:i w:val="false"/>
          <w:color w:val="000000"/>
          <w:sz w:val="22"/>
        </w:rPr>
        <w:t xml:space="preserve">The utility shall notify the commission by email, as soon as practical, of any reportable incident at </w:t>
      </w:r>
      <w:hyperlink r:id="rId104">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or the caller shall leave a call-back number for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initial estimate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probable cause of the incident and extent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oral or written report required by the U.S. Department of Transportation, and the name of the person who made the oral report or prepared the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19.16(3)</w:t>
      </w:r>
      <w:r>
        <w:rPr>
          <w:rFonts w:ascii="Times New Roman" w:hAnsi="Times New Roman"/>
          <w:b w:val="false"/>
          <w:i w:val="false"/>
          <w:color w:val="000000"/>
          <w:sz w:val="22"/>
        </w:rPr>
        <w:t> </w:t>
      </w:r>
      <w:r>
        <w:rPr>
          <w:rFonts w:ascii="Times New Roman" w:hAnsi="Times New Roman"/>
          <w:b w:val="false"/>
          <w:i/>
          <w:color w:val="000000"/>
          <w:sz w:val="22"/>
        </w:rPr>
        <w:t xml:space="preserve">Written incident reports. </w:t>
      </w:r>
      <w:r>
        <w:rPr>
          <w:rFonts w:ascii="Times New Roman" w:hAnsi="Times New Roman"/>
          <w:b w:val="false"/>
          <w:i w:val="false"/>
          <w:color w:val="000000"/>
          <w:sz w:val="22"/>
        </w:rPr>
        <w:t xml:space="preserve">Within 30 days of the date of the incident, the utility shall file a written report with the commission that includes the information listed in subrule </w:t>
      </w:r>
      <w:hyperlink r:id="rId105">
        <w:r>
          <w:rPr>
            <w:rStyle w:val="Hyperlink"/>
            <w:rFonts w:ascii="Times New Roman" w:hAnsi="Times New Roman"/>
            <w:b w:val="false"/>
            <w:i w:val="false"/>
            <w:color w:val="000000"/>
            <w:sz w:val="22"/>
          </w:rPr>
          <w:t>19.16(2)</w:t>
        </w:r>
      </w:hyperlink>
      <w:r>
        <w:rPr>
          <w:rFonts w:ascii="Times New Roman" w:hAnsi="Times New Roman"/>
          <w:b w:val="false"/>
          <w:i w:val="false"/>
          <w:color w:val="000000"/>
          <w:sz w:val="22"/>
        </w:rPr>
        <w:t>, the probable cause as determined by the utility, the number and cause of any deaths or personal injuries requiring in-patient hospitalization, and a detailed description of property damage and the amount of monetary damages. If significant additional information becomes available at a later date, the utility will timely file the information in a supplemental report. The utility will also provide the commission with copies of any written reports concerning an incident or safety-related condition filed with or submitted to the U.S. Department of Transportation or the National Transportation Safety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199—19.17</w:t>
      </w:r>
      <w:r>
        <w:rPr>
          <w:rFonts w:ascii="Times New Roman" w:hAnsi="Times New Roman"/>
          <w:b/>
          <w:i w:val="false"/>
          <w:color w:val="000000"/>
          <w:sz w:val="22"/>
        </w:rPr>
        <w:t xml:space="preserve">(476) </w:t>
      </w:r>
      <w:r>
        <w:rPr>
          <w:rFonts w:ascii="Times New Roman" w:hAnsi="Times New Roman"/>
          <w:b/>
          <w:i w:val="false"/>
          <w:color w:val="000000"/>
          <w:sz w:val="22"/>
        </w:rPr>
        <w:t xml:space="preserve">Capital infrastructure investment automatic adjustment mechanism.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19.17(1)</w:t>
      </w:r>
      <w:r>
        <w:rPr>
          <w:rFonts w:ascii="Times New Roman" w:hAnsi="Times New Roman"/>
          <w:b w:val="false"/>
          <w:i w:val="false"/>
          <w:color w:val="000000"/>
          <w:sz w:val="22"/>
        </w:rPr>
        <w:t> </w:t>
      </w:r>
      <w:r>
        <w:rPr>
          <w:rFonts w:ascii="Times New Roman" w:hAnsi="Times New Roman"/>
          <w:b w:val="false"/>
          <w:i/>
          <w:color w:val="000000"/>
          <w:sz w:val="22"/>
        </w:rPr>
        <w:t xml:space="preserve">Eligible capital infrastructure investment. </w:t>
      </w:r>
      <w:r>
        <w:rPr>
          <w:rFonts w:ascii="Times New Roman" w:hAnsi="Times New Roman"/>
          <w:b w:val="false"/>
          <w:i w:val="false"/>
          <w:color w:val="000000"/>
          <w:sz w:val="22"/>
        </w:rPr>
        <w:t>A rate-regulated natural gas utility may file for commission approval of a capital infrastructure investment automatic adjustment mechanism to allow recovery of certain costs from customers. To be eligible for recovery through the capital infrastructure investment automatic adjustment mechanism, the costs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are beyond the direct control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subject to sudden, important change in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costs are an important factor in determining the total cost of capital infrastructure investment to serve customers;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are readily, precisely, and continuously segregated in the accounts of the utility;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for a capital infrastructure investment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serve to increase revenues by directly connecting the infrastructure replacement to new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 service but was not included in the gas utility’s rate base in its most recent general rate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Replaces or modifies existing infrastructure required by state or local government action, to meet state or federal natural gas pipeline safety regulations, or to otherwise enhance safety as approved in advance by the commission. The utility shall make an annual filing with the commission to seek advance determination of projects that meet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recovery factor. </w:t>
      </w:r>
      <w:r>
        <w:rPr>
          <w:rFonts w:ascii="Times New Roman" w:hAnsi="Times New Roman"/>
          <w:b w:val="false"/>
          <w:i w:val="false"/>
          <w:color w:val="000000"/>
          <w:sz w:val="22"/>
        </w:rPr>
        <w:t xml:space="preserve">The utility may recover a rate of return and depreciation expense associated with eligible capital infrastructure investments described in subrule </w:t>
      </w:r>
      <w:hyperlink r:id="rId106">
        <w:r>
          <w:rPr>
            <w:rStyle w:val="Hyperlink"/>
            <w:rFonts w:ascii="Times New Roman" w:hAnsi="Times New Roman"/>
            <w:b w:val="false"/>
            <w:i w:val="false"/>
            <w:color w:val="000000"/>
            <w:sz w:val="22"/>
          </w:rPr>
          <w:t>19.17(1)</w:t>
        </w:r>
      </w:hyperlink>
      <w:r>
        <w:rPr>
          <w:rFonts w:ascii="Times New Roman" w:hAnsi="Times New Roman"/>
          <w:b w:val="false"/>
          <w:i w:val="false"/>
          <w:color w:val="000000"/>
          <w:sz w:val="22"/>
        </w:rPr>
        <w:t>. The allowed rate of return will be the approved average cost of debt from the utility’s most recent general gas or electric rate review proceeding before the commission. Depreciation expense shall be based upon the depreciation rates allowed by the commission in the utility’s most recent general gas rate review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19.17(3)</w:t>
      </w:r>
      <w:r>
        <w:rPr>
          <w:rFonts w:ascii="Times New Roman" w:hAnsi="Times New Roman"/>
          <w:b w:val="false"/>
          <w:i w:val="false"/>
          <w:color w:val="000000"/>
          <w:sz w:val="22"/>
        </w:rPr>
        <w:t> </w:t>
      </w:r>
      <w:r>
        <w:rPr>
          <w:rFonts w:ascii="Times New Roman" w:hAnsi="Times New Roman"/>
          <w:b w:val="false"/>
          <w:i/>
          <w:color w:val="000000"/>
          <w:sz w:val="22"/>
        </w:rPr>
        <w:t xml:space="preserve">Recovery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recover capital infrastructure investment costs that meet the criteria in paragraph </w:t>
      </w:r>
      <w:hyperlink r:id="rId107">
        <w:r>
          <w:rPr>
            <w:rStyle w:val="Hyperlink"/>
            <w:rFonts w:ascii="Times New Roman" w:hAnsi="Times New Roman"/>
            <w:b w:val="false"/>
            <w:i w:val="false"/>
            <w:color w:val="000000"/>
            <w:sz w:val="22"/>
          </w:rPr>
          <w:t>19.17(1)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an automatic adjustment mechanism, the utility will first obtain prior commission approval of the automatic adjustment mechanism. The utility will file the following information in support of the proposed automatic adjustment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capital infrastructure investment and the costs that are proposed to be recovered through the automatic adjustment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costs of the capital infrastructure investment are beyond the control of the utility’s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exhibit that shows the changes in level of the costs of the capital infrastructure investment that are proposed to be recovered, both historical and projected;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these particular capital infrastructure investment costs are an important factor in determining the total cost of capital infrastructure investment to serve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proposed recovery procedures, if different from the procedures described in paragraph </w:t>
      </w:r>
      <w:hyperlink r:id="rId108">
        <w:r>
          <w:rPr>
            <w:rStyle w:val="Hyperlink"/>
            <w:rFonts w:ascii="Times New Roman" w:hAnsi="Times New Roman"/>
            <w:b w:val="false"/>
            <w:i w:val="false"/>
            <w:color w:val="000000"/>
            <w:sz w:val="22"/>
          </w:rPr>
          <w:t>19.17(3)</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length of time that the automatic adjustment mechanism will be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Recovery of capital infrastructure investment costs pursuant to paragraph </w:t>
      </w:r>
      <w:hyperlink r:id="rId109">
        <w:r>
          <w:rPr>
            <w:rStyle w:val="Hyperlink"/>
            <w:rFonts w:ascii="Times New Roman" w:hAnsi="Times New Roman"/>
            <w:b w:val="false"/>
            <w:i w:val="false"/>
            <w:color w:val="000000"/>
            <w:sz w:val="22"/>
          </w:rPr>
          <w:t>19.17(1)</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made by the utility by filing a proposed tariff no later than April 1 of each year. Only one tariff filing to recover capital infrastructure investment costs shall be made in a 12-month period. The filing will include the following information in support of the proposed automatic adjustment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Proof that the capital infrastructure investment is a project that was approved in advance by the commission as specified in subparagraph </w:t>
      </w:r>
      <w:hyperlink r:id="rId110">
        <w:r>
          <w:rPr>
            <w:rStyle w:val="Hyperlink"/>
            <w:rFonts w:ascii="Times New Roman" w:hAnsi="Times New Roman"/>
            <w:b w:val="false"/>
            <w:i w:val="false"/>
            <w:color w:val="000000"/>
            <w:sz w:val="22"/>
          </w:rPr>
          <w:t>19.17(1)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description, and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debt from the utility’s most recent general gas or electric rate review proceeding before the commission and the applicable depreciation rates from the utility’s most recent general gas rate review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calculations showing the total costs that are eligible for recovery and the rates that are proposed to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Supporting documentation, including but not limited to work orders and journal entries, to the commission staff or the office of consumer advocate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shall calculate the rates for the recovery of the capital infrastructure investment through the automatic adjustment mechanism over the 12-month period beginning from the effective date of the tariff unless otherwise ordered by the commission. The calculated rate shall include a reconciliation that reconciles the actual revenue recovered through the automatic adjustment mechanism with the costs of the eligible capital infrastructure investments proposed to be recovered over the previous collection period. Unless otherwise specified in an approved tariff, the capital infrastructure investment factor shall be recovered by a fixed monthly surcharge to customers, to be determined by totaling eligible investment costs for the prior calendar year, adjusted for the reconciliation amount, then dividing the total recovery amount among customer classes based upon the utility’s most recent approved cost of service study, dividing the class recovery amounts by the number of months in the recovery period, and then dividing the assigned costs by the number of customers in each respective class. The recovery amount will be limited to annual depreciation plus a return on the undepreciated balance based on the cost of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Recovery of a return on and return of capital infrastructure investment that is eligible for recovery pursuant to an automatic adjustment mechanism will continue until the effective date of temporary rates in a subsequent general rate proceeding or, if temporary rates are not implemented, until final rates approved by the commission in the utility’s next general rate proceeding. To continue recovery, a utility shall file a proposed tariff each year. Once temporary or final rates are effective, the automatic adjustment mechanism will reset to zero. No more than five years of capital investment recovery will be allowed between general rate proceedings unless otherwise approved by the commission. A utility may continue recoveries allowed under this rule until the investments are fully depreciated or until the utility’s next general rate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1">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7/12/66; amended 6/27/75]</w:t>
      </w:r>
    </w:p>
    <w:p>
      <w:pPr>
        <w:spacing w:before="0" w:after="0"/>
        <w:ind w:left="120"/>
        <w:jc w:val="center"/>
      </w:pPr>
      <w:r>
        <w:rPr>
          <w:rFonts w:ascii="Times New Roman" w:hAnsi="Times New Roman"/>
          <w:b w:val="false"/>
          <w:i w:val="false"/>
          <w:color w:val="000000"/>
          <w:sz w:val="21"/>
        </w:rPr>
        <w:t>[Filed 12/30/75, Notice 10/6/75—published 1/26/76, effective 3/1/76]</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10/4/78, Notice 8/23/78—published 11/1/78, effective 12/6/78]</w:t>
      </w:r>
    </w:p>
    <w:p>
      <w:pPr>
        <w:spacing w:before="0" w:after="0"/>
        <w:ind w:left="120"/>
        <w:jc w:val="center"/>
      </w:pPr>
      <w:r>
        <w:rPr>
          <w:rFonts w:ascii="Times New Roman" w:hAnsi="Times New Roman"/>
          <w:b w:val="false"/>
          <w:i w:val="false"/>
          <w:color w:val="000000"/>
          <w:sz w:val="21"/>
        </w:rPr>
        <w:t>[Filed emergency 12/22/78—published 1/10/79, effective 12/22/78]</w:t>
      </w:r>
    </w:p>
    <w:p>
      <w:pPr>
        <w:spacing w:before="0" w:after="0"/>
        <w:ind w:left="120"/>
        <w:jc w:val="center"/>
      </w:pPr>
      <w:r>
        <w:rPr>
          <w:rFonts w:ascii="Times New Roman" w:hAnsi="Times New Roman"/>
          <w:b w:val="false"/>
          <w:i w:val="false"/>
          <w:color w:val="000000"/>
          <w:sz w:val="21"/>
        </w:rPr>
        <w:t>[Filed 4/10/79, Notice 11/1/78—published 5/2/79, effective 6/6/79]</w:t>
      </w:r>
    </w:p>
    <w:p>
      <w:pPr>
        <w:spacing w:before="0" w:after="0"/>
        <w:ind w:left="120"/>
        <w:jc w:val="center"/>
      </w:pPr>
      <w:r>
        <w:rPr>
          <w:rFonts w:ascii="Times New Roman" w:hAnsi="Times New Roman"/>
          <w:b w:val="false"/>
          <w:i w:val="false"/>
          <w:color w:val="000000"/>
          <w:sz w:val="21"/>
        </w:rPr>
        <w:t>[Filed 6/8/79, Notice 4/4/79—published 6/27/79, effective 8/1/79]</w:t>
      </w:r>
    </w:p>
    <w:p>
      <w:pPr>
        <w:spacing w:before="0" w:after="0"/>
        <w:ind w:left="120"/>
        <w:jc w:val="center"/>
      </w:pPr>
      <w:r>
        <w:rPr>
          <w:rFonts w:ascii="Times New Roman" w:hAnsi="Times New Roman"/>
          <w:b w:val="false"/>
          <w:i w:val="false"/>
          <w:color w:val="000000"/>
          <w:sz w:val="21"/>
        </w:rPr>
        <w:t>[Filed 9/24/80, Notice 7/23/80—published 10/15/80, effective 11/19/80]</w:t>
      </w:r>
    </w:p>
    <w:p>
      <w:pPr>
        <w:spacing w:before="0" w:after="0"/>
        <w:ind w:left="120"/>
        <w:jc w:val="center"/>
      </w:pPr>
      <w:r>
        <w:rPr>
          <w:rFonts w:ascii="Times New Roman" w:hAnsi="Times New Roman"/>
          <w:b w:val="false"/>
          <w:i w:val="false"/>
          <w:color w:val="000000"/>
          <w:sz w:val="21"/>
        </w:rPr>
        <w:t>[Filed 9/26/80, Notice 8/6/80—published 10/15/80, effective 11/19/80]</w:t>
      </w:r>
    </w:p>
    <w:p>
      <w:pPr>
        <w:spacing w:before="0" w:after="0"/>
        <w:ind w:left="120"/>
        <w:jc w:val="center"/>
      </w:pPr>
      <w:r>
        <w:rPr>
          <w:rFonts w:ascii="Times New Roman" w:hAnsi="Times New Roman"/>
          <w:b w:val="false"/>
          <w:i w:val="false"/>
          <w:color w:val="000000"/>
          <w:sz w:val="21"/>
        </w:rPr>
        <w:t>[Filed 6/5/81, Notice 4/15/81—published 6/24/81, effective 7/29/81]</w:t>
      </w:r>
    </w:p>
    <w:p>
      <w:pPr>
        <w:spacing w:before="0" w:after="0"/>
        <w:ind w:left="120"/>
        <w:jc w:val="center"/>
      </w:pPr>
      <w:r>
        <w:rPr>
          <w:rFonts w:ascii="Times New Roman" w:hAnsi="Times New Roman"/>
          <w:b w:val="false"/>
          <w:i w:val="false"/>
          <w:color w:val="000000"/>
          <w:sz w:val="21"/>
        </w:rPr>
        <w:t>[Filed 6/19/81, Notice 10/1/80—published 7/8/81, effective 8/12/81]</w:t>
      </w:r>
    </w:p>
    <w:p>
      <w:pPr>
        <w:spacing w:before="0" w:after="0"/>
        <w:ind w:left="120"/>
        <w:jc w:val="center"/>
      </w:pPr>
      <w:r>
        <w:rPr>
          <w:rFonts w:ascii="Times New Roman" w:hAnsi="Times New Roman"/>
          <w:b w:val="false"/>
          <w:i w:val="false"/>
          <w:color w:val="000000"/>
          <w:sz w:val="21"/>
        </w:rPr>
        <w:t>[Filed 10/20/81, Notice 11/26/80—published 11/11/81, effective 12/16/81]</w:t>
      </w:r>
    </w:p>
    <w:p>
      <w:pPr>
        <w:spacing w:before="0" w:after="0"/>
        <w:ind w:left="120"/>
        <w:jc w:val="center"/>
      </w:pPr>
      <w:r>
        <w:rPr>
          <w:rFonts w:ascii="Times New Roman" w:hAnsi="Times New Roman"/>
          <w:b w:val="false"/>
          <w:i w:val="false"/>
          <w:color w:val="000000"/>
          <w:sz w:val="21"/>
        </w:rPr>
        <w:t>[Filed emergency 11/17/81 after Notice 9/30/81—published 12/9/81, effective 11/17/81]</w:t>
      </w:r>
    </w:p>
    <w:p>
      <w:pPr>
        <w:spacing w:before="0" w:after="0"/>
        <w:ind w:left="120"/>
        <w:jc w:val="center"/>
      </w:pPr>
      <w:r>
        <w:rPr>
          <w:rFonts w:ascii="Times New Roman" w:hAnsi="Times New Roman"/>
          <w:b w:val="false"/>
          <w:i w:val="false"/>
          <w:color w:val="000000"/>
          <w:sz w:val="21"/>
        </w:rPr>
        <w:t>[Filed emergency 12/14/81—published 1/6/82, effective 12/14/81]</w:t>
      </w:r>
    </w:p>
    <w:p>
      <w:pPr>
        <w:spacing w:before="0" w:after="0"/>
        <w:ind w:left="120"/>
        <w:jc w:val="center"/>
      </w:pPr>
      <w:r>
        <w:rPr>
          <w:rFonts w:ascii="Times New Roman" w:hAnsi="Times New Roman"/>
          <w:b w:val="false"/>
          <w:i w:val="false"/>
          <w:color w:val="000000"/>
          <w:sz w:val="21"/>
        </w:rPr>
        <w:t>[Filed 1/28/82, Notice 5/27/81—published 2/17/82, effective 3/24/82]</w:t>
      </w:r>
    </w:p>
    <w:p>
      <w:pPr>
        <w:spacing w:before="0" w:after="0"/>
        <w:ind w:left="120"/>
        <w:jc w:val="center"/>
      </w:pPr>
      <w:r>
        <w:rPr>
          <w:rFonts w:ascii="Times New Roman" w:hAnsi="Times New Roman"/>
          <w:b w:val="false"/>
          <w:i w:val="false"/>
          <w:color w:val="000000"/>
          <w:sz w:val="21"/>
        </w:rPr>
        <w:t>[Filed 1/28/82, Notice 10/1/80—published 2/17/82, effective 3/31/82]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emergency 4/22/83—published 5/11/83, effective 4/22/83]</w:t>
      </w:r>
    </w:p>
    <w:p>
      <w:pPr>
        <w:spacing w:before="0" w:after="0"/>
        <w:ind w:left="120"/>
        <w:jc w:val="center"/>
      </w:pPr>
      <w:r>
        <w:rPr>
          <w:rFonts w:ascii="Times New Roman" w:hAnsi="Times New Roman"/>
          <w:b w:val="false"/>
          <w:i w:val="false"/>
          <w:color w:val="000000"/>
          <w:sz w:val="21"/>
        </w:rPr>
        <w:t>[Filed 4/15/83, Notice 1/19/83—published 5/11/83, effective 6/15/83]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9/9/83, Notice 6/8/83—published 9/28/83,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emergency 12/16/83 after Notice 9/28/83—published 1/4/84, effective 1/1/84]</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1/13/84, Notice 11/9/83—published 2/1/84, effective 3/7/84]</w:t>
      </w:r>
    </w:p>
    <w:p>
      <w:pPr>
        <w:spacing w:before="0" w:after="0"/>
        <w:ind w:left="120"/>
        <w:jc w:val="center"/>
      </w:pPr>
      <w:r>
        <w:rPr>
          <w:rFonts w:ascii="Times New Roman" w:hAnsi="Times New Roman"/>
          <w:b w:val="false"/>
          <w:i w:val="false"/>
          <w:color w:val="000000"/>
          <w:sz w:val="21"/>
        </w:rPr>
        <w:t>[Filed 1/27/84, Notice 11/23/84—published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4/20/84, Notice 2/15/84—published 5/9/84, effective 6/13/84]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5/4/84, Notice 1/4/84—published 5/23/84, effective 6/27/84]</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6/15/84—published 7/4/84, effective 6/15/84]</w:t>
      </w:r>
    </w:p>
    <w:p>
      <w:pPr>
        <w:spacing w:before="0" w:after="0"/>
        <w:ind w:left="120"/>
        <w:jc w:val="center"/>
      </w:pPr>
      <w:r>
        <w:rPr>
          <w:rFonts w:ascii="Times New Roman" w:hAnsi="Times New Roman"/>
          <w:b w:val="false"/>
          <w:i w:val="false"/>
          <w:color w:val="000000"/>
          <w:sz w:val="21"/>
        </w:rPr>
        <w:t>[Filed 8/24/84, Notice 1/18/84—published 9/12/84, effective 10/17/84]</w:t>
      </w:r>
    </w:p>
    <w:p>
      <w:pPr>
        <w:spacing w:before="0" w:after="0"/>
        <w:ind w:left="120"/>
        <w:jc w:val="center"/>
      </w:pPr>
      <w:r>
        <w:rPr>
          <w:rFonts w:ascii="Times New Roman" w:hAnsi="Times New Roman"/>
          <w:b w:val="false"/>
          <w:i w:val="false"/>
          <w:color w:val="000000"/>
          <w:sz w:val="21"/>
        </w:rPr>
        <w:t>[Filed 9/10/84, Notice 7/18/84—published 9/26/84, effective 10/31/84]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10/19/84, Notice 8/15/84—published 11/7/84, effective 12/26/84]</w:t>
      </w:r>
    </w:p>
    <w:p>
      <w:pPr>
        <w:spacing w:before="0" w:after="0"/>
        <w:ind w:left="120"/>
        <w:jc w:val="center"/>
      </w:pPr>
      <w:r>
        <w:rPr>
          <w:rFonts w:ascii="Times New Roman" w:hAnsi="Times New Roman"/>
          <w:b w:val="false"/>
          <w:i w:val="false"/>
          <w:color w:val="000000"/>
          <w:sz w:val="21"/>
        </w:rPr>
        <w:t>[Filed 1/14/85, Notice 11/7/84—published 1/30/85, effective 3/6/85]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5/6/85, Notice 1/2/85—published 5/22/85, effective 6/26/85]</w:t>
      </w:r>
    </w:p>
    <w:p>
      <w:pPr>
        <w:spacing w:before="0" w:after="0"/>
        <w:ind w:left="120"/>
        <w:jc w:val="center"/>
      </w:pPr>
      <w:r>
        <w:rPr>
          <w:rFonts w:ascii="Times New Roman" w:hAnsi="Times New Roman"/>
          <w:b w:val="false"/>
          <w:i w:val="false"/>
          <w:color w:val="000000"/>
          <w:sz w:val="21"/>
        </w:rPr>
        <w:t>[Filed 6/14/85, Notice 4/10/85—published 7/3/85, effective 8/7/85]</w:t>
      </w:r>
    </w:p>
    <w:p>
      <w:pPr>
        <w:spacing w:before="0" w:after="0"/>
        <w:ind w:left="120"/>
        <w:jc w:val="center"/>
      </w:pPr>
      <w:r>
        <w:rPr>
          <w:rFonts w:ascii="Times New Roman" w:hAnsi="Times New Roman"/>
          <w:b w:val="false"/>
          <w:i w:val="false"/>
          <w:color w:val="000000"/>
          <w:sz w:val="21"/>
        </w:rPr>
        <w:t>[Filed 8/9/85, Notice 6/19/85—published 8/28/85, effective 10/2/85]</w:t>
      </w:r>
    </w:p>
    <w:p>
      <w:pPr>
        <w:spacing w:before="0" w:after="0"/>
        <w:ind w:left="120"/>
        <w:jc w:val="center"/>
      </w:pPr>
      <w:r>
        <w:rPr>
          <w:rFonts w:ascii="Times New Roman" w:hAnsi="Times New Roman"/>
          <w:b w:val="false"/>
          <w:i w:val="false"/>
          <w:color w:val="000000"/>
          <w:sz w:val="21"/>
        </w:rPr>
        <w:t>[Filed emergency 2/7/86 after Notices 10/9/85, 12/4/85—published 2/26/86, effective 3/31/86]</w:t>
      </w:r>
    </w:p>
    <w:p>
      <w:pPr>
        <w:spacing w:before="0" w:after="0"/>
        <w:ind w:left="120"/>
        <w:jc w:val="center"/>
      </w:pPr>
      <w:r>
        <w:rPr>
          <w:rFonts w:ascii="Times New Roman" w:hAnsi="Times New Roman"/>
          <w:b w:val="false"/>
          <w:i w:val="false"/>
          <w:color w:val="000000"/>
          <w:sz w:val="21"/>
        </w:rPr>
        <w:t>[Filed 8/8/86, Notice 5/7/86—published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 6/18/86—published 9/10/86, effective 10/15/86]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Notices 5/21/86, 6/4/86—published 9/10/86, effective 10/15/86]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4/3/87, Notices 11/5/86, 12/3/86, 2/25/87—published 4/22/87, effective 5/27/87]</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9/2/88, Notice 3/9/88—published 9/21/88, effective 10/26/88]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1/6/89, Notices 7/1/87, 1/13/88, 7/27/88—published 1/25/89, effective 3/1/89]</w:t>
      </w:r>
    </w:p>
    <w:p>
      <w:pPr>
        <w:spacing w:before="0" w:after="0"/>
        <w:ind w:left="120"/>
        <w:jc w:val="center"/>
      </w:pPr>
      <w:r>
        <w:rPr>
          <w:rFonts w:ascii="Times New Roman" w:hAnsi="Times New Roman"/>
          <w:b w:val="false"/>
          <w:i w:val="false"/>
          <w:color w:val="000000"/>
          <w:sz w:val="21"/>
        </w:rPr>
        <w:t>[Filed 3/30/89, Notice 10/19/88—published 4/19/89, effective 5/24/89]</w:t>
      </w:r>
    </w:p>
    <w:p>
      <w:pPr>
        <w:spacing w:before="0" w:after="0"/>
        <w:ind w:left="120"/>
        <w:jc w:val="center"/>
      </w:pPr>
      <w:r>
        <w:rPr>
          <w:rFonts w:ascii="Times New Roman" w:hAnsi="Times New Roman"/>
          <w:b w:val="false"/>
          <w:i w:val="false"/>
          <w:color w:val="000000"/>
          <w:sz w:val="21"/>
        </w:rPr>
        <w:t>[Filed 4/28/89, Notice 9/21/88—published 5/17/89, effective 6/21/89]</w:t>
      </w:r>
    </w:p>
    <w:p>
      <w:pPr>
        <w:spacing w:before="0" w:after="0"/>
        <w:ind w:left="120"/>
        <w:jc w:val="center"/>
      </w:pPr>
      <w:r>
        <w:rPr>
          <w:rFonts w:ascii="Times New Roman" w:hAnsi="Times New Roman"/>
          <w:b w:val="false"/>
          <w:i w:val="false"/>
          <w:color w:val="000000"/>
          <w:sz w:val="21"/>
        </w:rPr>
        <w:t>[Filed 5/24/89, Notices 5/4/88, 6/29/88, 12/14/88—published 6/14/89, effective 7/19/89]</w:t>
      </w:r>
    </w:p>
    <w:p>
      <w:pPr>
        <w:spacing w:before="0" w:after="0"/>
        <w:ind w:left="120"/>
        <w:jc w:val="center"/>
      </w:pPr>
      <w:r>
        <w:rPr>
          <w:rFonts w:ascii="Times New Roman" w:hAnsi="Times New Roman"/>
          <w:b w:val="false"/>
          <w:i w:val="false"/>
          <w:color w:val="000000"/>
          <w:sz w:val="21"/>
        </w:rPr>
        <w:t>[Filed 5/24/89, Notice 1/11/89—published 6/14/89, effective 7/19/89]</w:t>
      </w:r>
    </w:p>
    <w:p>
      <w:pPr>
        <w:spacing w:before="0" w:after="0"/>
        <w:ind w:left="120"/>
        <w:jc w:val="center"/>
      </w:pPr>
      <w:r>
        <w:rPr>
          <w:rFonts w:ascii="Times New Roman" w:hAnsi="Times New Roman"/>
          <w:b w:val="false"/>
          <w:i w:val="false"/>
          <w:color w:val="000000"/>
          <w:sz w:val="21"/>
        </w:rPr>
        <w:t>[Filed 11/27/89, Notice 9/6/89—published 12/13/89, effective 1/17/90]</w:t>
      </w:r>
    </w:p>
    <w:p>
      <w:pPr>
        <w:spacing w:before="0" w:after="0"/>
        <w:ind w:left="120"/>
        <w:jc w:val="center"/>
      </w:pPr>
      <w:r>
        <w:rPr>
          <w:rFonts w:ascii="Times New Roman" w:hAnsi="Times New Roman"/>
          <w:b w:val="false"/>
          <w:i w:val="false"/>
          <w:color w:val="000000"/>
          <w:sz w:val="21"/>
        </w:rPr>
        <w:t>[Filed 2/1/90, Notice 9/20/89—published 2/21/90, effective 3/28/90]</w:t>
      </w:r>
    </w:p>
    <w:p>
      <w:pPr>
        <w:spacing w:before="0" w:after="0"/>
        <w:ind w:left="120"/>
        <w:jc w:val="center"/>
      </w:pPr>
      <w:r>
        <w:rPr>
          <w:rFonts w:ascii="Times New Roman" w:hAnsi="Times New Roman"/>
          <w:b w:val="false"/>
          <w:i w:val="false"/>
          <w:color w:val="000000"/>
          <w:sz w:val="21"/>
        </w:rPr>
        <w:t>[Filed 2/28/90, Notice 11/1/89—published 3/21/90, effective 4/25/90]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4/13/90—published 5/2/90, effective 4/13/90]</w:t>
      </w:r>
    </w:p>
    <w:p>
      <w:pPr>
        <w:spacing w:before="0" w:after="0"/>
        <w:ind w:left="120"/>
        <w:jc w:val="center"/>
      </w:pPr>
      <w:r>
        <w:rPr>
          <w:rFonts w:ascii="Times New Roman" w:hAnsi="Times New Roman"/>
          <w:b w:val="false"/>
          <w:i w:val="false"/>
          <w:color w:val="000000"/>
          <w:sz w:val="21"/>
        </w:rPr>
        <w:t>[Filed 4/13/90, Notice 10/18/89—published 5/2/90, effective 6/6/90]</w:t>
      </w:r>
    </w:p>
    <w:p>
      <w:pPr>
        <w:spacing w:before="0" w:after="0"/>
        <w:ind w:left="120"/>
        <w:jc w:val="center"/>
      </w:pPr>
      <w:r>
        <w:rPr>
          <w:rFonts w:ascii="Times New Roman" w:hAnsi="Times New Roman"/>
          <w:b w:val="false"/>
          <w:i w:val="false"/>
          <w:color w:val="000000"/>
          <w:sz w:val="21"/>
        </w:rPr>
        <w:t>[Filed 5/11/90, Notice 10/18/89—published 5/30/90, effective 7/4/90]</w:t>
      </w:r>
    </w:p>
    <w:p>
      <w:pPr>
        <w:spacing w:before="0" w:after="0"/>
        <w:ind w:left="120"/>
        <w:jc w:val="center"/>
      </w:pPr>
      <w:r>
        <w:rPr>
          <w:rFonts w:ascii="Times New Roman" w:hAnsi="Times New Roman"/>
          <w:b w:val="false"/>
          <w:i w:val="false"/>
          <w:color w:val="000000"/>
          <w:sz w:val="21"/>
        </w:rPr>
        <w:t>[Filed 5/25/90, Notice 2/21/90—published 6/13/90, effective 7/18/90]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11/21/90, Notice 5/2/90—published 12/12/90, effective 1/16/91]</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emergency 7/16/91 after Notice 6/12/91—published 8/7/91, effective 7/16/91]</w:t>
      </w:r>
    </w:p>
    <w:p>
      <w:pPr>
        <w:spacing w:before="0" w:after="0"/>
        <w:ind w:left="120"/>
        <w:jc w:val="center"/>
      </w:pPr>
      <w:r>
        <w:rPr>
          <w:rFonts w:ascii="Times New Roman" w:hAnsi="Times New Roman"/>
          <w:b w:val="false"/>
          <w:i w:val="false"/>
          <w:color w:val="000000"/>
          <w:sz w:val="21"/>
        </w:rPr>
        <w:t>[Filed emergency 8/16/91 after Notice 5/1/91—published 9/4/91, effective 10/1/91]</w:t>
      </w:r>
    </w:p>
    <w:p>
      <w:pPr>
        <w:spacing w:before="0" w:after="0"/>
        <w:ind w:left="120"/>
        <w:jc w:val="center"/>
      </w:pPr>
      <w:r>
        <w:rPr>
          <w:rFonts w:ascii="Times New Roman" w:hAnsi="Times New Roman"/>
          <w:b w:val="false"/>
          <w:i w:val="false"/>
          <w:color w:val="000000"/>
          <w:sz w:val="21"/>
        </w:rPr>
        <w:t>[Filed 3/20/92, Notice 8/7/91—published 4/15/92, effective 5/20/92]</w:t>
      </w:r>
    </w:p>
    <w:p>
      <w:pPr>
        <w:spacing w:before="0" w:after="0"/>
        <w:ind w:left="120"/>
        <w:jc w:val="center"/>
      </w:pPr>
      <w:r>
        <w:rPr>
          <w:rFonts w:ascii="Times New Roman" w:hAnsi="Times New Roman"/>
          <w:b w:val="false"/>
          <w:i w:val="false"/>
          <w:color w:val="000000"/>
          <w:sz w:val="21"/>
        </w:rPr>
        <w:t>[Filed 4/23/92, Notice 10/30/91—published 5/13/92, effective 6/17/92]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emergency 7/15/94 after Notice 3/16/94—published 8/3/94, effective 8/1/94]</w:t>
      </w:r>
    </w:p>
    <w:p>
      <w:pPr>
        <w:spacing w:before="0" w:after="0"/>
        <w:ind w:left="120"/>
        <w:jc w:val="center"/>
      </w:pPr>
      <w:r>
        <w:rPr>
          <w:rFonts w:ascii="Times New Roman" w:hAnsi="Times New Roman"/>
          <w:b w:val="false"/>
          <w:i w:val="false"/>
          <w:color w:val="000000"/>
          <w:sz w:val="21"/>
        </w:rPr>
        <w:t>[Filed 4/21/95, Notice 9/28/94—published 5/10/95, effective 6/14/95]</w:t>
      </w:r>
    </w:p>
    <w:p>
      <w:pPr>
        <w:spacing w:before="0" w:after="0"/>
        <w:ind w:left="120"/>
        <w:jc w:val="center"/>
      </w:pPr>
      <w:r>
        <w:rPr>
          <w:rFonts w:ascii="Times New Roman" w:hAnsi="Times New Roman"/>
          <w:b w:val="false"/>
          <w:i w:val="false"/>
          <w:color w:val="000000"/>
          <w:sz w:val="21"/>
        </w:rPr>
        <w:t>[Filed 12/23/96, Notice 9/11/96—published 1/15/97, effective 2/19/97]</w:t>
      </w:r>
    </w:p>
    <w:p>
      <w:pPr>
        <w:spacing w:before="0" w:after="0"/>
        <w:ind w:left="120"/>
        <w:jc w:val="center"/>
      </w:pPr>
      <w:r>
        <w:rPr>
          <w:rFonts w:ascii="Times New Roman" w:hAnsi="Times New Roman"/>
          <w:b w:val="false"/>
          <w:i w:val="false"/>
          <w:color w:val="000000"/>
          <w:sz w:val="21"/>
        </w:rPr>
        <w:t>[Filed 9/4/97, Notice 3/12/97—published 9/24/97, effective 10/29/97]</w:t>
      </w:r>
    </w:p>
    <w:p>
      <w:pPr>
        <w:spacing w:before="0" w:after="0"/>
        <w:ind w:left="120"/>
        <w:jc w:val="center"/>
      </w:pPr>
      <w:r>
        <w:rPr>
          <w:rFonts w:ascii="Times New Roman" w:hAnsi="Times New Roman"/>
          <w:b w:val="false"/>
          <w:i w:val="false"/>
          <w:color w:val="000000"/>
          <w:sz w:val="21"/>
        </w:rPr>
        <w:t>[Filed 10/31/97, Notices 1/29/97, 3/12/97—published 11/19/97, effective 12/24/97]</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1/23/98, Notice 7/2/97—published 2/11/98, effective 3/18/98]</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1/21/00, Notice 11/3/99—published 2/9/00, effective 3/15/00]</w:t>
      </w:r>
    </w:p>
    <w:p>
      <w:pPr>
        <w:spacing w:before="0" w:after="0"/>
        <w:ind w:left="120"/>
        <w:jc w:val="center"/>
      </w:pPr>
      <w:r>
        <w:rPr>
          <w:rFonts w:ascii="Times New Roman" w:hAnsi="Times New Roman"/>
          <w:b w:val="false"/>
          <w:i w:val="false"/>
          <w:color w:val="000000"/>
          <w:sz w:val="21"/>
        </w:rPr>
        <w:t>[Filed 5/11/00, Notice 10/6/99—published 5/31/00, effective 7/5/00]</w:t>
      </w:r>
    </w:p>
    <w:p>
      <w:pPr>
        <w:spacing w:before="0" w:after="0"/>
        <w:ind w:left="120"/>
        <w:jc w:val="center"/>
      </w:pPr>
      <w:r>
        <w:rPr>
          <w:rFonts w:ascii="Times New Roman" w:hAnsi="Times New Roman"/>
          <w:b w:val="false"/>
          <w:i w:val="false"/>
          <w:color w:val="000000"/>
          <w:sz w:val="21"/>
        </w:rPr>
        <w:t>[Filed 1/4/01, Notices 3/8/00, 8/23/00—published 1/24/01, effective 2/28/01]</w:t>
      </w:r>
    </w:p>
    <w:p>
      <w:pPr>
        <w:spacing w:before="0" w:after="0"/>
        <w:ind w:left="120"/>
        <w:jc w:val="center"/>
      </w:pPr>
      <w:r>
        <w:rPr>
          <w:rFonts w:ascii="Times New Roman" w:hAnsi="Times New Roman"/>
          <w:b w:val="false"/>
          <w:i w:val="false"/>
          <w:color w:val="000000"/>
          <w:sz w:val="21"/>
        </w:rPr>
        <w:t>[Filed 3/1/01, Notice 7/12/00—published 3/21/01, effective 4/25/01]</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8/3/01, Notice 3/21/01—published 8/22/01, effective 11/1/01]</w:t>
      </w:r>
    </w:p>
    <w:p>
      <w:pPr>
        <w:spacing w:before="0" w:after="0"/>
        <w:ind w:left="120"/>
        <w:jc w:val="center"/>
      </w:pPr>
      <w:r>
        <w:rPr>
          <w:rFonts w:ascii="Times New Roman" w:hAnsi="Times New Roman"/>
          <w:b w:val="false"/>
          <w:i w:val="false"/>
          <w:color w:val="000000"/>
          <w:sz w:val="21"/>
        </w:rPr>
        <w:t>[Filed 9/14/01, Notice 4/18/01—published 10/3/01, effective 11/7/01]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12/27/02, Notice 7/24/02—published 1/22/03, effective 2/26/03]</w:t>
      </w:r>
    </w:p>
    <w:p>
      <w:pPr>
        <w:spacing w:before="0" w:after="0"/>
        <w:ind w:left="120"/>
        <w:jc w:val="center"/>
      </w:pPr>
      <w:r>
        <w:rPr>
          <w:rFonts w:ascii="Times New Roman" w:hAnsi="Times New Roman"/>
          <w:b w:val="false"/>
          <w:i w:val="false"/>
          <w:color w:val="000000"/>
          <w:sz w:val="21"/>
        </w:rPr>
        <w:t>[Filed 7/18/03, Notice 2/5/03—published 8/6/03, effective 9/10/03]</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[Filed 4/9/04, Notice 10/15/03—published 4/28/04, effective 6/2/04]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1/22/07, Notice 11/8/06—published 2/14/07, effective 3/21/07]</w:t>
      </w:r>
    </w:p>
    <w:p>
      <w:pPr>
        <w:spacing w:before="0" w:after="0"/>
        <w:ind w:left="120"/>
        <w:jc w:val="center"/>
      </w:pPr>
      <w:r>
        <w:rPr>
          <w:rFonts w:ascii="Times New Roman" w:hAnsi="Times New Roman"/>
          <w:b w:val="false"/>
          <w:i w:val="false"/>
          <w:color w:val="000000"/>
          <w:sz w:val="21"/>
        </w:rPr>
        <w:t>[Filed 4/4/07, Notice 9/13/06—published 4/25/07, effective 5/30/07]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7584B</w:t>
      </w:r>
      <w:r>
        <w:rPr>
          <w:rFonts w:ascii="Times New Roman" w:hAnsi="Times New Roman"/>
          <w:b w:val="false"/>
          <w:i w:val="false"/>
          <w:color w:val="000000"/>
          <w:sz w:val="21"/>
        </w:rPr>
        <w:t xml:space="preserve"> (Notice ARC 7420B, IAB 12/17/08)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9101B</w:t>
      </w:r>
      <w:r>
        <w:rPr>
          <w:rFonts w:ascii="Times New Roman" w:hAnsi="Times New Roman"/>
          <w:b w:val="false"/>
          <w:i w:val="false"/>
          <w:color w:val="000000"/>
          <w:sz w:val="21"/>
        </w:rPr>
        <w:t xml:space="preserve"> (Notice ARC 8858B, IAB 6/16/10)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9831B</w:t>
      </w:r>
      <w:r>
        <w:rPr>
          <w:rFonts w:ascii="Times New Roman" w:hAnsi="Times New Roman"/>
          <w:b w:val="false"/>
          <w:i w:val="false"/>
          <w:color w:val="000000"/>
          <w:sz w:val="21"/>
        </w:rPr>
        <w:t xml:space="preserve"> (Notice ARC 9529B, IAB 6/1/11)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3453C</w:t>
      </w:r>
      <w:r>
        <w:rPr>
          <w:rFonts w:ascii="Times New Roman" w:hAnsi="Times New Roman"/>
          <w:b w:val="false"/>
          <w:i w:val="false"/>
          <w:color w:val="000000"/>
          <w:sz w:val="21"/>
        </w:rPr>
        <w:t xml:space="preserve"> (Notice ARC 2956C, IAB 3/1/17)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4380C</w:t>
      </w:r>
      <w:r>
        <w:rPr>
          <w:rFonts w:ascii="Times New Roman" w:hAnsi="Times New Roman"/>
          <w:b w:val="false"/>
          <w:i w:val="false"/>
          <w:color w:val="000000"/>
          <w:sz w:val="21"/>
        </w:rPr>
        <w:t xml:space="preserve"> (Notice ARC 4173C, IAB 12/19/18)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6044C</w:t>
      </w:r>
      <w:r>
        <w:rPr>
          <w:rFonts w:ascii="Times New Roman" w:hAnsi="Times New Roman"/>
          <w:b w:val="false"/>
          <w:i w:val="false"/>
          <w:color w:val="000000"/>
          <w:sz w:val="21"/>
        </w:rPr>
        <w:t xml:space="preserve"> (Notice ARC 5744C,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9351C</w:t>
      </w:r>
      <w:r>
        <w:rPr>
          <w:rFonts w:ascii="Times New Roman" w:hAnsi="Times New Roman"/>
          <w:b w:val="false"/>
          <w:i w:val="false"/>
          <w:color w:val="000000"/>
          <w:sz w:val="21"/>
        </w:rPr>
        <w:t xml:space="preserve"> (Notice ARC 8796C, IAB 1/22/25)</w:t>
      </w:r>
      <w:r>
        <w:rPr>
          <w:rFonts w:ascii="Times New Roman" w:hAnsi="Times New Roman"/>
          <w:b w:val="false"/>
          <w:i w:val="false"/>
          <w:color w:val="000000"/>
          <w:sz w:val="21"/>
        </w:rPr>
        <w:t>, IAB 6/11/25, effective 7/16/25]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19.3(10)</w:t>
      </w:r>
      <w:r>
        <w:rPr>
          <w:rFonts w:ascii="Times New Roman" w:hAnsi="Times New Roman"/>
          <w:b w:val="false"/>
          <w:i/>
          <w:color w:val="000000"/>
          <w:sz w:val="22"/>
        </w:rPr>
        <w:t>“a,” “b,”</w:t>
      </w:r>
      <w:r>
        <w:rPr>
          <w:rFonts w:ascii="Times New Roman" w:hAnsi="Times New Roman"/>
          <w:b w:val="false"/>
          <w:i w:val="false"/>
          <w:color w:val="000000"/>
          <w:sz w:val="22"/>
        </w:rPr>
        <w:t>(1), (2), (2)“1,” (3) and (4)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19.4(11), third unnumbered paragraph,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See IAB, Utilities Division</w:t>
      </w:r>
    </w:p>
    <w:p>
      <w:pPr>
        <w:pBdr>
          <w:bottom w:space="2"/>
        </w:pBdr>
        <w:spacing w:before="0" w:after="0"/>
        <w:ind w:left="120"/>
        <w:jc w:val="both"/>
      </w:pPr>
      <w:r>
        <w:rPr>
          <w:rFonts w:ascii="Times New Roman" w:hAnsi="Times New Roman"/>
          <w:b w:val="false"/>
          <w:i w:val="false"/>
          <w:color w:val="000000"/>
          <w:sz w:val="22"/>
        </w:rPr>
        <w:t>Published in Notice portion of IAB 9/10/86; See IAB 10/22/86</w:t>
      </w:r>
    </w:p>
    <w:p>
      <w:pPr>
        <w:pBdr>
          <w:bottom w:space="2"/>
        </w:pBdr>
        <w:spacing w:before="0" w:after="0"/>
        <w:ind w:left="120"/>
        <w:jc w:val="both"/>
      </w:pPr>
      <w:r>
        <w:rPr>
          <w:rFonts w:ascii="Times New Roman" w:hAnsi="Times New Roman"/>
          <w:b w:val="false"/>
          <w:i w:val="false"/>
          <w:color w:val="000000"/>
          <w:sz w:val="22"/>
        </w:rPr>
        <w:t xml:space="preserve">Effective date of 19.4(3) delayed until the adjournment of the 1994 Session of the General Assembly pursuant to Iowa Code section </w:t>
      </w:r>
      <w:hyperlink r:id="rId12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19.7.pdf" Type="http://schemas.openxmlformats.org/officeDocument/2006/relationships/hyperlink" Id="rId6"/>
    <Relationship TargetMode="External" Target="https://www.legis.iowa.gov/docs/iac/rule/199.19.2.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ac/chapter/199.14.pdf" Type="http://schemas.openxmlformats.org/officeDocument/2006/relationships/hyperlink" Id="rId10"/>
    <Relationship TargetMode="External" Target="https://www.legis.iowa.gov/docs/iac/chapter/199.199.pdf" Type="http://schemas.openxmlformats.org/officeDocument/2006/relationships/hyperlink" Id="rId11"/>
    <Relationship TargetMode="External" Target="https://www.legis.iowa.gov/docs/iac/rule/199.19.10.pdf" Type="http://schemas.openxmlformats.org/officeDocument/2006/relationships/hyperlink" Id="rId12"/>
    <Relationship TargetMode="External" Target="https://www.legis.iowa.gov/docs/iac/rule/199.19.9.pdf" Type="http://schemas.openxmlformats.org/officeDocument/2006/relationships/hyperlink" Id="rId13"/>
    <Relationship TargetMode="External" Target="https://www.legis.iowa.gov/docs/ico/chapter/476.3.pdf" Type="http://schemas.openxmlformats.org/officeDocument/2006/relationships/hyperlink" Id="rId14"/>
    <Relationship TargetMode="External" Target="https://www.legis.iowa.gov/docs/ico/chapter/476.6.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ac/rule/199.19.3.pdf" Type="http://schemas.openxmlformats.org/officeDocument/2006/relationships/hyperlink" Id="rId17"/>
    <Relationship TargetMode="External" Target="https://www.legis.iowa.gov/docs/iac/rule/199.19.7.pdf" Type="http://schemas.openxmlformats.org/officeDocument/2006/relationships/hyperlink" Id="rId18"/>
    <Relationship TargetMode="External" Target="https://www.legis.iowa.gov/docs/iac/rule/199.19.7.pdf" Type="http://schemas.openxmlformats.org/officeDocument/2006/relationships/hyperlink" Id="rId19"/>
    <Relationship TargetMode="External" Target="https://www.legis.iowa.gov/docs/iac/chapter/199.23.pdf" Type="http://schemas.openxmlformats.org/officeDocument/2006/relationships/hyperlink" Id="rId20"/>
    <Relationship TargetMode="External" Target="https://www.legis.iowa.gov/docs/ico/chapter/476.2.pdf" Type="http://schemas.openxmlformats.org/officeDocument/2006/relationships/hyperlink" Id="rId21"/>
    <Relationship TargetMode="External" Target="https://www.legis.iowa.gov/docs/iac/rule/199.19.3.pdf" Type="http://schemas.openxmlformats.org/officeDocument/2006/relationships/hyperlink" Id="rId22"/>
    <Relationship TargetMode="External" Target="https://www.legis.iowa.gov/docs/ico/chapter/476.8.pdf" Type="http://schemas.openxmlformats.org/officeDocument/2006/relationships/hyperlink" Id="rId23"/>
    <Relationship TargetMode="External" Target="https://www.legis.iowa.gov/docs/iac/chapter/199.26.pdf" Type="http://schemas.openxmlformats.org/officeDocument/2006/relationships/hyperlink" Id="rId24"/>
    <Relationship TargetMode="External" Target="mailto:customer@iuc.iowa.gov" Type="http://schemas.openxmlformats.org/officeDocument/2006/relationships/hyperlink" Id="rId25"/>
    <Relationship TargetMode="External" Target="mailto:customer@iuc.iowa.gov" Type="http://schemas.openxmlformats.org/officeDocument/2006/relationships/hyperlink" Id="rId26"/>
    <Relationship TargetMode="External" Target="https://www.legis.iowa.gov/docs/iac/rule/199.19.3.pdf" Type="http://schemas.openxmlformats.org/officeDocument/2006/relationships/hyperlink" Id="rId27"/>
    <Relationship TargetMode="External" Target="https://www.legis.iowa.gov/docs/ico/chapter/556.4.pdf" Type="http://schemas.openxmlformats.org/officeDocument/2006/relationships/hyperlink" Id="rId28"/>
    <Relationship TargetMode="External" Target="https://www.legis.iowa.gov/docs/ico/chapter/556.11.pdf" Type="http://schemas.openxmlformats.org/officeDocument/2006/relationships/hyperlink" Id="rId29"/>
    <Relationship TargetMode="External" Target="https://www.legis.iowa.gov/docs/iac/rule/199.19.4.pdf" Type="http://schemas.openxmlformats.org/officeDocument/2006/relationships/hyperlink" Id="rId30"/>
    <Relationship TargetMode="External" Target="https://www.legis.iowa.gov/docs/iac/rule/199.19.4.pdf" Type="http://schemas.openxmlformats.org/officeDocument/2006/relationships/hyperlink" Id="rId31"/>
    <Relationship TargetMode="External" Target="https://www.legis.iowa.gov/docs/iac/rule/199.19.3.pdf" Type="http://schemas.openxmlformats.org/officeDocument/2006/relationships/hyperlink" Id="rId32"/>
    <Relationship TargetMode="External" Target="https://www.legis.iowa.gov/docs/iac/rule/199.19.4.pdf" Type="http://schemas.openxmlformats.org/officeDocument/2006/relationships/hyperlink" Id="rId33"/>
    <Relationship TargetMode="External" Target="https://www.legis.iowa.gov/docs/iac/rule/199.19.1.pdf" Type="http://schemas.openxmlformats.org/officeDocument/2006/relationships/hyperlink" Id="rId34"/>
    <Relationship TargetMode="External" Target="https://www.legis.iowa.gov/docs/iac/rule/199.19.4.pdf" Type="http://schemas.openxmlformats.org/officeDocument/2006/relationships/hyperlink" Id="rId35"/>
    <Relationship TargetMode="External" Target="https://www.legis.iowa.gov/docs/iac/rule/199.19.3.pdf" Type="http://schemas.openxmlformats.org/officeDocument/2006/relationships/hyperlink" Id="rId36"/>
    <Relationship TargetMode="External" Target="https://www.legis.iowa.gov/docs/iac/rule/199.19.4.pdf" Type="http://schemas.openxmlformats.org/officeDocument/2006/relationships/hyperlink" Id="rId37"/>
    <Relationship TargetMode="External" Target="https://www.legis.iowa.gov/docs/iac/rule/199.19.4.pdf" Type="http://schemas.openxmlformats.org/officeDocument/2006/relationships/hyperlink" Id="rId38"/>
    <Relationship TargetMode="External" Target="https://www.legis.iowa.gov/docs/iac/rule/199.19.3.pdf" Type="http://schemas.openxmlformats.org/officeDocument/2006/relationships/hyperlink" Id="rId39"/>
    <Relationship TargetMode="External" Target="https://www.legis.iowa.gov/docs/ico/chapter/476.1.pdf" Type="http://schemas.openxmlformats.org/officeDocument/2006/relationships/hyperlink" Id="rId40"/>
    <Relationship TargetMode="External" Target="http://hhs.iowa.gov/programs/programs-and-services/liheap" Type="http://schemas.openxmlformats.org/officeDocument/2006/relationships/hyperlink" Id="rId41"/>
    <Relationship TargetMode="External" Target="mailto:customer@iuc.iowa.gov" Type="http://schemas.openxmlformats.org/officeDocument/2006/relationships/hyperlink" Id="rId42"/>
    <Relationship TargetMode="External" Target="https://www.legis.iowa.gov/docs/iac/chapter/199.6.pdf" Type="http://schemas.openxmlformats.org/officeDocument/2006/relationships/hyperlink" Id="rId43"/>
    <Relationship TargetMode="External" Target="https://www.legis.iowa.gov/docs/iac/rule/199.19.4.pdf" Type="http://schemas.openxmlformats.org/officeDocument/2006/relationships/hyperlink" Id="rId44"/>
    <Relationship TargetMode="External" Target="https://www.legis.iowa.gov/docs/ico/chapter/476.20.pdf" Type="http://schemas.openxmlformats.org/officeDocument/2006/relationships/hyperlink" Id="rId45"/>
    <Relationship TargetMode="External" Target="https://www.legis.iowa.gov/docs/ico/chapter/29A.90.pdf" Type="http://schemas.openxmlformats.org/officeDocument/2006/relationships/hyperlink" Id="rId46"/>
    <Relationship TargetMode="External" Target="https://www.legis.iowa.gov/docs/iac/rule/199.19.4.pdf" Type="http://schemas.openxmlformats.org/officeDocument/2006/relationships/hyperlink" Id="rId47"/>
    <Relationship TargetMode="External" Target="https://www.legis.iowa.gov/docs/iac/rule/199.19.4.pdf" Type="http://schemas.openxmlformats.org/officeDocument/2006/relationships/hyperlink" Id="rId48"/>
    <Relationship TargetMode="External" Target="https://www.legis.iowa.gov/docs/iac/rule/199.19.4.pdf" Type="http://schemas.openxmlformats.org/officeDocument/2006/relationships/hyperlink" Id="rId49"/>
    <Relationship TargetMode="External" Target="https://www.legis.iowa.gov/docs/iac/rule/199.19.4.pdf" Type="http://schemas.openxmlformats.org/officeDocument/2006/relationships/hyperlink" Id="rId50"/>
    <Relationship TargetMode="External" Target="https://www.legis.iowa.gov/docs/ico/chapter/476.20.pdf" Type="http://schemas.openxmlformats.org/officeDocument/2006/relationships/hyperlink" Id="rId51"/>
    <Relationship TargetMode="External" Target="https://www.legis.iowa.gov/docs/ico/chapter/29A.90.pdf" Type="http://schemas.openxmlformats.org/officeDocument/2006/relationships/hyperlink" Id="rId52"/>
    <Relationship TargetMode="External" Target="https://www.legis.iowa.gov/docs/iac/rule/199.19.7.pdf" Type="http://schemas.openxmlformats.org/officeDocument/2006/relationships/hyperlink" Id="rId53"/>
    <Relationship TargetMode="External" Target="https://www.legis.iowa.gov/docs/iac/rule/199.19.7.pdf" Type="http://schemas.openxmlformats.org/officeDocument/2006/relationships/hyperlink" Id="rId54"/>
    <Relationship TargetMode="External" Target="https://www.legis.iowa.gov/docs/ico/chapter/476.2.pdf" Type="http://schemas.openxmlformats.org/officeDocument/2006/relationships/hyperlink" Id="rId55"/>
    <Relationship TargetMode="External" Target="https://www.legis.iowa.gov/docs/ico/chapter/476.6.pdf" Type="http://schemas.openxmlformats.org/officeDocument/2006/relationships/hyperlink" Id="rId56"/>
    <Relationship TargetMode="External" Target="https://www.legis.iowa.gov/docs/ico/chapter/476.8.pdf" Type="http://schemas.openxmlformats.org/officeDocument/2006/relationships/hyperlink" Id="rId57"/>
    <Relationship TargetMode="External" Target="https://www.legis.iowa.gov/docs/ico/chapter/476.20.pdf" Type="http://schemas.openxmlformats.org/officeDocument/2006/relationships/hyperlink" Id="rId58"/>
    <Relationship TargetMode="External" Target="https://www.legis.iowa.gov/docs/ico/chapter/476.54.pdf" Type="http://schemas.openxmlformats.org/officeDocument/2006/relationships/hyperlink" Id="rId59"/>
    <Relationship TargetMode="External" Target="https://www.legis.iowa.gov/docs/iac/chapter/199.42.pdf" Type="http://schemas.openxmlformats.org/officeDocument/2006/relationships/hyperlink" Id="rId60"/>
    <Relationship TargetMode="External" Target="https://www.legis.iowa.gov/docs/iac/rule/199.19.6.pdf" Type="http://schemas.openxmlformats.org/officeDocument/2006/relationships/hyperlink" Id="rId61"/>
    <Relationship TargetMode="External" Target="https://www.legis.iowa.gov/docs/iac/rule/199.14.3.pdf" Type="http://schemas.openxmlformats.org/officeDocument/2006/relationships/hyperlink" Id="rId62"/>
    <Relationship TargetMode="External" Target="https://www.legis.iowa.gov/docs/iac/rule/199.19.4.pdf" Type="http://schemas.openxmlformats.org/officeDocument/2006/relationships/hyperlink" Id="rId63"/>
    <Relationship TargetMode="External" Target="https://www.legis.iowa.gov/docs/iac/rule/199.19.6.pdf" Type="http://schemas.openxmlformats.org/officeDocument/2006/relationships/hyperlink" Id="rId64"/>
    <Relationship TargetMode="External" Target="https://www.legis.iowa.gov/docs/iac/rule/199.19.4.pdf" Type="http://schemas.openxmlformats.org/officeDocument/2006/relationships/hyperlink" Id="rId65"/>
    <Relationship TargetMode="External" Target="https://www.legis.iowa.gov/docs/iac/rule/199.19.16.pdf" Type="http://schemas.openxmlformats.org/officeDocument/2006/relationships/hyperlink" Id="rId66"/>
    <Relationship TargetMode="External" Target="https://www.legis.iowa.gov/docs/iac/rule/199.19.5.pdf" Type="http://schemas.openxmlformats.org/officeDocument/2006/relationships/hyperlink" Id="rId67"/>
    <Relationship TargetMode="External" Target="https://www.legis.iowa.gov/docs/iac/rule/199.19.5.pdf" Type="http://schemas.openxmlformats.org/officeDocument/2006/relationships/hyperlink" Id="rId68"/>
    <Relationship TargetMode="External" Target="https://www.legis.iowa.gov/docs/ico/chapter/476.6.pdf" Type="http://schemas.openxmlformats.org/officeDocument/2006/relationships/hyperlink" Id="rId69"/>
    <Relationship TargetMode="External" Target="https://www.legis.iowa.gov/docs/iac/rule/199.19.9.pdf" Type="http://schemas.openxmlformats.org/officeDocument/2006/relationships/hyperlink" Id="rId70"/>
    <Relationship TargetMode="External" Target="https://www.legis.iowa.gov/docs/iac/rule/199.19.9.pdf" Type="http://schemas.openxmlformats.org/officeDocument/2006/relationships/hyperlink" Id="rId71"/>
    <Relationship TargetMode="External" Target="https://www.legis.iowa.gov/docs/iac/rule/199.19.9.pdf" Type="http://schemas.openxmlformats.org/officeDocument/2006/relationships/hyperlink" Id="rId72"/>
    <Relationship TargetMode="External" Target="https://www.legis.iowa.gov/docs/iac/rule/199.19.9.pdf" Type="http://schemas.openxmlformats.org/officeDocument/2006/relationships/hyperlink" Id="rId73"/>
    <Relationship TargetMode="External" Target="https://www.legis.iowa.gov/docs/iac/rule/199.19.9.pdf" Type="http://schemas.openxmlformats.org/officeDocument/2006/relationships/hyperlink" Id="rId74"/>
    <Relationship TargetMode="External" Target="https://www.legis.iowa.gov/docs/iac/rule/199.19.9.pdf" Type="http://schemas.openxmlformats.org/officeDocument/2006/relationships/hyperlink" Id="rId75"/>
    <Relationship TargetMode="External" Target="https://www.legis.iowa.gov/docs/iac/rule/199.19.9.pdf" Type="http://schemas.openxmlformats.org/officeDocument/2006/relationships/hyperlink" Id="rId76"/>
    <Relationship TargetMode="External" Target="https://www.legis.iowa.gov/docs/iac/rule/199.19.9.pdf" Type="http://schemas.openxmlformats.org/officeDocument/2006/relationships/hyperlink" Id="rId77"/>
    <Relationship TargetMode="External" Target="https://www.legis.iowa.gov/docs/ico/chapter/476.6.pdf" Type="http://schemas.openxmlformats.org/officeDocument/2006/relationships/hyperlink" Id="rId78"/>
    <Relationship TargetMode="External" Target="https://www.legis.iowa.gov/docs/ico/chapter/476.6.pdf" Type="http://schemas.openxmlformats.org/officeDocument/2006/relationships/hyperlink" Id="rId79"/>
    <Relationship TargetMode="External" Target="https://www.legis.iowa.gov/docs/ico/chapter/476.6.pdf" Type="http://schemas.openxmlformats.org/officeDocument/2006/relationships/hyperlink" Id="rId80"/>
    <Relationship TargetMode="External" Target="https://www.legis.iowa.gov/docs/iac/rule/199.19.13.pdf" Type="http://schemas.openxmlformats.org/officeDocument/2006/relationships/hyperlink" Id="rId81"/>
    <Relationship TargetMode="External" Target="https://www.legis.iowa.gov/docs/ico/chapter/476.86.pdf" Type="http://schemas.openxmlformats.org/officeDocument/2006/relationships/hyperlink" Id="rId82"/>
    <Relationship TargetMode="External" Target="https://www.legis.iowa.gov/docs/ico/chapter/476.87.pdf" Type="http://schemas.openxmlformats.org/officeDocument/2006/relationships/hyperlink" Id="rId83"/>
    <Relationship TargetMode="External" Target="https://www.legis.iowa.gov/docs/ico/chapter/476.86.pdf" Type="http://schemas.openxmlformats.org/officeDocument/2006/relationships/hyperlink" Id="rId84"/>
    <Relationship TargetMode="External" Target="https://www.legis.iowa.gov/docs/ico/chapter/476.87.pdf" Type="http://schemas.openxmlformats.org/officeDocument/2006/relationships/hyperlink" Id="rId85"/>
    <Relationship TargetMode="External" Target="https://www.legis.iowa.gov/docs/iac/chapter/199.14.pdf" Type="http://schemas.openxmlformats.org/officeDocument/2006/relationships/hyperlink" Id="rId86"/>
    <Relationship TargetMode="External" Target="http://iuc.iowa.gov" Type="http://schemas.openxmlformats.org/officeDocument/2006/relationships/hyperlink" Id="rId87"/>
    <Relationship TargetMode="External" Target="https://www.legis.iowa.gov/docs/iac/rule/199.19.13.pdf" Type="http://schemas.openxmlformats.org/officeDocument/2006/relationships/hyperlink" Id="rId88"/>
    <Relationship TargetMode="External" Target="https://www.legis.iowa.gov/docs/iac/rule/199.19.13.pdf" Type="http://schemas.openxmlformats.org/officeDocument/2006/relationships/hyperlink" Id="rId89"/>
    <Relationship TargetMode="External" Target="https://www.legis.iowa.gov/docs/iac/chapter/199.1.pdf" Type="http://schemas.openxmlformats.org/officeDocument/2006/relationships/hyperlink" Id="rId90"/>
    <Relationship TargetMode="External" Target="http://iuc.iowa.gov" Type="http://schemas.openxmlformats.org/officeDocument/2006/relationships/hyperlink" Id="rId91"/>
    <Relationship TargetMode="External" Target="https://www.legis.iowa.gov/docs/iac/chapter/199.1.pdf" Type="http://schemas.openxmlformats.org/officeDocument/2006/relationships/hyperlink" Id="rId92"/>
    <Relationship TargetMode="External" Target="https://www.legis.iowa.gov/docs/iac/rule/199.19.13.pdf" Type="http://schemas.openxmlformats.org/officeDocument/2006/relationships/hyperlink" Id="rId93"/>
    <Relationship TargetMode="External" Target="https://www.legis.iowa.gov/docs/iac/rule/199.19.4.pdf" Type="http://schemas.openxmlformats.org/officeDocument/2006/relationships/hyperlink" Id="rId94"/>
    <Relationship TargetMode="External" Target="https://www.legis.iowa.gov/docs/iac/rule/199.19.4.pdf" Type="http://schemas.openxmlformats.org/officeDocument/2006/relationships/hyperlink" Id="rId95"/>
    <Relationship TargetMode="External" Target="https://www.legis.iowa.gov/docs/iac/rule/199.19.4.pdf" Type="http://schemas.openxmlformats.org/officeDocument/2006/relationships/hyperlink" Id="rId96"/>
    <Relationship TargetMode="External" Target="https://www.legis.iowa.gov/docs/iac/rule/199.19.4.pdf" Type="http://schemas.openxmlformats.org/officeDocument/2006/relationships/hyperlink" Id="rId97"/>
    <Relationship TargetMode="External" Target="https://www.legis.iowa.gov/docs/iac/rule/199.19.4.pdf" Type="http://schemas.openxmlformats.org/officeDocument/2006/relationships/hyperlink" Id="rId98"/>
    <Relationship TargetMode="External" Target="https://www.legis.iowa.gov/docs/iac/rule/199.19.4.pdf" Type="http://schemas.openxmlformats.org/officeDocument/2006/relationships/hyperlink" Id="rId99"/>
    <Relationship TargetMode="External" Target="https://www.legis.iowa.gov/docs/ico/chapter/476.1.pdf" Type="http://schemas.openxmlformats.org/officeDocument/2006/relationships/hyperlink" Id="rId100"/>
    <Relationship TargetMode="External" Target="https://www.legis.iowa.gov/docs/ico/chapter/476.1B.pdf" Type="http://schemas.openxmlformats.org/officeDocument/2006/relationships/hyperlink" Id="rId101"/>
    <Relationship TargetMode="External" Target="https://www.legis.iowa.gov/docs/ico/chapter/476.66.pdf" Type="http://schemas.openxmlformats.org/officeDocument/2006/relationships/hyperlink" Id="rId102"/>
    <Relationship TargetMode="External" Target="https://www.legis.iowa.gov/docs/iac/rule/199.19.9.pdf" Type="http://schemas.openxmlformats.org/officeDocument/2006/relationships/hyperlink" Id="rId103"/>
    <Relationship TargetMode="External" Target="mailto:dutyofficer@iuc.iowa.gov" Type="http://schemas.openxmlformats.org/officeDocument/2006/relationships/hyperlink" Id="rId104"/>
    <Relationship TargetMode="External" Target="https://www.legis.iowa.gov/docs/iac/rule/199.19.16.pdf" Type="http://schemas.openxmlformats.org/officeDocument/2006/relationships/hyperlink" Id="rId105"/>
    <Relationship TargetMode="External" Target="https://www.legis.iowa.gov/docs/iac/rule/199.19.17.pdf" Type="http://schemas.openxmlformats.org/officeDocument/2006/relationships/hyperlink" Id="rId106"/>
    <Relationship TargetMode="External" Target="https://www.legis.iowa.gov/docs/iac/rule/199.19.17.pdf" Type="http://schemas.openxmlformats.org/officeDocument/2006/relationships/hyperlink" Id="rId107"/>
    <Relationship TargetMode="External" Target="https://www.legis.iowa.gov/docs/iac/rule/199.19.17.pdf" Type="http://schemas.openxmlformats.org/officeDocument/2006/relationships/hyperlink" Id="rId108"/>
    <Relationship TargetMode="External" Target="https://www.legis.iowa.gov/docs/iac/rule/199.19.17.pdf" Type="http://schemas.openxmlformats.org/officeDocument/2006/relationships/hyperlink" Id="rId109"/>
    <Relationship TargetMode="External" Target="https://www.legis.iowa.gov/docs/iac/rule/199.19.17.pdf" Type="http://schemas.openxmlformats.org/officeDocument/2006/relationships/hyperlink" Id="rId110"/>
    <Relationship TargetMode="External" Target="https://www.legis.iowa.gov/docs/ico/chapter/476.1.pdf" Type="http://schemas.openxmlformats.org/officeDocument/2006/relationships/hyperlink" Id="rId111"/>
    <Relationship TargetMode="External" Target="https://www.legis.iowa.gov/docs/ico/chapter/476.2.pdf" Type="http://schemas.openxmlformats.org/officeDocument/2006/relationships/hyperlink" Id="rId112"/>
    <Relationship TargetMode="External" Target="https://www.legis.iowa.gov/docs/ico/chapter/476.6.pdf" Type="http://schemas.openxmlformats.org/officeDocument/2006/relationships/hyperlink" Id="rId113"/>
    <Relationship TargetMode="External" Target="https://www.legis.iowa.gov/docs/ico/chapter/476.8.pdf" Type="http://schemas.openxmlformats.org/officeDocument/2006/relationships/hyperlink" Id="rId114"/>
    <Relationship TargetMode="External" Target="https://www.legis.iowa.gov/docs/ico/chapter/476.20.pdf" Type="http://schemas.openxmlformats.org/officeDocument/2006/relationships/hyperlink" Id="rId115"/>
    <Relationship TargetMode="External" Target="https://www.legis.iowa.gov/docs/ico/chapter/476.54.pdf" Type="http://schemas.openxmlformats.org/officeDocument/2006/relationships/hyperlink" Id="rId116"/>
    <Relationship TargetMode="External" Target="https://www.legis.iowa.gov/docs/ico/chapter/476.66.pdf" Type="http://schemas.openxmlformats.org/officeDocument/2006/relationships/hyperlink" Id="rId117"/>
    <Relationship TargetMode="External" Target="https://www.legis.iowa.gov/docs/ico/chapter/476.86.pdf" Type="http://schemas.openxmlformats.org/officeDocument/2006/relationships/hyperlink" Id="rId118"/>
    <Relationship TargetMode="External" Target="https://www.legis.iowa.gov/docs/ico/chapter/476.87.pdf" Type="http://schemas.openxmlformats.org/officeDocument/2006/relationships/hyperlink" Id="rId119"/>
    <Relationship TargetMode="External" Target="https://www.legis.iowa.gov/docs/ico/chapter/17A.8.pdf" Type="http://schemas.openxmlformats.org/officeDocument/2006/relationships/hyperlink" Id="rId1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