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UTILITY RECORDS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3/27/29</w:t>
      </w:r>
    </w:p>
    <w:p>
      <w:pPr>
        <w:spacing w:before="0" w:after="0"/>
        <w:ind w:left="120"/>
        <w:jc w:val="both"/>
      </w:pPr>
      <w:r>
        <w:rPr>
          <w:rFonts w:ascii="Times New Roman" w:hAnsi="Times New Roman"/>
          <w:b/>
          <w:i w:val="false"/>
          <w:color w:val="000000"/>
          <w:sz w:val="22"/>
        </w:rPr>
        <w:t>199—18.1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this chapter, have the meanings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“FERC rules” </w:t>
      </w:r>
      <w:r>
        <w:rPr>
          <w:rFonts w:ascii="Times New Roman" w:hAnsi="Times New Roman"/>
          <w:b w:val="false"/>
          <w:i w:val="false"/>
          <w:color w:val="000000"/>
          <w:sz w:val="22"/>
        </w:rPr>
        <w:t>means the rules and regulations of the Federal Energy Regulatory Commission under the Federal Power Act and Natural Gas Act as published in the CFR.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“NARUC guidelines” </w:t>
      </w:r>
      <w:r>
        <w:rPr>
          <w:rFonts w:ascii="Times New Roman" w:hAnsi="Times New Roman"/>
          <w:b w:val="false"/>
          <w:i w:val="false"/>
          <w:color w:val="000000"/>
          <w:sz w:val="22"/>
        </w:rPr>
        <w:t>means the guidelines published by the National Association of Regulatory Utility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“RUS rules” </w:t>
      </w:r>
      <w:r>
        <w:rPr>
          <w:rFonts w:ascii="Times New Roman" w:hAnsi="Times New Roman"/>
          <w:b w:val="false"/>
          <w:i w:val="false"/>
          <w:color w:val="000000"/>
          <w:sz w:val="22"/>
        </w:rPr>
        <w:t>means the rules and regulations of the Rural Utilities Service of the United States Department of Agriculture, 7 CFR Part 1767, applicable to electric and telephone borrowers of the RUS under the terms of their mortgages to the RUS.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199—18.2</w:t>
      </w:r>
      <w:r>
        <w:rPr>
          <w:rFonts w:ascii="Times New Roman" w:hAnsi="Times New Roman"/>
          <w:b/>
          <w:i w:val="false"/>
          <w:color w:val="000000"/>
          <w:sz w:val="22"/>
        </w:rPr>
        <w:t xml:space="preserve">(476) </w:t>
      </w:r>
      <w:r>
        <w:rPr>
          <w:rFonts w:ascii="Times New Roman" w:hAnsi="Times New Roman"/>
          <w:b/>
          <w:i w:val="false"/>
          <w:color w:val="000000"/>
          <w:sz w:val="22"/>
        </w:rPr>
        <w:t xml:space="preserve">Location of records. </w:t>
      </w:r>
      <w:r>
        <w:rPr>
          <w:rFonts w:ascii="Times New Roman" w:hAnsi="Times New Roman"/>
          <w:b w:val="false"/>
          <w:i w:val="false"/>
          <w:color w:val="000000"/>
          <w:sz w:val="22"/>
        </w:rPr>
        <w:t xml:space="preserve">All records kept pursuant to any rules of the commission, or necessary for the administration thereof, shall be kept or made accessible within this state unless otherwise authorized by the commission, including: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The utility’s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A record of the telephone number and business location of the utility’s administrative, technical, and operating personnel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The most recent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val="false"/>
          <w:color w:val="000000"/>
          <w:sz w:val="22"/>
        </w:rPr>
        <w:t>The most recent rate case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val="false"/>
          <w:color w:val="000000"/>
          <w:sz w:val="22"/>
        </w:rPr>
        <w:t>Annual reports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18.2(6)</w:t>
      </w:r>
      <w:r>
        <w:rPr>
          <w:rFonts w:ascii="Times New Roman" w:hAnsi="Times New Roman"/>
          <w:b w:val="false"/>
          <w:i w:val="false"/>
          <w:color w:val="000000"/>
          <w:sz w:val="22"/>
        </w:rPr>
        <w:t> </w:t>
      </w:r>
      <w:r>
        <w:rPr>
          <w:rFonts w:ascii="Times New Roman" w:hAnsi="Times New Roman"/>
          <w:b w:val="false"/>
          <w:i w:val="false"/>
          <w:color w:val="000000"/>
          <w:sz w:val="22"/>
        </w:rPr>
        <w:t>Shareholder’s reports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18.2(7)</w:t>
      </w:r>
      <w:r>
        <w:rPr>
          <w:rFonts w:ascii="Times New Roman" w:hAnsi="Times New Roman"/>
          <w:b w:val="false"/>
          <w:i w:val="false"/>
          <w:color w:val="000000"/>
          <w:sz w:val="22"/>
        </w:rPr>
        <w:t> </w:t>
      </w:r>
      <w:r>
        <w:rPr>
          <w:rFonts w:ascii="Times New Roman" w:hAnsi="Times New Roman"/>
          <w:b w:val="false"/>
          <w:i w:val="false"/>
          <w:color w:val="000000"/>
          <w:sz w:val="22"/>
        </w:rPr>
        <w:t>Form IG-1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18.2(8)</w:t>
      </w:r>
      <w:r>
        <w:rPr>
          <w:rFonts w:ascii="Times New Roman" w:hAnsi="Times New Roman"/>
          <w:b w:val="false"/>
          <w:i w:val="false"/>
          <w:color w:val="000000"/>
          <w:sz w:val="22"/>
        </w:rPr>
        <w:t> </w:t>
      </w:r>
      <w:r>
        <w:rPr>
          <w:rFonts w:ascii="Times New Roman" w:hAnsi="Times New Roman"/>
          <w:b w:val="false"/>
          <w:i w:val="false"/>
          <w:color w:val="000000"/>
          <w:sz w:val="22"/>
        </w:rPr>
        <w:t>Form IE-1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18.2(9)</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location of other books, records, and accounts to be maintained or made accessible pursuant to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199—18.3</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All records kept pursuant to any rules of the commission that are of a general corporate nature or otherwise pertain to the utility’s operations as a whole shall be made available for examination by the commission during normal business hours, unless otherwise authorized by the commission. Upon receipt by a utility of a formal request in writing from the commission for records or information pertaining to records required by any commission rule, the utility shall provide the requested information to the commission within 15 days of receiving the written request from the commission unless the utility files an objection to the request or a request for an extension of time within seven days of the utility’s receipt of the information request. The objection or request for extension of time shall be filed in writing and state the concise grounds for relief. If the commission finds that the objection or request for extension of time does not have merit, the information originally requested shall be provided immediately upon receiving notice of the commission’s decision.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199—18.4</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utilities other than rural electric cooperatives.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electric utilities shall maintain an accounting system for Units of Property in Accounting for Additions and Retirements of Electric Plant in accordance with the “Uniform systems of accounts—electric rules” rule in </w:t>
      </w:r>
      <w:hyperlink r:id="rId5">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 xml:space="preserve">All electric utilities subject to regulation by the commission shall preserve the records of their operations in accordance with the provisions of Part 125 of the FERC rules, 18 CFR Part 125, Preservation of Records of Public Utilities and Licensees, as issued on August 15, 2000. Rate-regulated companies shall further ensure the preservation of records of associated companies, whether or not the associated companies are themselves utilities, as necessary to support the cost of services rendered to the utility by the associated companies.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199—18.5</w:t>
      </w:r>
      <w:r>
        <w:rPr>
          <w:rFonts w:ascii="Times New Roman" w:hAnsi="Times New Roman"/>
          <w:b/>
          <w:i w:val="false"/>
          <w:color w:val="000000"/>
          <w:sz w:val="22"/>
        </w:rPr>
        <w:t xml:space="preserve">(476) </w:t>
      </w:r>
      <w:r>
        <w:rPr>
          <w:rFonts w:ascii="Times New Roman" w:hAnsi="Times New Roman"/>
          <w:b/>
          <w:i w:val="false"/>
          <w:color w:val="000000"/>
          <w:sz w:val="22"/>
        </w:rPr>
        <w:t xml:space="preserve">Rural electric cooperatives.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Rural electric cooperatives (RECs) subject to rate regulation by the commission shall adopt the RUS rules contained in 7 CFR Part 1767 published May 27, 2008. The REC shall maintain sufficient records to support additions to plant, retirement units, and replacements of electric plant, in accordance with 7 CFR Section 1767.10, Definitions; 7 CFR Section 1767.15, General Instructions; 7 CFR Section 1767.16, Electric Plant Instructions; and 7 CFR Section 1767.20, Plant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 xml:space="preserve">RECs shall preserve the records of their operations in accordance with the provisions of the RUS rules contained in RUS Bulletin 180-2, Record Retention Recommendations for RUS Electric Borrowers, issued June 26, 2003.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199—18.6</w:t>
      </w:r>
      <w:r>
        <w:rPr>
          <w:rFonts w:ascii="Times New Roman" w:hAnsi="Times New Roman"/>
          <w:b/>
          <w:i w:val="false"/>
          <w:color w:val="000000"/>
          <w:sz w:val="22"/>
        </w:rPr>
        <w:t xml:space="preserve">(476) </w:t>
      </w:r>
      <w:r>
        <w:rPr>
          <w:rFonts w:ascii="Times New Roman" w:hAnsi="Times New Roman"/>
          <w:b/>
          <w:i w:val="false"/>
          <w:color w:val="000000"/>
          <w:sz w:val="22"/>
        </w:rPr>
        <w:t xml:space="preserve">Gas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gas utilities shall maintain an accounting system for Units of Property in Accounting for Additions and Retirements of Gas Plant in accordance with the “Uniform systems of accounts—electric rules” rule in </w:t>
      </w:r>
      <w:hyperlink r:id="rId6">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All gas utilities subject to regulation by the commission shall preserve the records of their operations in accordance with the provisions of FERC rules, 18 CFR Part 225, Preservation of Records of Natural Gas Companies, as issued August 15, 2000. Rate-regulated companies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199—18.7</w:t>
      </w:r>
      <w:r>
        <w:rPr>
          <w:rFonts w:ascii="Times New Roman" w:hAnsi="Times New Roman"/>
          <w:b/>
          <w:i w:val="false"/>
          <w:color w:val="000000"/>
          <w:sz w:val="22"/>
        </w:rPr>
        <w:t xml:space="preserve">(476) </w:t>
      </w:r>
      <w:r>
        <w:rPr>
          <w:rFonts w:ascii="Times New Roman" w:hAnsi="Times New Roman"/>
          <w:b/>
          <w:i w:val="false"/>
          <w:color w:val="000000"/>
          <w:sz w:val="22"/>
        </w:rPr>
        <w:t xml:space="preserve">Water, sanitary sewage, and storm water drainage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water, sanitary sewage, and storm water drainage utilities shall maintain an accounting system for Units of Property in Accounting for Additions and Retirements of Water Plant in accordance with the “Uniform systems of accounts—electric rules” rule in </w:t>
      </w:r>
      <w:hyperlink r:id="rId7">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All water, sanitary sewage, and storm water drainage utilities subject to regulation by the commission shall preserve the records of their operations in accordance with the provisions of the NARUC guidelines: Regulations to Govern the Preservation of Records of Electric, Gas and Water Utilities, revised October 2007 edition. Regulated water, sanitary sewage, and storm water drainage utilities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11/16/65; amended 1/11/66]</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2/28/90, Notice 12/13/89—published 3/21/90, effective 4/25/90]</w:t>
      </w:r>
    </w:p>
    <w:p>
      <w:pPr>
        <w:spacing w:before="0" w:after="0"/>
        <w:ind w:left="120"/>
        <w:jc w:val="center"/>
      </w:pPr>
      <w:r>
        <w:rPr>
          <w:rFonts w:ascii="Times New Roman" w:hAnsi="Times New Roman"/>
          <w:b w:val="false"/>
          <w:i w:val="false"/>
          <w:color w:val="000000"/>
          <w:sz w:val="21"/>
        </w:rPr>
        <w:t>[Filed 12/23/96, Notice 8/28/96—published 1/15/97, effective 2/19/97]</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4273C</w:t>
      </w:r>
      <w:r>
        <w:rPr>
          <w:rFonts w:ascii="Times New Roman" w:hAnsi="Times New Roman"/>
          <w:b w:val="false"/>
          <w:i w:val="false"/>
          <w:color w:val="000000"/>
          <w:sz w:val="21"/>
        </w:rPr>
        <w:t xml:space="preserve"> (Notice ARC 3913C, IAB 8/1/18)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7637C</w:t>
      </w:r>
      <w:r>
        <w:rPr>
          <w:rFonts w:ascii="Times New Roman" w:hAnsi="Times New Roman"/>
          <w:b w:val="false"/>
          <w:i w:val="false"/>
          <w:color w:val="000000"/>
          <w:sz w:val="21"/>
        </w:rPr>
        <w:t xml:space="preserve"> (Notice ARC 7123C, IAB 11/29/23)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16.pdf" Type="http://schemas.openxmlformats.org/officeDocument/2006/relationships/hyperlink" Id="rId5"/>
    <Relationship TargetMode="External" Target="https://www.legis.iowa.gov/docs/iac/chapter/199.16.pdf" Type="http://schemas.openxmlformats.org/officeDocument/2006/relationships/hyperlink" Id="rId6"/>
    <Relationship TargetMode="External" Target="https://www.legis.iowa.gov/docs/iac/chapter/199.16.pdf" Type="http://schemas.openxmlformats.org/officeDocument/2006/relationships/hyperlink" Id="rId7"/>
    <Relationship TargetMode="External" Target="https://www.legis.iowa.gov/docs/ico/chapter/476.31.pdf" Type="http://schemas.openxmlformats.org/officeDocument/2006/relationships/hyperlink" Id="rId8"/>
    <Relationship TargetMode="External" Target="https://www.legis.iowa.gov/docs/ico/chapter/546.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