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UTILITIES AND</w:t>
      </w:r>
      <w:r>
        <w:br/>
      </w:r>
      <w:r>
        <w:rPr>
          <w:rFonts w:ascii="Times New Roman" w:hAnsi="Times New Roman"/>
          <w:b w:val="false"/>
          <w:i/>
          <w:color w:val="000000"/>
          <w:sz w:val="16"/>
        </w:rPr>
        <w:t>TRANSPORTATION DIVISIONS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COGENERATION AND SMALL POWER PRODUCTION</w:t>
      </w:r>
    </w:p>
    <w:p>
      <w:pPr>
        <w:spacing w:before="0" w:after="0"/>
        <w:ind w:left="120"/>
        <w:jc w:val="center"/>
      </w:pPr>
      <w:r>
        <w:rPr>
          <w:rFonts w:ascii="Times New Roman" w:hAnsi="Times New Roman"/>
          <w:b w:val="false"/>
          <w:i w:val="false"/>
          <w:color w:val="000000"/>
          <w:sz w:val="14"/>
        </w:rPr>
        <w:t>[Ch 15 renumbered as Ch 7, 10/20/75]</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199—15.1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defined in the Public Utility Regulatory Policies Act of 1978 (PURPA), in effect on October 24, 1992, </w:t>
      </w:r>
      <w:r>
        <w:rPr>
          <w:rFonts w:ascii="Times New Roman" w:hAnsi="Times New Roman"/>
          <w:b w:val="false"/>
          <w:i w:val="false"/>
          <w:color w:val="000000"/>
          <w:sz w:val="22"/>
        </w:rPr>
        <w:t>16 U.S.C. 2601</w:t>
      </w:r>
      <w:r>
        <w:rPr>
          <w:rFonts w:ascii="Times New Roman" w:hAnsi="Times New Roman"/>
          <w:b w:val="false"/>
          <w:i w:val="false"/>
          <w:color w:val="000000"/>
          <w:sz w:val="22"/>
        </w:rPr>
        <w:t>, et seq., have the same meaning for purposes of these rules as they have under PURPA, unless further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“AEP facility” </w:t>
      </w:r>
      <w:r>
        <w:rPr>
          <w:rFonts w:ascii="Times New Roman" w:hAnsi="Times New Roman"/>
          <w:b w:val="false"/>
          <w:i w:val="false"/>
          <w:color w:val="000000"/>
          <w:sz w:val="22"/>
        </w:rPr>
        <w:t>means: (1) an electric production facility that derives 75 percent or more of its energy input from solar energy, wind, waste management, resource recovery, refuse-derived fuel, agricultural crops or residues, or wood burning; (2) a hydroelectric facility at a dam; (3) land, systems, buildings, or improvements that are located at the project site and are necessary or convenient to the construction, completion, or operation of the facility; or (4) transmission or distribution facilities necessary to conduct the energy produced by the facility to the purchasing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energy purchase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“AEP program” </w:t>
      </w:r>
      <w:r>
        <w:rPr>
          <w:rFonts w:ascii="Times New Roman" w:hAnsi="Times New Roman"/>
          <w:b w:val="false"/>
          <w:i w:val="false"/>
          <w:color w:val="000000"/>
          <w:sz w:val="22"/>
        </w:rPr>
        <w:t>means a utility program that allows customers to contribute voluntarily to the development of alternate energy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“Avoided costs” </w:t>
      </w:r>
      <w:r>
        <w:rPr>
          <w:rFonts w:ascii="Times New Roman" w:hAnsi="Times New Roman"/>
          <w:b w:val="false"/>
          <w:i w:val="false"/>
          <w:color w:val="000000"/>
          <w:sz w:val="22"/>
        </w:rPr>
        <w:t>means the incremental costs to an electric utility of electric energy or capacity or both that, but for the purchase from the qualifying facility or qualifying facilities, such utility would generate itself or purchase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“Backup power” </w:t>
      </w:r>
      <w:r>
        <w:rPr>
          <w:rFonts w:ascii="Times New Roman" w:hAnsi="Times New Roman"/>
          <w:b w:val="false"/>
          <w:i w:val="false"/>
          <w:color w:val="000000"/>
          <w:sz w:val="22"/>
        </w:rPr>
        <w:t>means electric energy or capacity supplied by an electric utility to qualifying facilities and AEP facilities to replace energy ordinarily generated by a facility’s own generation equipment during an unscheduled outage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“Distributed generation facility” </w:t>
      </w:r>
      <w:r>
        <w:rPr>
          <w:rFonts w:ascii="Times New Roman" w:hAnsi="Times New Roman"/>
          <w:b w:val="false"/>
          <w:i w:val="false"/>
          <w:color w:val="000000"/>
          <w:sz w:val="22"/>
        </w:rPr>
        <w:t>means a qualifying facility, an AEP facility, or an energy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costs” </w:t>
      </w:r>
      <w:r>
        <w:rPr>
          <w:rFonts w:ascii="Times New Roman" w:hAnsi="Times New Roman"/>
          <w:b w:val="false"/>
          <w:i w:val="false"/>
          <w:color w:val="000000"/>
          <w:sz w:val="22"/>
        </w:rPr>
        <w:t>means the reasonable costs of connection, switching, metering, transmission, distribution, safety provisions, and administrative costs incurred by the electric utility directly related to the installation and maintenance of the physical facilities necessary to permit interconnected operations with qualifying facilities and AEP facilities, to the extent the costs are in excess of the corresponding costs that the electric utility would have incurred if it had not engaged in interconnected operations, but instead generated an equivalent amount of electric energy itself or purchased an equivalent amount of electric energy or capacity from other sources. Interconnection costs do not include any costs included in the calculation of avoided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“Interruptible power” </w:t>
      </w:r>
      <w:r>
        <w:rPr>
          <w:rFonts w:ascii="Times New Roman" w:hAnsi="Times New Roman"/>
          <w:b w:val="false"/>
          <w:i w:val="false"/>
          <w:color w:val="000000"/>
          <w:sz w:val="22"/>
        </w:rPr>
        <w:t>means electric energy or capacity supplied by an electric utility subject to interruption by the electric utility under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power” </w:t>
      </w:r>
      <w:r>
        <w:rPr>
          <w:rFonts w:ascii="Times New Roman" w:hAnsi="Times New Roman"/>
          <w:b w:val="false"/>
          <w:i w:val="false"/>
          <w:color w:val="000000"/>
          <w:sz w:val="22"/>
        </w:rPr>
        <w:t>means electric energy or capacity supplied by an electric utility during scheduled outages of qualifying facilities and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 </w:t>
      </w:r>
      <w:r>
        <w:rPr>
          <w:rFonts w:ascii="Times New Roman" w:hAnsi="Times New Roman"/>
          <w:b w:val="false"/>
          <w:i w:val="false"/>
          <w:color w:val="000000"/>
          <w:sz w:val="22"/>
        </w:rPr>
        <w:t>means the purchase of electric energy or capacity or both from qualifying facilities and AEP facilities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facility” </w:t>
      </w:r>
      <w:r>
        <w:rPr>
          <w:rFonts w:ascii="Times New Roman" w:hAnsi="Times New Roman"/>
          <w:b w:val="false"/>
          <w:i w:val="false"/>
          <w:color w:val="000000"/>
          <w:sz w:val="22"/>
        </w:rPr>
        <w:t xml:space="preserve">means a cogeneration facility or a small power production facility that is a qualifying facility under </w:t>
      </w:r>
      <w:r>
        <w:rPr>
          <w:rFonts w:ascii="Times New Roman" w:hAnsi="Times New Roman"/>
          <w:b w:val="false"/>
          <w:i w:val="false"/>
          <w:color w:val="000000"/>
          <w:sz w:val="22"/>
        </w:rPr>
        <w:t>18 CFR Part 292</w:t>
      </w:r>
      <w:r>
        <w:rPr>
          <w:rFonts w:ascii="Times New Roman" w:hAnsi="Times New Roman"/>
          <w:b w:val="false"/>
          <w:i w:val="false"/>
          <w:color w:val="000000"/>
          <w:sz w:val="22"/>
        </w:rPr>
        <w:t>, Subpart B, in effect April 5,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means the sale of electric energy or capacity or both by an electric utility to qualifying facilities and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“Supplementary power” </w:t>
      </w:r>
      <w:r>
        <w:rPr>
          <w:rFonts w:ascii="Times New Roman" w:hAnsi="Times New Roman"/>
          <w:b w:val="false"/>
          <w:i w:val="false"/>
          <w:color w:val="000000"/>
          <w:sz w:val="22"/>
        </w:rPr>
        <w:t>means electric energy or capacity supplied by an electric utility, regularly used by qualifying facilities and AEP facilities in addition to that which the facility generates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emergency” </w:t>
      </w:r>
      <w:r>
        <w:rPr>
          <w:rFonts w:ascii="Times New Roman" w:hAnsi="Times New Roman"/>
          <w:b w:val="false"/>
          <w:i w:val="false"/>
          <w:color w:val="000000"/>
          <w:sz w:val="22"/>
        </w:rPr>
        <w:t>means a condition on a utility’s system that is likely to result in imminent significant disruption of service to customers or is imminently likely to endanger life or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199—15.2</w:t>
      </w:r>
      <w:r>
        <w:rPr>
          <w:rFonts w:ascii="Times New Roman" w:hAnsi="Times New Roman"/>
          <w:b/>
          <w:i w:val="false"/>
          <w:color w:val="000000"/>
          <w:sz w:val="22"/>
        </w:rPr>
        <w:t xml:space="preserve">(476)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do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Limit the authority of any electric utility, any qualifying facility, or any AEP facility to agree to a rate for any purchase, or terms or conditions relating to any purchase, which differ from the rate or terms or conditions that would otherwise be required by these rules;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Affect the validity of any contract entered into between an electric utility and a qualifying facility or AEP facility for any purchase.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199—15.3</w:t>
      </w:r>
      <w:r>
        <w:rPr>
          <w:rFonts w:ascii="Times New Roman" w:hAnsi="Times New Roman"/>
          <w:b/>
          <w:i w:val="false"/>
          <w:color w:val="000000"/>
          <w:sz w:val="22"/>
        </w:rPr>
        <w:t xml:space="preserve">(476) </w:t>
      </w:r>
      <w:r>
        <w:rPr>
          <w:rFonts w:ascii="Times New Roman" w:hAnsi="Times New Roman"/>
          <w:b/>
          <w:i w:val="false"/>
          <w:color w:val="000000"/>
          <w:sz w:val="22"/>
        </w:rPr>
        <w:t xml:space="preserve">Information to commission. </w:t>
      </w:r>
      <w:r>
        <w:rPr>
          <w:rFonts w:ascii="Times New Roman" w:hAnsi="Times New Roman"/>
          <w:b w:val="false"/>
          <w:i w:val="false"/>
          <w:color w:val="000000"/>
          <w:sz w:val="22"/>
        </w:rPr>
        <w:t xml:space="preserve">In addition to the information required to be supplied to the commission under </w:t>
      </w:r>
      <w:r>
        <w:rPr>
          <w:rFonts w:ascii="Times New Roman" w:hAnsi="Times New Roman"/>
          <w:b w:val="false"/>
          <w:i w:val="false"/>
          <w:color w:val="000000"/>
          <w:sz w:val="22"/>
        </w:rPr>
        <w:t>18 CFR 292.302</w:t>
      </w:r>
      <w:r>
        <w:rPr>
          <w:rFonts w:ascii="Times New Roman" w:hAnsi="Times New Roman"/>
          <w:b w:val="false"/>
          <w:i w:val="false"/>
          <w:color w:val="000000"/>
          <w:sz w:val="22"/>
        </w:rPr>
        <w:t>, in effect April 9, 1980, all rate-regulated electric utilities will maintain records of contracts executed for the purchase, sale, or resale of energy or capacity, which will be made available to the commission upon request. If the purchases or sales are made other than pursuant to the terms of a written contract, then information as to the relevant prices and conditions shall be maintained and made available to the commission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199—15.4</w:t>
      </w:r>
      <w:r>
        <w:rPr>
          <w:rFonts w:ascii="Times New Roman" w:hAnsi="Times New Roman"/>
          <w:b/>
          <w:i w:val="false"/>
          <w:color w:val="000000"/>
          <w:sz w:val="22"/>
        </w:rPr>
        <w:t xml:space="preserve">(476) </w:t>
      </w:r>
      <w:r>
        <w:rPr>
          <w:rFonts w:ascii="Times New Roman" w:hAnsi="Times New Roman"/>
          <w:b/>
          <w:i w:val="false"/>
          <w:color w:val="000000"/>
          <w:sz w:val="22"/>
        </w:rPr>
        <w:t xml:space="preserve">Rate-regulated electric utility obligations under this chapter regarding qualifying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Obligation to purchase from qualifying facilities. </w:t>
      </w:r>
      <w:r>
        <w:rPr>
          <w:rFonts w:ascii="Times New Roman" w:hAnsi="Times New Roman"/>
          <w:b w:val="false"/>
          <w:i w:val="false"/>
          <w:color w:val="000000"/>
          <w:sz w:val="22"/>
        </w:rPr>
        <w:t xml:space="preserve">Unless such obligation is terminated by the Federal Energy Regulatory Commission (FERC) order pursuant to </w:t>
      </w:r>
      <w:r>
        <w:rPr>
          <w:rFonts w:ascii="Times New Roman" w:hAnsi="Times New Roman"/>
          <w:b w:val="false"/>
          <w:i w:val="false"/>
          <w:color w:val="000000"/>
          <w:sz w:val="22"/>
        </w:rPr>
        <w:t>18 CFR Part 292</w:t>
      </w:r>
      <w:r>
        <w:rPr>
          <w:rFonts w:ascii="Times New Roman" w:hAnsi="Times New Roman"/>
          <w:b w:val="false"/>
          <w:i w:val="false"/>
          <w:color w:val="000000"/>
          <w:sz w:val="22"/>
        </w:rPr>
        <w:t>, Subpart C, each electric utility shall purchase any energy and capacity that is made available from a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Directly to the electric utility;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Indirectly to the electric utility in accordance with subrule </w:t>
      </w:r>
      <w:hyperlink r:id="rId5">
        <w:r>
          <w:rPr>
            <w:rStyle w:val="Hyperlink"/>
            <w:rFonts w:ascii="Times New Roman" w:hAnsi="Times New Roman"/>
            <w:b w:val="false"/>
            <w:i w:val="false"/>
            <w:color w:val="000000"/>
            <w:sz w:val="22"/>
          </w:rPr>
          <w:t>15.4(4)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Obligation to sell to qualifying facilities. </w:t>
      </w:r>
      <w:r>
        <w:rPr>
          <w:rFonts w:ascii="Times New Roman" w:hAnsi="Times New Roman"/>
          <w:b w:val="false"/>
          <w:i w:val="false"/>
          <w:color w:val="000000"/>
          <w:sz w:val="22"/>
        </w:rPr>
        <w:t>Each electric utility shall sell to any qualifying facility any energy and capacity requested by the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Obligation to interconnect. </w:t>
      </w:r>
      <w:r>
        <w:rPr>
          <w:rFonts w:ascii="Times New Roman" w:hAnsi="Times New Roman"/>
          <w:b w:val="false"/>
          <w:i w:val="false"/>
          <w:color w:val="000000"/>
          <w:sz w:val="22"/>
        </w:rPr>
        <w:t xml:space="preserve">Any electric utility shall make the interconnections with any qualifying facility as may be necessary to accomplish purchases or sales under these rules. The obligation to pay for any interconnection costs shall be determined in accordance with </w:t>
      </w:r>
      <w:hyperlink r:id="rId6">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However, no electric utility is required to interconnect with any qualifying facility if, solely by reason of purchases or sales over the interconnection, the electric utility would become subject to regulation as a public utility under Part II of the Federal Power Act, in effect December 4, 2015.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Transmission to other electric utilities. </w:t>
      </w:r>
      <w:r>
        <w:rPr>
          <w:rFonts w:ascii="Times New Roman" w:hAnsi="Times New Roman"/>
          <w:b w:val="false"/>
          <w:i w:val="false"/>
          <w:color w:val="000000"/>
          <w:sz w:val="22"/>
        </w:rPr>
        <w:t>If a qualifying facility agrees, an electric utility that would otherwise be obligated to purchase energy or capacity from the qualifying facility may transmit the energy or capacity to any other electric utility. Any electric utility to which the energy or capacity is transmitted shall purchase the energy or capacity under this subrule as if the qualifying facility were supplying energy or capacity directly to the electric utility. The rate for purchase by the electric utility to which the energy is transmitted shall be adjusted up or down to reflect line losses and shall not include any charges for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Parallel operation. </w:t>
      </w:r>
      <w:r>
        <w:rPr>
          <w:rFonts w:ascii="Times New Roman" w:hAnsi="Times New Roman"/>
          <w:b w:val="false"/>
          <w:i w:val="false"/>
          <w:color w:val="000000"/>
          <w:sz w:val="22"/>
        </w:rPr>
        <w:t>Each electric utility shall offer to operate in parallel with a qualifying facility, provided that the qualifying facility complies with any applicable standards established in accordance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199—15.5</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purchases from qualifying facilities by rate-regulated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Rates for purchases. </w:t>
      </w:r>
      <w:r>
        <w:rPr>
          <w:rFonts w:ascii="Times New Roman" w:hAnsi="Times New Roman"/>
          <w:b w:val="false"/>
          <w:i w:val="false"/>
          <w:color w:val="000000"/>
          <w:sz w:val="22"/>
        </w:rPr>
        <w:t>Rates for purchases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just and reasonable to the electric consumer of the electric utility and in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 discriminate against qualifying cogeneration and small power production facilities. </w:t>
      </w:r>
    </w:p>
    <w:p>
      <w:pPr>
        <w:spacing w:before="0" w:after="0"/>
        <w:ind w:left="120"/>
        <w:jc w:val="both"/>
      </w:pPr>
      <w:r>
        <w:rPr>
          <w:rFonts w:ascii="Times New Roman" w:hAnsi="Times New Roman"/>
          <w:b w:val="false"/>
          <w:i w:val="false"/>
          <w:color w:val="000000"/>
          <w:sz w:val="22"/>
        </w:rPr>
        <w:t>Nothing in these rules requires any electric utility to pay more than the avoided costs, as set forth in these rules, for purchases.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avoided costs. </w:t>
      </w:r>
      <w:r>
        <w:rPr>
          <w:rFonts w:ascii="Times New Roman" w:hAnsi="Times New Roman"/>
          <w:b w:val="false"/>
          <w:i w:val="false"/>
          <w:color w:val="000000"/>
          <w:sz w:val="22"/>
        </w:rPr>
        <w:t>For purposes of this subrule, “new capacity” means any purchase from a qualifying facility, construction of which was commenced on or after November 9, 1978.</w:t>
      </w:r>
    </w:p>
    <w:p>
      <w:pPr>
        <w:spacing w:before="0" w:after="0"/>
        <w:ind w:left="120"/>
        <w:jc w:val="both"/>
      </w:pPr>
      <w:r>
        <w:rPr>
          <w:rFonts w:ascii="Times New Roman" w:hAnsi="Times New Roman"/>
          <w:b w:val="false"/>
          <w:i w:val="false"/>
          <w:color w:val="000000"/>
          <w:sz w:val="22"/>
        </w:rPr>
        <w:t xml:space="preserve">A rate for purchases satisfies this rule if the rate equals the avoided costs determined after consideration of the factors set forth in subrule </w:t>
      </w:r>
      <w:hyperlink r:id="rId7">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xml:space="preserve">; except that a rate for purchases other than from new capacity may be less than the avoided cost if the commission determines that a lower rate is consistent with subrule </w:t>
      </w:r>
      <w:hyperlink r:id="rId8">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and is sufficient to encourage cogeneration and small power production.</w:t>
      </w:r>
    </w:p>
    <w:p>
      <w:pPr>
        <w:spacing w:before="0" w:after="0"/>
        <w:ind w:left="120"/>
        <w:jc w:val="both"/>
      </w:pPr>
      <w:r>
        <w:rPr>
          <w:rFonts w:ascii="Times New Roman" w:hAnsi="Times New Roman"/>
          <w:b w:val="false"/>
          <w:i w:val="false"/>
          <w:color w:val="000000"/>
          <w:sz w:val="22"/>
        </w:rPr>
        <w:t>Unless the qualifying facility and the utility agree otherwise, rates for purchases shall conform to this rule regardless of whether the electric utility making purchases is simultaneously making sales to the qualifying facility.</w:t>
      </w:r>
    </w:p>
    <w:p>
      <w:pPr>
        <w:spacing w:before="0" w:after="0"/>
        <w:ind w:left="120"/>
        <w:jc w:val="both"/>
      </w:pPr>
      <w:r>
        <w:rPr>
          <w:rFonts w:ascii="Times New Roman" w:hAnsi="Times New Roman"/>
          <w:b w:val="false"/>
          <w:i w:val="false"/>
          <w:color w:val="000000"/>
          <w:sz w:val="22"/>
        </w:rPr>
        <w:t>In the case in which the rates for purchases are based upon estimates of avoided costs over the specific term of the contract or other legally enforceable obligation, the rates for purchases do not violate this rule if the rates for the purchases differ from avoided costs at the time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Standard rates for purchases. </w:t>
      </w:r>
      <w:r>
        <w:rPr>
          <w:rFonts w:ascii="Times New Roman" w:hAnsi="Times New Roman"/>
          <w:b w:val="false"/>
          <w:i w:val="false"/>
          <w:color w:val="000000"/>
          <w:sz w:val="22"/>
        </w:rPr>
        <w:t>Electric utilities will file and maintain with the commission tariffs specifying standard rates for purchases from qualifying facilities with a design capacity of 100 kilowatts (kW) or less. These tariffs may differentiate between qualifying facilities using various technologies on the basis of the supply characteristics of the different technologies. All utilities shall include a seasonal differential in these rates for purchases to the extent avoided costs vary by season. All utilities shall make available time of day rates for those facilities with a design capacity of 100 kW or less, provided that the qualifying facility shall pay, in addition to the interconnection costs set forth in these rules, all additional costs associated with the time of day metering.</w:t>
      </w:r>
    </w:p>
    <w:p>
      <w:pPr>
        <w:spacing w:before="0" w:after="0"/>
        <w:ind w:left="120"/>
        <w:jc w:val="both"/>
      </w:pPr>
      <w:r>
        <w:rPr>
          <w:rFonts w:ascii="Times New Roman" w:hAnsi="Times New Roman"/>
          <w:b w:val="false"/>
          <w:i w:val="false"/>
          <w:color w:val="000000"/>
          <w:sz w:val="22"/>
        </w:rPr>
        <w:t>The standard rates set forth in this rule shall indicate what portion of the rate is attributable to payments for the utility’s avoided energy costs, and what portion of the rate, if any, is attributable to payments for capacity costs avoided by the utility. If no capacity credit is provided in the standard tariff, a qualifying facility may petition the commission for an allowance of the capacity credit. The petition shall be handled by the commission as a contested case proceeding, and the burden of proof shall be on the qualifying facility to demonstrate that capacity credit is warranted in the case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Other purchases. </w:t>
      </w:r>
      <w:r>
        <w:rPr>
          <w:rFonts w:ascii="Times New Roman" w:hAnsi="Times New Roman"/>
          <w:b w:val="false"/>
          <w:i w:val="false"/>
          <w:color w:val="000000"/>
          <w:sz w:val="22"/>
        </w:rPr>
        <w:t>Rates for purchases from qualifying facilities with a design capacity of greater than 100 kW shall be determined in contested case proceedings before the commission unless the rates are otherwise agreed upon by the qualifying facility and the utility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Purchases “as available” or pursuant to a legally enforceable obligation. </w:t>
      </w:r>
      <w:r>
        <w:rPr>
          <w:rFonts w:ascii="Times New Roman" w:hAnsi="Times New Roman"/>
          <w:b w:val="false"/>
          <w:i w:val="false"/>
          <w:color w:val="000000"/>
          <w:sz w:val="22"/>
        </w:rPr>
        <w:t>Each qualifying facility shall have the option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provide energy as the qualifying facility determines the energy to be available for the purchases, in which case the rates for the purchases shall be based on the purchasing utility’s avoided costs calculated at the time of delivery;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energy or capacity pursuant to a legally enforceable obligation for the delivery of energy or capacity over a specified term, in which case the rates for the purchases shall, at the option of the qualifying facility exercised prior to the beginning of the specified term, be based on either: the avoided costs calculated at the time of delivery; or the avoided costs calculated at the time the obligation is incurred.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Factors affecting rates for purchases. </w:t>
      </w:r>
      <w:r>
        <w:rPr>
          <w:rFonts w:ascii="Times New Roman" w:hAnsi="Times New Roman"/>
          <w:b w:val="false"/>
          <w:i w:val="false"/>
          <w:color w:val="000000"/>
          <w:sz w:val="22"/>
        </w:rPr>
        <w:t>In determining avoided costs, the following factors shall, to the extent practicable, be taken into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rates for capacity or energy on any interstate power grid with which the utility is interconnected.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incremental energy costs or capacity costs of the utility itself or utilities in the interstate power grid with which the utility is interconnected.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day or season during which capacity or energy is available,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ability of the utility to dispatch the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or demonstrated reliability of the qualifying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any contract or other legally enforceable obligation, including the duration of the obligation, termination notice requirement and sanctions for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scheduled outages of the qualifying facility can be usefully coordinated with scheduled outages of the utility’s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usefulness of energy and capacity supplied from a qualifying facility during system emergencies, including the qualifying facility’s ability to separate its load from its generation;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individual and aggregate value of energy and capacity from qualifying facilities on the electric utility’s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or savings resulting from variations in line losses from those that would have existed in the absence of purchases from the qualifying facility, if the purchasing electric utility generated an equivalent amount of energy itself.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Periods during which purchases are not required. </w:t>
      </w:r>
      <w:r>
        <w:rPr>
          <w:rFonts w:ascii="Times New Roman" w:hAnsi="Times New Roman"/>
          <w:b w:val="false"/>
          <w:i w:val="false"/>
          <w:color w:val="000000"/>
          <w:sz w:val="22"/>
        </w:rPr>
        <w:t>An electric utility will not be required to purchase electric energy or capacity during any period during which, due to operational circumstances, purchases from qualifying facilities will result in costs greater than those that the utility would incur if it did not make the purchases, but instead generated an equivalent amount of energy itself; provided, however, that the electric utility seeking to invoke this subrule must notify each affected qualifying facility within a reasonable amount of time to allow the qualifying facility to cease the delivery of energy or capacity to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electric utility that fails to comply with the provisions of this subrule will be required to pay the usual rate for the purchase of energy or capacity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by an electric utility that such a period has occurred or will occur is subject to verification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199—15.6</w:t>
      </w:r>
      <w:r>
        <w:rPr>
          <w:rFonts w:ascii="Times New Roman" w:hAnsi="Times New Roman"/>
          <w:b/>
          <w:i w:val="false"/>
          <w:color w:val="000000"/>
          <w:sz w:val="22"/>
        </w:rPr>
        <w:t xml:space="preserve">(476) </w:t>
      </w:r>
      <w:r>
        <w:rPr>
          <w:rFonts w:ascii="Times New Roman" w:hAnsi="Times New Roman"/>
          <w:b/>
          <w:i w:val="false"/>
          <w:color w:val="000000"/>
          <w:sz w:val="22"/>
        </w:rPr>
        <w:t xml:space="preserve">Rates for sales to qualifying facilities and AEP facilities by rate-regulated electric utilities. </w:t>
      </w:r>
      <w:r>
        <w:rPr>
          <w:rFonts w:ascii="Times New Roman" w:hAnsi="Times New Roman"/>
          <w:b w:val="false"/>
          <w:i w:val="false"/>
          <w:color w:val="000000"/>
          <w:sz w:val="22"/>
        </w:rPr>
        <w:t>Rates for sales to qualifying facilities and AEP facilities shall be just, reasonable and in the public interest, and shall not discriminate against qualifying facilities and AEP facilities in comparison to rates for sales to other customers with similar load or other cost-related characteristics served by the utility. The rate for sales of backup or maintenance power shall not be based upon an assumption (unless supported by data) that forced outages or other reductions in electric output by all qualifying facilities and AEP facilities will occur simultaneously or during the system peak, or both, and shall take into account the extent to which scheduled outages of qualifying facilities and AEP facilities can be usefully coordinated with scheduled outages of the utility’s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199—15.7</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services to be provided to qualifying facilities and AEP facilities by rate-regulated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qualifying facilities and AEP facilities, each electric utility shall provide supplementary, backup, maintenance, and interruptible power. Rates for such service will comply with subrule </w:t>
      </w:r>
      <w:hyperlink r:id="rId9">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and shall be in accordance with the terms of the utility’s tariff.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waive this requirement pursuant to rule </w:t>
      </w:r>
      <w:hyperlink r:id="rId10">
        <w:r>
          <w:rPr>
            <w:rStyle w:val="Hyperlink"/>
            <w:rFonts w:ascii="Times New Roman" w:hAnsi="Times New Roman"/>
            <w:b w:val="false"/>
            <w:i w:val="false"/>
            <w:color w:val="000000"/>
            <w:sz w:val="22"/>
          </w:rPr>
          <w:t>199—1.3</w:t>
        </w:r>
      </w:hyperlink>
      <w:r>
        <w:rPr>
          <w:rFonts w:ascii="Times New Roman" w:hAnsi="Times New Roman"/>
          <w:b w:val="false"/>
          <w:i w:val="false"/>
          <w:color w:val="000000"/>
          <w:sz w:val="22"/>
        </w:rPr>
        <w:t>(17A,474) only after notice in the area served by the utility and an opportunity for public comment. The waiver may be granted if compliance with this rule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Impair the electric utility’s ability to render adequate service to its customers,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 an undue burden on the electric utility.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199—15.8</w:t>
      </w:r>
      <w:r>
        <w:rPr>
          <w:rFonts w:ascii="Times New Roman" w:hAnsi="Times New Roman"/>
          <w:b/>
          <w:i w:val="false"/>
          <w:color w:val="000000"/>
          <w:sz w:val="22"/>
        </w:rPr>
        <w:t xml:space="preserve">(476) </w:t>
      </w:r>
      <w:r>
        <w:rPr>
          <w:rFonts w:ascii="Times New Roman" w:hAnsi="Times New Roman"/>
          <w:b/>
          <w:i w:val="false"/>
          <w:color w:val="000000"/>
          <w:sz w:val="22"/>
        </w:rPr>
        <w:t xml:space="preserve">System emergencies. </w:t>
      </w:r>
      <w:r>
        <w:rPr>
          <w:rFonts w:ascii="Times New Roman" w:hAnsi="Times New Roman"/>
          <w:b w:val="false"/>
          <w:i w:val="false"/>
          <w:color w:val="000000"/>
          <w:sz w:val="22"/>
        </w:rPr>
        <w:t>For purposes of this rule, “electric utility” means a rate-regulated electric utility. Qualifying facilities and AEP facilities shall provide energy or capacity to an electric utility during a system emergency only to the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val="false"/>
          <w:color w:val="000000"/>
          <w:sz w:val="22"/>
        </w:rPr>
        <w:t>Provided by agreement between the qualifying facility or AEP facility and the electric utility;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val="false"/>
          <w:color w:val="000000"/>
          <w:sz w:val="22"/>
        </w:rPr>
        <w:t xml:space="preserve">Ordered under </w:t>
      </w:r>
      <w:r>
        <w:rPr>
          <w:rFonts w:ascii="Times New Roman" w:hAnsi="Times New Roman"/>
          <w:b w:val="false"/>
          <w:i w:val="false"/>
          <w:color w:val="000000"/>
          <w:sz w:val="22"/>
        </w:rPr>
        <w:t>Section 202(c) of the Federal Power Act</w:t>
      </w:r>
      <w:r>
        <w:rPr>
          <w:rFonts w:ascii="Times New Roman" w:hAnsi="Times New Roman"/>
          <w:b w:val="false"/>
          <w:i w:val="false"/>
          <w:color w:val="000000"/>
          <w:sz w:val="22"/>
        </w:rPr>
        <w:t>, in effect December 4, 2015. During any system emergency, an electric utility may immediately discontinue: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Purchases from qualifying facilities and AEP facilities if purchases would contribute to the emergency;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to qualifying facilities and AEP facilities, provided that the discontinuance is on a nondiscriminatory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199—15.9</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for interconnection, safety, and operating reliability. </w:t>
      </w:r>
      <w:r>
        <w:rPr>
          <w:rFonts w:ascii="Times New Roman" w:hAnsi="Times New Roman"/>
          <w:b w:val="false"/>
          <w:i w:val="false"/>
          <w:color w:val="000000"/>
          <w:sz w:val="22"/>
        </w:rPr>
        <w:t>For purposes of this rule, “electric utility” or “utility” means both rate-regulated and non-rate-regulated electric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The interconnection of distributed generation facilities and associated interconnection equipment to an electric utility system shall meet the applicable provisions of the publications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 for Interconnection and Interoperability of Distributed Energy Resources and Associated Electric Power System Interfaces, IEEE Standard 1547, in effect April 6, 2018. For guidance in applying IEEE Standard 1547, the utility may refer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IEEE Recommended Practices and Requirements for Harmonic Control in Electrical Power Systems—IEEE Standard 519-2022, as approved May 13, 2022;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IEC/TR3 61000-3-7 Assessment of Emission Limits for Fluctuating Loads in MV and HV Power Systems, as published on March 4,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11">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70-2023, as amended through November 30,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distributed generation facility placed in service after July 1, 2015, is required to have a disconnection device that is installed, owned, and maintained by the owner of the distributed generation facility and is easily visible and adjacent to an interconnection customer’s electric meter at the facility. Disconnection devices are considered easily visible if the clearly identified container holding the disconnection device is within the line of sight of the meter, at a height of 30 inches to 72 inches above final grade. Disconnection devices are considered adjacent to the interconnection customer’s electric meter: for a home or business, within 10 feet with nothing blocking access between the disconnection device and electric meter; or for large areas with multiple buildings that require electric service, within 30 feet with nothing blocking access between the disconnection device and electric meter. The disconnection device shall be labeled with a permanently attached sign with clearly visible letters that gives procedures/directions for disconnecting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adds generation capacity to its existing system that does not require upgrades to the electric meter or electrical service, a disconnection device is not required unless required by the electric utility’s tariff. The customer must notify the electric utility before the generation capacity is added to the existing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upgrades or changes its electric service, the new or modified electric service must meet all current utility electric service rule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distributed generation installations, the customer shall provide and place a permanent placard no more than 10 feet away from the electric meter. The placard must: be visible from the electric meter, clearly identify the presence and location of the disconnection device for the distributed generation facilities on the property, be made of material that is suitable for the environment, and be designed to last for the duration of the anticipated operating life of the distributed generation facility. If no disconnection device is present, the placard shall state “no disconnection device.”</w:t>
      </w:r>
    </w:p>
    <w:p>
      <w:pPr>
        <w:spacing w:before="0" w:after="0"/>
        <w:ind w:left="120"/>
        <w:jc w:val="both"/>
      </w:pPr>
      <w:r>
        <w:rPr>
          <w:rFonts w:ascii="Times New Roman" w:hAnsi="Times New Roman"/>
          <w:b w:val="false"/>
          <w:i w:val="false"/>
          <w:color w:val="000000"/>
          <w:sz w:val="22"/>
        </w:rPr>
        <w:t>If the distributed generation facility is not installed near the electric meter, an additional placard must be placed at the electric meter to provide specific information regarding the distributed generation facility and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interconnection includes overcurrent devices on the facility to automatically disconnect the facility at all currents that exceed the full-load current rating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Distributed generation facilities with a design capacity of 100 kW or less must be equipped with automatic disconnection upon loss of electric utility-supplied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facilities that produce a terminal voltage prior to the closure of the interconnection shall be provided with synchronism-check devices to prevent closure of the interconnection under conditions other than a reasonable degree of synchronization between the voltages on each side of the interconnection switch.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If a disconnection device is required, the operator of the distributed generation facility, the utility, and emergency personnel shall have access to the disconnection device at all times. For distributed generation facilities installed prior to July 1, 2015, an interconnection customer may elect to provide the utility with access to a disconnection device that is contained in a building or area that may be unoccupied and locked or not otherwise accessible to the utility by installing a lockbox provided by the utility that allows ready access to the disconnection device. In consultation with the customer, the utility will determine the location of the lockbox, which will be accessible by the utility. The interconnection customer shall permit the utility to affix a placard in a location of the utility’s choosing that provides instructions to utility operating personnel for accessing the disconnection device. If the utility needs to isolate the distributed generation facility, the utility shall not be held liable for any damages resulting from the actions necessary to isolate the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testing. </w:t>
      </w:r>
      <w:r>
        <w:rPr>
          <w:rFonts w:ascii="Times New Roman" w:hAnsi="Times New Roman"/>
          <w:b w:val="false"/>
          <w:i w:val="false"/>
          <w:color w:val="000000"/>
          <w:sz w:val="22"/>
        </w:rPr>
        <w:t xml:space="preserve">The operator of the distributed generation facility shall adopt a program of inspection and testing of the generator, its appurtenances, and the interconnection facilities in order to determine necessity for replacement and repair. Such a program shall include all periodic tests and maintenance prescribed by the manufacturer. If the periodic testing of interconnection-related protective functions is not specified by the manufacturer, periodic testing shall occur at least once every five years. All interconnection-related protective functions shall be periodically tested, and a system that depends upon a battery for trip power shall be checked and logged. The operator shall maintain test reports and make them available upon request by the electric utility. Representatives of the utility shall have access at all reasonable hours to the interconnection equipment specified in subrule </w:t>
      </w:r>
      <w:hyperlink r:id="rId12">
        <w:r>
          <w:rPr>
            <w:rStyle w:val="Hyperlink"/>
            <w:rFonts w:ascii="Times New Roman" w:hAnsi="Times New Roman"/>
            <w:b w:val="false"/>
            <w:i w:val="false"/>
            <w:color w:val="000000"/>
            <w:sz w:val="22"/>
          </w:rPr>
          <w:t>15.9(2)</w:t>
        </w:r>
      </w:hyperlink>
      <w:r>
        <w:rPr>
          <w:rFonts w:ascii="Times New Roman" w:hAnsi="Times New Roman"/>
          <w:b w:val="false"/>
          <w:i w:val="false"/>
          <w:color w:val="000000"/>
          <w:sz w:val="22"/>
        </w:rPr>
        <w:t xml:space="preserve"> for inspection and testing with reasonable prior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w:t>
      </w:r>
      <w:r>
        <w:rPr>
          <w:rFonts w:ascii="Times New Roman" w:hAnsi="Times New Roman"/>
          <w:b w:val="false"/>
          <w:i w:val="false"/>
          <w:color w:val="000000"/>
          <w:sz w:val="22"/>
        </w:rPr>
        <w:t> </w:t>
      </w:r>
      <w:r>
        <w:rPr>
          <w:rFonts w:ascii="Times New Roman" w:hAnsi="Times New Roman"/>
          <w:b w:val="false"/>
          <w:i/>
          <w:color w:val="000000"/>
          <w:sz w:val="22"/>
        </w:rPr>
        <w:t xml:space="preserve">Emergency disconnection. </w:t>
      </w:r>
      <w:r>
        <w:rPr>
          <w:rFonts w:ascii="Times New Roman" w:hAnsi="Times New Roman"/>
          <w:b w:val="false"/>
          <w:i w:val="false"/>
          <w:color w:val="000000"/>
          <w:sz w:val="22"/>
        </w:rPr>
        <w:t>In the event that an electric utility or its customers experience problems of a type that could be caused by the presence of alternating currents or voltages with a frequency higher than 60 Hertz, the utility shall be permitted to open and lock the interconnection switch pending a complete investigation of the problem. Where the utility believes the condition creates a hazard to the public or to property, the disconnection may be made without prior notice. However, the utility shall notify the operator of the distributed generation facility by written notice and, where possible, verbal notice as soon as practicable after the disconnections.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15.9(6)</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When the distributed generation facility is placed in service, owners of interconnected distributed generation facilities are required to notify local fire departments via U.S. mail of the location of distributed generation facilities and the associated disconnection device(s). The owner is required to provide any information related to the distributed generation facility as reasonably required by that local fire department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map showing property address; service point from utility company; distributed generation facility and disconnect location(s); location of rapid shutdown and battery disconnect(s), if applicable; property owner’s or owner’s representative’s emergency contact information; utility company’s emergency telephone number; and size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to access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from the owner verifying that the distributed generation facility was installed in accordance with the current state-adopted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15.9(7)</w:t>
      </w:r>
      <w:r>
        <w:rPr>
          <w:rFonts w:ascii="Times New Roman" w:hAnsi="Times New Roman"/>
          <w:b w:val="false"/>
          <w:i w:val="false"/>
          <w:color w:val="000000"/>
          <w:sz w:val="22"/>
        </w:rPr>
        <w:t> </w:t>
      </w:r>
      <w:r>
        <w:rPr>
          <w:rFonts w:ascii="Times New Roman" w:hAnsi="Times New Roman"/>
          <w:b w:val="false"/>
          <w:i/>
          <w:color w:val="000000"/>
          <w:sz w:val="22"/>
        </w:rPr>
        <w:t xml:space="preserve">Disconnections. </w:t>
      </w:r>
      <w:r>
        <w:rPr>
          <w:rFonts w:ascii="Times New Roman" w:hAnsi="Times New Roman"/>
          <w:b w:val="false"/>
          <w:i w:val="false"/>
          <w:color w:val="000000"/>
          <w:sz w:val="22"/>
        </w:rPr>
        <w:t xml:space="preserve">If an interconnection customer fails to comply with this rule, the electric utility may require disconnection of the applicant’s distributed generation facility until the facility complies with this rule. The disconnection process shall be specified in individual electric utility tariffs or in the interconnection agreement. If separate disconnection of only the distributed generation facility is not feasible or safe, the customer’s electric service may be disconnected as provided in 199—Chapter </w:t>
      </w:r>
      <w:hyperlink r:id="rId13">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15.9(8)</w:t>
      </w:r>
      <w:r>
        <w:rPr>
          <w:rFonts w:ascii="Times New Roman" w:hAnsi="Times New Roman"/>
          <w:b w:val="false"/>
          <w:i w:val="false"/>
          <w:color w:val="000000"/>
          <w:sz w:val="22"/>
        </w:rPr>
        <w:t> </w:t>
      </w:r>
      <w:r>
        <w:rPr>
          <w:rFonts w:ascii="Times New Roman" w:hAnsi="Times New Roman"/>
          <w:b w:val="false"/>
          <w:i/>
          <w:color w:val="000000"/>
          <w:sz w:val="22"/>
        </w:rPr>
        <w:t xml:space="preserve">Reconnections. </w:t>
      </w:r>
      <w:r>
        <w:rPr>
          <w:rFonts w:ascii="Times New Roman" w:hAnsi="Times New Roman"/>
          <w:b w:val="false"/>
          <w:i w:val="false"/>
          <w:color w:val="000000"/>
          <w:sz w:val="22"/>
        </w:rPr>
        <w:t>If a customer’s distributed generation facility or electric service is disconnected due to noncompliance with this rule, the customer shall be responsible for payment of any costs associated with reconnection once the facility is in compliance with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199—15.10</w:t>
      </w:r>
      <w:r>
        <w:rPr>
          <w:rFonts w:ascii="Times New Roman" w:hAnsi="Times New Roman"/>
          <w:b/>
          <w:i w:val="false"/>
          <w:color w:val="000000"/>
          <w:sz w:val="22"/>
        </w:rPr>
        <w:t xml:space="preserve">(476) </w:t>
      </w:r>
      <w:r>
        <w:rPr>
          <w:rFonts w:ascii="Times New Roman" w:hAnsi="Times New Roman"/>
          <w:b/>
          <w:i w:val="false"/>
          <w:color w:val="000000"/>
          <w:sz w:val="22"/>
        </w:rPr>
        <w:t xml:space="preserve">Additional rate-regulated electric utility obligations regarding AEP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Obligation to purchase from AEP facilities. </w:t>
      </w:r>
      <w:r>
        <w:rPr>
          <w:rFonts w:ascii="Times New Roman" w:hAnsi="Times New Roman"/>
          <w:b w:val="false"/>
          <w:i w:val="false"/>
          <w:color w:val="000000"/>
          <w:sz w:val="22"/>
        </w:rPr>
        <w:t>Each utility shall purchase, pursuant to contract, its share of at least 105 megawatts (MW) of AEP generating capacity and associated energy production. The utility’s share of 105 MW is based on the utility’s estimated percentage share of Iowa peak demand, which is based on the utility’s highest monthly peak shown in its 1990 FERC Form 1 annual report, and on its related Iowa sales and total company sales and losses shown in its 1990 FERC Form 1 and IE-1 annual reports. Each utility’s share of the 105 MW is determined to be as follows:</w:t>
      </w:r>
    </w:p>
    <w:tbl>
      <w:tblPr>
        <w:tblW w:w="5000" w:type="pct"/>
        <w:tblCellSpacing w:w="0" w:type="auto"/>
        <w:tblBorders>
          <w:top w:val="none"/>
          <w:left w:val="none"/>
          <w:bottom w:val="none"/>
          <w:right w:val="none"/>
          <w:insideH w:val="none"/>
          <w:insideV w:val="none"/>
        </w:tblBorders>
        <w:tblLayout w:type="fixed"/>
      </w:tblPr>
      <w:tblGrid>
        <w:gridCol w:w="5522"/>
        <w:gridCol w:w="2834"/>
        <w:gridCol w:w="2834"/>
      </w:tblGrid>
      <w:tr>
        <w:trPr>
          <w:trHeight w:val="480"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Percentage Share of </w:t>
            </w:r>
            <w:r>
              <w:rPr>
                <w:rFonts w:ascii="Times New Roman" w:hAnsi="Times New Roman"/>
                <w:b w:val="false"/>
                <w:i w:val="false"/>
                <w:color w:val="000000"/>
                <w:sz w:val="20"/>
                <w:u w:val="single"/>
              </w:rPr>
              <w:t>Iowa Peak</w:t>
            </w:r>
          </w:p>
        </w:tc>
        <w:tc>
          <w:tcPr>
            <w:tcW w:w="283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Utility Share of</w:t>
            </w:r>
          </w:p>
          <w:p>
            <w:pPr>
              <w:spacing w:before="0" w:after="0"/>
              <w:ind w:left="160"/>
              <w:jc w:val="center"/>
            </w:pPr>
            <w:r>
              <w:rPr>
                <w:rFonts w:ascii="Times New Roman" w:hAnsi="Times New Roman"/>
                <w:b w:val="false"/>
                <w:i w:val="false"/>
                <w:color w:val="000000"/>
                <w:sz w:val="20"/>
                <w:u w:val="single"/>
              </w:rPr>
              <w:t>105 MW</w:t>
            </w:r>
          </w:p>
        </w:tc>
      </w:tr>
      <w:tr>
        <w:trPr>
          <w:trHeight w:val="255"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Interstate Power and Light</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47.43%</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49.8 MW</w:t>
            </w:r>
          </w:p>
        </w:tc>
      </w:tr>
      <w:tr>
        <w:trPr>
          <w:trHeight w:val="255" w:hRule="atLeast"/>
        </w:trPr>
        <w:tc>
          <w:tcPr>
            <w:tcW w:w="55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MidAmerican Energy</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52.57%</w:t>
            </w:r>
          </w:p>
        </w:tc>
        <w:tc>
          <w:tcPr>
            <w:tcW w:w="28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55.2 MW</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 </w:t>
      </w:r>
      <w:r>
        <w:rPr>
          <w:rFonts w:ascii="Times New Roman" w:hAnsi="Times New Roman"/>
          <w:b w:val="false"/>
          <w:i w:val="false"/>
          <w:color w:val="000000"/>
          <w:sz w:val="22"/>
        </w:rPr>
        <w:t>Each utility shall file an annual report listing nameplate MW capacity and associated monthly megawatt-hour (MWH) purchased from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Net metering. </w:t>
      </w:r>
      <w:r>
        <w:rPr>
          <w:rFonts w:ascii="Times New Roman" w:hAnsi="Times New Roman"/>
          <w:b w:val="false"/>
          <w:i w:val="false"/>
          <w:color w:val="000000"/>
          <w:sz w:val="22"/>
        </w:rPr>
        <w:t>Each utility shall offer to operate in parallel through either net metering (with a single meter monitoring only the net amount of electricity sold or purchased) or inflow-outflow billing with an AEP facility, provided that the facility complies with any applicable standards established in accordance with these rules.</w:t>
      </w:r>
    </w:p>
    <w:p>
      <w:pPr>
        <w:spacing w:before="0" w:after="0"/>
        <w:ind w:left="120"/>
        <w:jc w:val="both"/>
      </w:pPr>
      <w:r>
        <w:rPr>
          <w:rFonts w:ascii="Times New Roman" w:hAnsi="Times New Roman"/>
          <w:b w:val="false"/>
          <w:i w:val="false"/>
          <w:color w:val="000000"/>
          <w:sz w:val="22"/>
        </w:rPr>
        <w:t>In the alternative, by choice of the facility, the utility and facility shall operate in a purchase and sale arrangement whereby any electricity provided to the utility by the AEP facility is sold to the utility at the tariffed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199—15.11</w:t>
      </w:r>
      <w:r>
        <w:rPr>
          <w:rFonts w:ascii="Times New Roman" w:hAnsi="Times New Roman"/>
          <w:b/>
          <w:i w:val="false"/>
          <w:color w:val="000000"/>
          <w:sz w:val="22"/>
        </w:rPr>
        <w:t xml:space="preserve">(476) </w:t>
      </w:r>
      <w:r>
        <w:rPr>
          <w:rFonts w:ascii="Times New Roman" w:hAnsi="Times New Roman"/>
          <w:b/>
          <w:i w:val="false"/>
          <w:color w:val="000000"/>
          <w:sz w:val="22"/>
        </w:rPr>
        <w:t xml:space="preserve">Alternate energy purchase programs. </w:t>
      </w:r>
      <w:r>
        <w:rPr>
          <w:rFonts w:ascii="Times New Roman" w:hAnsi="Times New Roman"/>
          <w:b w:val="false"/>
          <w:i w:val="false"/>
          <w:color w:val="000000"/>
          <w:sz w:val="22"/>
        </w:rPr>
        <w:t xml:space="preserve">This rule applies to utilities that elect rate regulation pursuant to Iowa Code section </w:t>
      </w:r>
      <w:hyperlink r:id="rId15">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where specifically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color w:val="000000"/>
          <w:sz w:val="22"/>
        </w:rPr>
        <w:t xml:space="preserve">Obligation to offer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utilities will file plans with the commission for alternative energy purchase programs pursuant to Iowa Code section </w:t>
      </w:r>
      <w:hyperlink r:id="rId16">
        <w:r>
          <w:rPr>
            <w:rStyle w:val="Hyperlink"/>
            <w:rFonts w:ascii="Times New Roman" w:hAnsi="Times New Roman"/>
            <w:b w:val="false"/>
            <w:i w:val="false"/>
            <w:color w:val="000000"/>
            <w:sz w:val="22"/>
          </w:rPr>
          <w:t>476.47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rate-regulated electric utility shall demonstrate on an annual basis that it produces or purchases sufficient energy from program AEP facilities located in Iowa to meet the needs of its Iowa program. These Iowa-based AEP facilities shall not include AEP facilities for which the utility has sought cost recovery under rule </w:t>
      </w:r>
      <w:hyperlink r:id="rId17">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prior to July 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color w:val="000000"/>
          <w:sz w:val="22"/>
        </w:rPr>
        <w:t xml:space="preserve">Customer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utility shall notify eligible customer classes of the implementation or modification of AEP programs pursuant to Iowa Code section </w:t>
      </w:r>
      <w:hyperlink r:id="rId18">
        <w:r>
          <w:rPr>
            <w:rStyle w:val="Hyperlink"/>
            <w:rFonts w:ascii="Times New Roman" w:hAnsi="Times New Roman"/>
            <w:b w:val="false"/>
            <w:i w:val="false"/>
            <w:color w:val="000000"/>
            <w:sz w:val="22"/>
          </w:rPr>
          <w:t>476.47(3)</w:t>
        </w:r>
      </w:hyperlink>
      <w:r>
        <w:rPr>
          <w:rFonts w:ascii="Times New Roman" w:hAnsi="Times New Roman"/>
          <w:b w:val="false"/>
          <w:i w:val="false"/>
          <w:color w:val="000000"/>
          <w:sz w:val="22"/>
        </w:rPr>
        <w:t xml:space="preserve"> and will include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and purpose of the program or program modification, clarifying that customer contributions will not involve the direct sale of alternate energy to individual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program or program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Customer classes eligible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Forms and levels of customer contribution available to program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utility telephone number for answering customers’ questions about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Customer instructions that explain how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notification requirements under paragraph </w:t>
      </w:r>
      <w:hyperlink r:id="rId19">
        <w:r>
          <w:rPr>
            <w:rStyle w:val="Hyperlink"/>
            <w:rFonts w:ascii="Times New Roman" w:hAnsi="Times New Roman"/>
            <w:b w:val="false"/>
            <w:i w:val="false"/>
            <w:color w:val="000000"/>
            <w:sz w:val="22"/>
          </w:rPr>
          <w:t>15.11(2)</w:t>
        </w:r>
      </w:hyperlink>
      <w:r>
        <w:rPr>
          <w:rFonts w:ascii="Times New Roman" w:hAnsi="Times New Roman"/>
          <w:b w:val="false"/>
          <w:i/>
          <w:color w:val="000000"/>
          <w:sz w:val="22"/>
        </w:rPr>
        <w:t>“a,”</w:t>
      </w:r>
      <w:r>
        <w:rPr>
          <w:rFonts w:ascii="Times New Roman" w:hAnsi="Times New Roman"/>
          <w:b w:val="false"/>
          <w:i w:val="false"/>
          <w:color w:val="000000"/>
          <w:sz w:val="22"/>
        </w:rPr>
        <w:t xml:space="preserve"> each rate-regulated electric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fuel report information described under subrule </w:t>
      </w:r>
      <w:hyperlink r:id="rId20">
        <w:r>
          <w:rPr>
            <w:rStyle w:val="Hyperlink"/>
            <w:rFonts w:ascii="Times New Roman" w:hAnsi="Times New Roman"/>
            <w:b w:val="false"/>
            <w:i w:val="false"/>
            <w:color w:val="000000"/>
            <w:sz w:val="22"/>
          </w:rPr>
          <w:t>15.11(5)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proposed notification to the commission for approval at least 30 days prior to the proposed date of issuance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color w:val="000000"/>
          <w:sz w:val="22"/>
        </w:rPr>
        <w:t xml:space="preserve">Program plan filing requirements for rate-regulated utilities. </w:t>
      </w:r>
      <w:r>
        <w:rPr>
          <w:rFonts w:ascii="Times New Roman" w:hAnsi="Times New Roman"/>
          <w:b w:val="false"/>
          <w:i w:val="false"/>
          <w:color w:val="000000"/>
          <w:sz w:val="22"/>
        </w:rPr>
        <w:t>Initial program plans and any subsequent modifications filed by rate-regulated electric utilities will be subject to commission approval. The initial program plan filing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sample of the customer notification, including a description of the method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Customer classes eligible for participation and the schedule for extending participation to all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each AEP facility used for the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Fuel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Nameplate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Estimated annual kilowatt-hour (kWh) output;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Estimated in-service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Ownership, including any utility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any contract for utility purchases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 or procedure used to select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Facility 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facility is located outside of Iowa, an explanation of how the facility qualifies under Iowa Code section </w:t>
      </w:r>
      <w:hyperlink r:id="rId21">
        <w:r>
          <w:rPr>
            <w:rStyle w:val="Hyperlink"/>
            <w:rFonts w:ascii="Times New Roman" w:hAnsi="Times New Roman"/>
            <w:b w:val="false"/>
            <w:i w:val="false"/>
            <w:color w:val="000000"/>
            <w:sz w:val="22"/>
          </w:rPr>
          <w:t>476.47(4)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forms and levels of customer contribution available to program participants,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kWh rate premiums applied to percentages of participant kWh usage, with an explanation of how the kWh rate premiums are derived;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kWh rate premiums applied to fixed kWh blocks of participant usage, with an explanation of how the kWh rate premiums are derived;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Fixed contributions, with an explanation of how the fixed amounts are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maximum allowable time lag between the beginning of customer contributions and the in-service date for identified AEP facilities, and the procedures for suspending customer contributions if the maximum time lag is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intended treatment of program participants under rule </w:t>
      </w:r>
      <w:hyperlink r:id="rId22">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accounting plan for identifying and tracking participant contributions and program costs,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incremental program costs not otherwise recovered through the utility’s rates, including but not limited to program start-up and administration costs, program marketing costs, and program energy and capacity costs associated with identified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for quantifying, assigning, and allocating costs of the program and for segregating those costs in the utility’s accounts;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marketing and customer information plan, including schedules and copies of all marketing and information materials,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15.11(4)</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for rate-regulated utilities. </w:t>
      </w:r>
      <w:r>
        <w:rPr>
          <w:rFonts w:ascii="Times New Roman" w:hAnsi="Times New Roman"/>
          <w:b w:val="false"/>
          <w:i w:val="false"/>
          <w:color w:val="000000"/>
          <w:sz w:val="22"/>
        </w:rPr>
        <w:t>Each rate-regulated electric utility shall file with the commission a report of program activity for the previous calendar year. The annual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information,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program participants, by customer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 contribution revenues, by customer class, by form and level of contribution, and by associated participant kWh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electricity generated from each program AEP facility and the associated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program costs, by cost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reconciliation of participant contributions and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costs are incremental costs associated with the utility’s alternate energy purchase program not otherwise recovered through the utility’s base tariff rates, and electricity costs dedicated to the program and separated from the utility’s energy automatic adjustment clause as defined in rule </w:t>
      </w:r>
      <w:hyperlink r:id="rId23">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excess of participant contributions over program costs is an annual program surplus, and the excess of program costs over participant contributions is an annual program deficit.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program surpluses and deficits are cumulative over successive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deficit may be recovered through the utility’s energy automatic adjustment clause as defined in rule </w:t>
      </w:r>
      <w:hyperlink r:id="rId24">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program surplus shall be used to offset prior years’ program deficits previously recovered through the energy automatic adjustment clause, and the offset amount shall be credited through the utility’s energy automatic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any other AEP or renewable energy requirements being met with program AEP facilities and identification of any revenues derived from the separate sale of the renewable energy attributes of program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shows the energy produced by the utility’s program AEP facilities in Iowa (whether contracted, leased, or owned), not including AEP facilities for which the utility has sought cost recovery under rule </w:t>
      </w:r>
      <w:hyperlink r:id="rId25">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prior to July 1, 2001, is sufficient to meet the requirement of the utility’s Iowa AEP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program marketing and customer information activities, including schedules and copies of all marketing and information materials related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 modifications and uses for any program surplus that are under consideration, including procurement or assignment of additional electricity from AEP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utility’s annual fuel report to customers under subrule </w:t>
      </w:r>
      <w:hyperlink r:id="rId26">
        <w:r>
          <w:rPr>
            <w:rStyle w:val="Hyperlink"/>
            <w:rFonts w:ascii="Times New Roman" w:hAnsi="Times New Roman"/>
            <w:b w:val="false"/>
            <w:i w:val="false"/>
            <w:color w:val="000000"/>
            <w:sz w:val="22"/>
          </w:rPr>
          <w:t>15.11(5)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15.11(5)</w:t>
      </w:r>
      <w:r>
        <w:rPr>
          <w:rFonts w:ascii="Times New Roman" w:hAnsi="Times New Roman"/>
          <w:b w:val="false"/>
          <w:i w:val="false"/>
          <w:color w:val="000000"/>
          <w:sz w:val="22"/>
        </w:rPr>
        <w:t> </w:t>
      </w:r>
      <w:r>
        <w:rPr>
          <w:rFonts w:ascii="Times New Roman" w:hAnsi="Times New Roman"/>
          <w:b w:val="false"/>
          <w:i/>
          <w:color w:val="000000"/>
          <w:sz w:val="22"/>
        </w:rPr>
        <w:t xml:space="preserve">Annual fuel reporting requirements for rate-regulated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rate-regulated electric utility shall annually report to all of its Iowa customers its percentage mix of fuel and energy inputs used to produce electricity. The report shall, to the extent practical, specify percentages of electricity produced by coal, nuclear energy, natural gas, oil, AEP electricity produced for the utility’s AEP program, non-program AEP electricity, and resources purchased from other companies. The percentages for AEP electricity shall further specify percentages of electricity produced by wind, solar, hydropower, biomass, and other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include an estimate of sulfur dioxide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nitrogen oxide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and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emissions for each known fuel and energy input type. The emission estimate shall be expressed in pounds per 1000 kWh.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15.11(6)</w:t>
      </w:r>
      <w:r>
        <w:rPr>
          <w:rFonts w:ascii="Times New Roman" w:hAnsi="Times New Roman"/>
          <w:b w:val="false"/>
          <w:i w:val="false"/>
          <w:color w:val="000000"/>
          <w:sz w:val="22"/>
        </w:rPr>
        <w:t> </w:t>
      </w:r>
      <w:r>
        <w:rPr>
          <w:rFonts w:ascii="Times New Roman" w:hAnsi="Times New Roman"/>
          <w:b w:val="false"/>
          <w:i/>
          <w:color w:val="000000"/>
          <w:sz w:val="22"/>
        </w:rPr>
        <w:t xml:space="preserve">Tariff filing requirements for non-rate-regulated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Utilities that are not subject to rate regulation or that elect rate regulation pursuant to Iowa Code section </w:t>
      </w:r>
      <w:hyperlink r:id="rId2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will include the following information in tariffs filed pursuant to Iowa Code section </w:t>
      </w:r>
      <w:hyperlink r:id="rId28">
        <w:r>
          <w:rPr>
            <w:rStyle w:val="Hyperlink"/>
            <w:rFonts w:ascii="Times New Roman" w:hAnsi="Times New Roman"/>
            <w:b w:val="false"/>
            <w:i w:val="false"/>
            <w:color w:val="000000"/>
            <w:sz w:val="22"/>
          </w:rPr>
          <w:t>476.47(2)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customer notification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Customer classes eligible for participation;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compliance with Iowa Code section </w:t>
      </w:r>
      <w:hyperlink r:id="rId29">
        <w:r>
          <w:rPr>
            <w:rStyle w:val="Hyperlink"/>
            <w:rFonts w:ascii="Times New Roman" w:hAnsi="Times New Roman"/>
            <w:b w:val="false"/>
            <w:i w:val="false"/>
            <w:color w:val="000000"/>
            <w:sz w:val="22"/>
          </w:rPr>
          <w:t>476.47(4)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Joint filings. Utilities subject to paragraph </w:t>
      </w:r>
      <w:hyperlink r:id="rId30">
        <w:r>
          <w:rPr>
            <w:rStyle w:val="Hyperlink"/>
            <w:rFonts w:ascii="Times New Roman" w:hAnsi="Times New Roman"/>
            <w:b w:val="false"/>
            <w:i w:val="false"/>
            <w:color w:val="000000"/>
            <w:sz w:val="22"/>
          </w:rPr>
          <w:t>15.11(6)</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file a tariff jointly with other non-rate-regulated utilities or through an agent. A joint tariff filing shall contain the information required by paragraph </w:t>
      </w:r>
      <w:hyperlink r:id="rId31">
        <w:r>
          <w:rPr>
            <w:rStyle w:val="Hyperlink"/>
            <w:rFonts w:ascii="Times New Roman" w:hAnsi="Times New Roman"/>
            <w:b w:val="false"/>
            <w:i w:val="false"/>
            <w:color w:val="000000"/>
            <w:sz w:val="22"/>
          </w:rPr>
          <w:t>15.11(6)</w:t>
        </w:r>
      </w:hyperlink>
      <w:r>
        <w:rPr>
          <w:rFonts w:ascii="Times New Roman" w:hAnsi="Times New Roman"/>
          <w:b w:val="false"/>
          <w:i/>
          <w:color w:val="000000"/>
          <w:sz w:val="22"/>
        </w:rPr>
        <w:t>“a.”</w:t>
      </w:r>
      <w:r>
        <w:rPr>
          <w:rFonts w:ascii="Times New Roman" w:hAnsi="Times New Roman"/>
          <w:b w:val="false"/>
          <w:i w:val="false"/>
          <w:color w:val="000000"/>
          <w:sz w:val="22"/>
        </w:rPr>
        <w:t xml:space="preserve"> Each utility participating in the joint tariff shall be identified.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199—15.12</w:t>
      </w:r>
      <w:r>
        <w:rPr>
          <w:rFonts w:ascii="Times New Roman" w:hAnsi="Times New Roman"/>
          <w:b/>
          <w:i w:val="false"/>
          <w:color w:val="000000"/>
          <w:sz w:val="22"/>
        </w:rPr>
        <w:t xml:space="preserve">(476C) </w:t>
      </w:r>
      <w:r>
        <w:rPr>
          <w:rFonts w:ascii="Times New Roman" w:hAnsi="Times New Roman"/>
          <w:b/>
          <w:i w:val="false"/>
          <w:color w:val="000000"/>
          <w:sz w:val="22"/>
        </w:rPr>
        <w:t xml:space="preserve">Certification of eligibility for wind energy and renewable energy tax credits under Iowa Code chapter 476C. </w:t>
      </w:r>
      <w:r>
        <w:rPr>
          <w:rFonts w:ascii="Times New Roman" w:hAnsi="Times New Roman"/>
          <w:b w:val="false"/>
          <w:i w:val="false"/>
          <w:color w:val="000000"/>
          <w:sz w:val="22"/>
        </w:rPr>
        <w:t xml:space="preserve">Any person applying for certification of eligibility for state tax credits for wind energy or renewable energy pursuant to Iowa Code section </w:t>
      </w:r>
      <w:hyperlink r:id="rId32">
        <w:r>
          <w:rPr>
            <w:rStyle w:val="Hyperlink"/>
            <w:rFonts w:ascii="Times New Roman" w:hAnsi="Times New Roman"/>
            <w:b w:val="false"/>
            <w:i w:val="false"/>
            <w:color w:val="000000"/>
            <w:sz w:val="22"/>
          </w:rPr>
          <w:t>476C.3</w:t>
        </w:r>
      </w:hyperlink>
      <w:r>
        <w:rPr>
          <w:rFonts w:ascii="Times New Roman" w:hAnsi="Times New Roman"/>
          <w:b w:val="false"/>
          <w:i w:val="false"/>
          <w:color w:val="000000"/>
          <w:sz w:val="22"/>
        </w:rPr>
        <w:t xml:space="preserve"> is subject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Any person applying for certification of eligibility for wind energy or renewable energy tax credits must file with the commission an application that contains substantially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applicant, including the legal name, address, telephone number, and, as applicable, facsimile transmission number and email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ownership of the facility, including the legal name of each owner, information demonstrating the legal status of each owner, and the percentage of equity interest held by each owner. The “legal status of each owner” refers to either ownership of a small wind energy system operating in a small wind innovation zone as defined in Iowa Code section </w:t>
      </w:r>
      <w:hyperlink r:id="rId33">
        <w:r>
          <w:rPr>
            <w:rStyle w:val="Hyperlink"/>
            <w:rFonts w:ascii="Times New Roman" w:hAnsi="Times New Roman"/>
            <w:b w:val="false"/>
            <w:i w:val="false"/>
            <w:color w:val="000000"/>
            <w:sz w:val="22"/>
          </w:rPr>
          <w:t>476.48(1)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as described in rule </w:t>
      </w:r>
      <w:hyperlink r:id="rId34">
        <w:r>
          <w:rPr>
            <w:rStyle w:val="Hyperlink"/>
            <w:rFonts w:ascii="Times New Roman" w:hAnsi="Times New Roman"/>
            <w:b w:val="false"/>
            <w:i w:val="false"/>
            <w:color w:val="000000"/>
            <w:sz w:val="22"/>
          </w:rPr>
          <w:t>199—15.14</w:t>
        </w:r>
      </w:hyperlink>
      <w:r>
        <w:rPr>
          <w:rFonts w:ascii="Times New Roman" w:hAnsi="Times New Roman"/>
          <w:b w:val="false"/>
          <w:i w:val="false"/>
          <w:color w:val="000000"/>
          <w:sz w:val="22"/>
        </w:rPr>
        <w:t xml:space="preserve">(476), or, alternatively, the ownership requirements as described in Iowa Code section </w:t>
      </w:r>
      <w:hyperlink r:id="rId35">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attesting that each owner meeting the eligibility requirements of Iowa Code section </w:t>
      </w:r>
      <w:hyperlink r:id="rId36">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does not have an ownership interest in more than two eligible renewable energy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owner meeting the eligibility requirements of Iowa Code section </w:t>
      </w:r>
      <w:hyperlink r:id="rId37">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 an equity interest in the facility equal to or greater than 51 percent, a statement attesting that the owner does not have an equity interest greater than 10 percent in any other eligible renewable energy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owner meeting the eligibility requirements of Iowa Code section </w:t>
      </w:r>
      <w:hyperlink r:id="rId38">
        <w:r>
          <w:rPr>
            <w:rStyle w:val="Hyperlink"/>
            <w:rFonts w:ascii="Times New Roman" w:hAnsi="Times New Roman"/>
            <w:b w:val="false"/>
            <w:i w:val="false"/>
            <w:color w:val="000000"/>
            <w:sz w:val="22"/>
          </w:rPr>
          <w:t>476C.1(6)</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 an equity interest in the facility greater than 10 percent and less than 51 percent, a statement attesting that the owner does not have an equity interest equal to or greater than 51 percent in any other eligible renewable energy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facility, including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Type of facility (that is, a qualified facility as defined in Iowa Code section </w:t>
      </w:r>
      <w:hyperlink r:id="rId39">
        <w:r>
          <w:rPr>
            <w:rStyle w:val="Hyperlink"/>
            <w:rFonts w:ascii="Times New Roman" w:hAnsi="Times New Roman"/>
            <w:b w:val="false"/>
            <w:i w:val="false"/>
            <w:color w:val="000000"/>
            <w:sz w:val="22"/>
          </w:rPr>
          <w:t>476C.1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nameplate generating capacity rating, plus maximum hourly output capability for any energy production capacity equivalent as defined in Iowa Code section </w:t>
      </w:r>
      <w:hyperlink r:id="rId40">
        <w:r>
          <w:rPr>
            <w:rStyle w:val="Hyperlink"/>
            <w:rFonts w:ascii="Times New Roman" w:hAnsi="Times New Roman"/>
            <w:b w:val="false"/>
            <w:i w:val="false"/>
            <w:color w:val="000000"/>
            <w:sz w:val="22"/>
          </w:rPr>
          <w:t>476C.1(7)</w:t>
        </w:r>
      </w:hyperlink>
      <w:r>
        <w:rPr>
          <w:rFonts w:ascii="Times New Roman" w:hAnsi="Times New Roman"/>
          <w:b w:val="false"/>
          <w:i w:val="false"/>
          <w:color w:val="000000"/>
          <w:sz w:val="22"/>
        </w:rPr>
        <w:t>. For applications filed on or after July 1, 2011, the facility’s combined nameplate capacity or energy production capacity equivalent must be no less than three-fourths of a MW if all or part of the facility’s renewable energy production is used for the owners’ on-site consumption, and no more than 60 MW if the facility is not a wind energy conversion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of the facility in Iowa, including an address or other geographic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facility was placed in service; that is, placed in service on or after July 1, 2005, but before January 1, 2018, for eligibility under Iowa Code chapter </w:t>
      </w:r>
      <w:hyperlink r:id="rId4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eligibility under Iowa Code chapter </w:t>
      </w:r>
      <w:hyperlink r:id="rId42">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demonstration that the facility’s combined MW nameplate generating capacity and maximum hourly output capability of energy production capacity equivalent as defined in Iowa Code section </w:t>
      </w:r>
      <w:hyperlink r:id="rId43">
        <w:r>
          <w:rPr>
            <w:rStyle w:val="Hyperlink"/>
            <w:rFonts w:ascii="Times New Roman" w:hAnsi="Times New Roman"/>
            <w:b w:val="false"/>
            <w:i w:val="false"/>
            <w:color w:val="000000"/>
            <w:sz w:val="22"/>
          </w:rPr>
          <w:t>476C.1(7)</w:t>
        </w:r>
      </w:hyperlink>
      <w:r>
        <w:rPr>
          <w:rFonts w:ascii="Times New Roman" w:hAnsi="Times New Roman"/>
          <w:b w:val="false"/>
          <w:i w:val="false"/>
          <w:color w:val="000000"/>
          <w:sz w:val="22"/>
        </w:rPr>
        <w:t xml:space="preserve">, divided by the number of separate owners who meet the requirements of Iowa Code chapter </w:t>
      </w:r>
      <w:hyperlink r:id="rId44">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equals no more than 2.5 MW of capacity per eligible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owners attesting that the owners intend to either sell all the renewable energy produced by the facility, consume all the renewable energy on site, or use all the renewable energy through a combination of sale and consumption. For purposes of the signed statement, renewable energy consumed on site means any renewable energy produced by the facility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owners intend to sell renewable energy produced by the facility, a copy of the power purchase agreement or other agreement to purchase electricity, hydrogen fuel, methane or other biogas, or heat for a commercial purpose, which shall designate either the producer or the purchaser as eligible to apply for the renewable energy tax credit. If the power purchase agreement or other agreement has not yet been finalized and executed, the commission will accept a binding statement from the applicant that designates which party will be eligible to apply for the renewable energy tax credit; that designation shall not be subject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indicating the type of tax credit being sought; that is, indicating that the applicant is applying for tax credits pursuant to Iowa Code chapter </w:t>
      </w:r>
      <w:hyperlink r:id="rId45">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(1.5 cents per kWh, wind and other renewable energy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Upon receipt of a complete application, the commission will review the eligibility of the facility in accordance with Iowa Code section </w:t>
      </w:r>
      <w:hyperlink r:id="rId46">
        <w:r>
          <w:rPr>
            <w:rStyle w:val="Hyperlink"/>
            <w:rFonts w:ascii="Times New Roman" w:hAnsi="Times New Roman"/>
            <w:b w:val="false"/>
            <w:i w:val="false"/>
            <w:color w:val="000000"/>
            <w:sz w:val="22"/>
          </w:rPr>
          <w:t>476C.3(2)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color w:val="000000"/>
          <w:sz w:val="22"/>
        </w:rPr>
        <w:t xml:space="preserve">Loss of eligibility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months following commission approval of eligibility, the applicant shall file information demonstrating that the eligible facility is operational and producing usable energy. If the commission determines that the eligible facility was not operational within 18 months of commission approval,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facility is a wind energy conversion facility and is not operational within 18 months due to the unavailability of necessary equipment, the applicant may apply for a 12-month extension of the 30-month limit, attesting to the unavailability of necessary equipment. After granting the 12-month extension, if the commission determines that the facility was not operational within 42 months of commission approval,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expiration of the time periods specified in paragraphs </w:t>
      </w:r>
      <w:hyperlink r:id="rId47">
        <w:r>
          <w:rPr>
            <w:rStyle w:val="Hyperlink"/>
            <w:rFonts w:ascii="Times New Roman" w:hAnsi="Times New Roman"/>
            <w:b w:val="false"/>
            <w:i w:val="false"/>
            <w:color w:val="000000"/>
            <w:sz w:val="22"/>
          </w:rPr>
          <w:t>15.12(3)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applicant may apply for a further 12-month extension if the facility is still expected to become operational. Extensions may be renewed for succeeding 12-month periods if the applicant applies for the extension prior to expiration of the current extension period. If the applicant does not apply for further extension,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owners of a facility discontinue efforts to achieve operational status, the owners shall notify the commission. Upon the commission’s receipt of such notification, the facility will lose eligibility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facility loses eligibility status, the applicant may reapply to the commission for new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15.12(4)</w:t>
      </w:r>
      <w:r>
        <w:rPr>
          <w:rFonts w:ascii="Times New Roman" w:hAnsi="Times New Roman"/>
          <w:b w:val="false"/>
          <w:i w:val="false"/>
          <w:color w:val="000000"/>
          <w:sz w:val="22"/>
        </w:rPr>
        <w:t> </w:t>
      </w:r>
      <w:r>
        <w:rPr>
          <w:rFonts w:ascii="Times New Roman" w:hAnsi="Times New Roman"/>
          <w:b w:val="false"/>
          <w:i/>
          <w:color w:val="000000"/>
          <w:sz w:val="22"/>
        </w:rPr>
        <w:t xml:space="preserve">Allocation of capacity among eligible applicants. </w:t>
      </w:r>
      <w:r>
        <w:rPr>
          <w:rFonts w:ascii="Times New Roman" w:hAnsi="Times New Roman"/>
          <w:b w:val="false"/>
          <w:i w:val="false"/>
          <w:color w:val="000000"/>
          <w:sz w:val="22"/>
        </w:rPr>
        <w:t xml:space="preserve">In the event the commission receives applications for tax credits that, in total, exceed the statutory limits found in Iowa Code section </w:t>
      </w:r>
      <w:hyperlink r:id="rId48">
        <w:r>
          <w:rPr>
            <w:rStyle w:val="Hyperlink"/>
            <w:rFonts w:ascii="Times New Roman" w:hAnsi="Times New Roman"/>
            <w:b w:val="false"/>
            <w:i w:val="false"/>
            <w:color w:val="000000"/>
            <w:sz w:val="22"/>
          </w:rPr>
          <w:t>476C.3(4)</w:t>
        </w:r>
      </w:hyperlink>
      <w:r>
        <w:rPr>
          <w:rFonts w:ascii="Times New Roman" w:hAnsi="Times New Roman"/>
          <w:b w:val="false"/>
          <w:i w:val="false"/>
          <w:color w:val="000000"/>
          <w:sz w:val="22"/>
        </w:rPr>
        <w:t>, the commission will rule on the applications in the order the applications are received, based upon the date of receipt. If such a petition is submitted, the commission will notify all applicants who filed on that particular date, allowing each applicant to opt into the allocation within 45 days of the date of the filing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15.12(5)</w:t>
      </w:r>
      <w:r>
        <w:rPr>
          <w:rFonts w:ascii="Times New Roman" w:hAnsi="Times New Roman"/>
          <w:b w:val="false"/>
          <w:i w:val="false"/>
          <w:color w:val="000000"/>
          <w:sz w:val="22"/>
        </w:rPr>
        <w:t> </w:t>
      </w:r>
      <w:r>
        <w:rPr>
          <w:rFonts w:ascii="Times New Roman" w:hAnsi="Times New Roman"/>
          <w:b w:val="false"/>
          <w:i/>
          <w:color w:val="000000"/>
          <w:sz w:val="22"/>
        </w:rPr>
        <w:t xml:space="preserve">Waiting lists for excess applications. </w:t>
      </w:r>
      <w:r>
        <w:rPr>
          <w:rFonts w:ascii="Times New Roman" w:hAnsi="Times New Roman"/>
          <w:b w:val="false"/>
          <w:i w:val="false"/>
          <w:color w:val="000000"/>
          <w:sz w:val="22"/>
        </w:rPr>
        <w:t xml:space="preserve">The commission will maintain waiting lists of excess eligibility applications for facilities that might have received preliminary eligibility under subrule </w:t>
      </w:r>
      <w:hyperlink r:id="rId49">
        <w:r>
          <w:rPr>
            <w:rStyle w:val="Hyperlink"/>
            <w:rFonts w:ascii="Times New Roman" w:hAnsi="Times New Roman"/>
            <w:b w:val="false"/>
            <w:i w:val="false"/>
            <w:color w:val="000000"/>
            <w:sz w:val="22"/>
          </w:rPr>
          <w:t>15.12(2)</w:t>
        </w:r>
      </w:hyperlink>
      <w:r>
        <w:rPr>
          <w:rFonts w:ascii="Times New Roman" w:hAnsi="Times New Roman"/>
          <w:b w:val="false"/>
          <w:i w:val="false"/>
          <w:color w:val="000000"/>
          <w:sz w:val="22"/>
        </w:rPr>
        <w:t xml:space="preserve">. The priorities of the waiting lists will be in the order the applications were received, based upon the dates of receipt. If additional capacity becomes available within the capacity restrictions under subrule </w:t>
      </w:r>
      <w:hyperlink r:id="rId50">
        <w:r>
          <w:rPr>
            <w:rStyle w:val="Hyperlink"/>
            <w:rFonts w:ascii="Times New Roman" w:hAnsi="Times New Roman"/>
            <w:b w:val="false"/>
            <w:i w:val="false"/>
            <w:color w:val="000000"/>
            <w:sz w:val="22"/>
          </w:rPr>
          <w:t>15.12(4)</w:t>
        </w:r>
      </w:hyperlink>
      <w:r>
        <w:rPr>
          <w:rFonts w:ascii="Times New Roman" w:hAnsi="Times New Roman"/>
          <w:b w:val="false"/>
          <w:i w:val="false"/>
          <w:color w:val="000000"/>
          <w:sz w:val="22"/>
        </w:rPr>
        <w:t>, the commission will review the applications on the waiting lists based on each application’s priorities, before reviewing new applications. Applications will be removed from the waiting lists after the applications are either approved or denied. Each applicant on a waiting list shall annually provide the commission a statement of verification attesting that the information contained in the applicant’s eligibility application remains true and correct, or stating that the information has changed and providing the new information.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1">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199—15.13</w:t>
      </w:r>
      <w:r>
        <w:rPr>
          <w:rFonts w:ascii="Times New Roman" w:hAnsi="Times New Roman"/>
          <w:b/>
          <w:i w:val="false"/>
          <w:color w:val="000000"/>
          <w:sz w:val="22"/>
        </w:rPr>
        <w:t xml:space="preserve">(476C) </w:t>
      </w:r>
      <w:r>
        <w:rPr>
          <w:rFonts w:ascii="Times New Roman" w:hAnsi="Times New Roman"/>
          <w:b/>
          <w:i w:val="false"/>
          <w:color w:val="000000"/>
          <w:sz w:val="22"/>
        </w:rPr>
        <w:t xml:space="preserve">Applications for renewable energy tax credits under Iowa Code chapter 476C. </w:t>
      </w:r>
      <w:r>
        <w:rPr>
          <w:rFonts w:ascii="Times New Roman" w:hAnsi="Times New Roman"/>
          <w:b w:val="false"/>
          <w:i w:val="false"/>
          <w:color w:val="000000"/>
          <w:sz w:val="22"/>
        </w:rPr>
        <w:t xml:space="preserve">The renewable energy tax credits equal 1.5 cents per kWh of electricity, or 44 cents per 1,000 standard cubic feet of hydrogen fuel, or $4.50 per 1 million British thermal units (Btu) of methane gas or other biogas used to generate electricity, or $4.50 per 1 million Btu of heat for a commercial purpose, generated by eligible renewable energy facilities under rule </w:t>
      </w:r>
      <w:hyperlink r:id="rId52">
        <w:r>
          <w:rPr>
            <w:rStyle w:val="Hyperlink"/>
            <w:rFonts w:ascii="Times New Roman" w:hAnsi="Times New Roman"/>
            <w:b w:val="false"/>
            <w:i w:val="false"/>
            <w:color w:val="000000"/>
            <w:sz w:val="22"/>
          </w:rPr>
          <w:t>199—15.12</w:t>
        </w:r>
      </w:hyperlink>
      <w:r>
        <w:rPr>
          <w:rFonts w:ascii="Times New Roman" w:hAnsi="Times New Roman"/>
          <w:b w:val="false"/>
          <w:i w:val="false"/>
          <w:color w:val="000000"/>
          <w:sz w:val="22"/>
        </w:rPr>
        <w:t>(476C), which is sold or used for on-site consumption by the owners. For renewable energy that is sold, either the owners of an eligible facility or a designated purchaser of renewable energy from the facility may apply for renewable energy tax credits for up to ten tax years following the date the facility is placed in service. For renewable energy used for on-site consumption, the owners of an eligible facility may apply for renewable energy tax credits for up to ten tax years following the date the facility is placed in service. For purposes of this rule, renewable energy used for on-site consumption means any renewable energy produced by the facility and not sold.</w:t>
      </w:r>
    </w:p>
    <w:p>
      <w:pPr>
        <w:spacing w:before="0" w:after="0"/>
        <w:ind w:left="120"/>
        <w:jc w:val="both"/>
      </w:pPr>
      <w:r>
        <w:rPr>
          <w:rFonts w:ascii="Times New Roman" w:hAnsi="Times New Roman"/>
          <w:b w:val="false"/>
          <w:i w:val="false"/>
          <w:color w:val="000000"/>
          <w:sz w:val="22"/>
        </w:rPr>
        <w:t>For the first tax year for which tax credits can be claimed, the kWh, standard cubic feet, or Btu generated by and purchased from an eligible facility may exceed 12 months’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renewable energy tax credits. </w:t>
      </w:r>
      <w:r>
        <w:rPr>
          <w:rFonts w:ascii="Times New Roman" w:hAnsi="Times New Roman"/>
          <w:b w:val="false"/>
          <w:i w:val="false"/>
          <w:color w:val="000000"/>
          <w:sz w:val="22"/>
        </w:rPr>
        <w:t xml:space="preserve">A renewable energy facility must be approved as eligible by the commission under rule </w:t>
      </w:r>
      <w:hyperlink r:id="rId53">
        <w:r>
          <w:rPr>
            <w:rStyle w:val="Hyperlink"/>
            <w:rFonts w:ascii="Times New Roman" w:hAnsi="Times New Roman"/>
            <w:b w:val="false"/>
            <w:i w:val="false"/>
            <w:color w:val="000000"/>
            <w:sz w:val="22"/>
          </w:rPr>
          <w:t>199—15.12</w:t>
        </w:r>
      </w:hyperlink>
      <w:r>
        <w:rPr>
          <w:rFonts w:ascii="Times New Roman" w:hAnsi="Times New Roman"/>
          <w:b w:val="false"/>
          <w:i w:val="false"/>
          <w:color w:val="000000"/>
          <w:sz w:val="22"/>
        </w:rPr>
        <w:t xml:space="preserve">(476C) in order to qualify for renewable energy tax credits. Tax credit applications must be filed with the commission in the GovConnectIowa system at </w:t>
      </w:r>
      <w:hyperlink r:id="rId54">
        <w:r>
          <w:rPr>
            <w:rStyle w:val="Hyperlink"/>
            <w:rFonts w:ascii="Times New Roman" w:hAnsi="Times New Roman"/>
            <w:b w:val="false"/>
            <w:i w:val="false"/>
            <w:color w:val="000000"/>
            <w:sz w:val="22"/>
            <w:u w:val="single"/>
          </w:rPr>
          <w:t>govconnect.iowa.gov</w:t>
        </w:r>
      </w:hyperlink>
      <w:r>
        <w:rPr>
          <w:rFonts w:ascii="Times New Roman" w:hAnsi="Times New Roman"/>
          <w:b w:val="false"/>
          <w:i w:val="false"/>
          <w:color w:val="000000"/>
          <w:sz w:val="22"/>
        </w:rPr>
        <w:t> no later than 30 days after the close of the tax year for which the credits are to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the facility owners or the purchaser of renewable energy shall be eligible to apply for the tax credits related to renewable energy that is sold, as designated under paragraph </w:t>
      </w:r>
      <w:hyperlink r:id="rId55">
        <w:r>
          <w:rPr>
            <w:rStyle w:val="Hyperlink"/>
            <w:rFonts w:ascii="Times New Roman" w:hAnsi="Times New Roman"/>
            <w:b w:val="false"/>
            <w:i w:val="false"/>
            <w:color w:val="000000"/>
            <w:sz w:val="22"/>
          </w:rPr>
          <w:t>15.12(1)</w:t>
        </w:r>
      </w:hyperlink>
      <w:r>
        <w:rPr>
          <w:rFonts w:ascii="Times New Roman" w:hAnsi="Times New Roman"/>
          <w:b w:val="false"/>
          <w:i/>
          <w:color w:val="000000"/>
          <w:sz w:val="22"/>
        </w:rPr>
        <w:t>“h.”</w:t>
      </w:r>
      <w:r>
        <w:rPr>
          <w:rFonts w:ascii="Times New Roman" w:hAnsi="Times New Roman"/>
          <w:b w:val="false"/>
          <w:i w:val="false"/>
          <w:color w:val="000000"/>
          <w:sz w:val="22"/>
        </w:rPr>
        <w:t xml:space="preserve"> Only facility owners shall be eligible to apply for tax credits related to renewable energy used for on-site consumption. If a facility is jointly owned, then owners applying for the tax credits must file their application jointly. For each application, the following information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original application for facility eligibility under rule </w:t>
      </w:r>
      <w:hyperlink r:id="rId56">
        <w:r>
          <w:rPr>
            <w:rStyle w:val="Hyperlink"/>
            <w:rFonts w:ascii="Times New Roman" w:hAnsi="Times New Roman"/>
            <w:b w:val="false"/>
            <w:i w:val="false"/>
            <w:color w:val="000000"/>
            <w:sz w:val="22"/>
          </w:rPr>
          <w:t>199—15.12</w:t>
        </w:r>
      </w:hyperlink>
      <w:r>
        <w:rPr>
          <w:rFonts w:ascii="Times New Roman" w:hAnsi="Times New Roman"/>
          <w:b w:val="false"/>
          <w:i w:val="false"/>
          <w:color w:val="000000"/>
          <w:sz w:val="22"/>
        </w:rPr>
        <w:t>(476C), plus any subsequent amendments to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commission’s determination approving the facility as eligible for tax credits under rule </w:t>
      </w:r>
      <w:hyperlink r:id="rId57">
        <w:r>
          <w:rPr>
            <w:rStyle w:val="Hyperlink"/>
            <w:rFonts w:ascii="Times New Roman" w:hAnsi="Times New Roman"/>
            <w:b w:val="false"/>
            <w:i w:val="false"/>
            <w:color w:val="000000"/>
            <w:sz w:val="22"/>
          </w:rPr>
          <w:t>199—15.12</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attesting that the owners have not received wind energy tax credits for the facility under Iowa Code chapter </w:t>
      </w:r>
      <w:hyperlink r:id="rId58">
        <w:r>
          <w:rPr>
            <w:rStyle w:val="Hyperlink"/>
            <w:rFonts w:ascii="Times New Roman" w:hAnsi="Times New Roman"/>
            <w:b w:val="false"/>
            <w:i w:val="false"/>
            <w:color w:val="000000"/>
            <w:sz w:val="22"/>
          </w:rPr>
          <w:t>476B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renewable energy sold, a copy of the power purchase agreement or other agreement to purchase from the facility electricity, hydrogen fuel, methane or other biogas, or heat for a commercial purpose. The agreement shall designate whether the producer or purchaser of renewable energy will be eligible to apply for the tax credits and shall be consistent with the designation originally filed under paragraph </w:t>
      </w:r>
      <w:hyperlink r:id="rId59">
        <w:r>
          <w:rPr>
            <w:rStyle w:val="Hyperlink"/>
            <w:rFonts w:ascii="Times New Roman" w:hAnsi="Times New Roman"/>
            <w:b w:val="false"/>
            <w:i w:val="false"/>
            <w:color w:val="000000"/>
            <w:sz w:val="22"/>
          </w:rPr>
          <w:t>15.12(1)</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any renewable energy sold, the owners must provide a statement attesting that the electricity, hydrogen fuel, methane or other biogas, or heat for a commercial purpose, for which tax credits are sought, has been generated by the eligible facility and sold to an unrelated purchaser. For purposes of the renewable energy tax credits, persons are related to each other if either person owns an 80 percent or more equity interest in the other person. For any renewable energy used for on-site consumption, the owners must provide a signed statement attesting under penalty of perjury that the claimed amount of electricity, hydrogen fuel, methane or other biogas, or heat for a commercial purpose, for which tax credits are sought, has been generated by the eligible facility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that the eligible facility was placed in service (that is, between July 1, 2005, and January 1,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number of kWh of electricity, standard cubic feet of hydrogen fuel, Btu of methane gas or other biogas used to generate electricity, or Btu of heat for a commercial purpose generated by the eligible facility during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any renewable energy sold, invoices or other information that documents the number of kWh of electricity, standard cubic feet of hydrogen fuel, Btu of methane gas or other biogas used to generate electricity, or Btu of heat for a commercial purpose generated by the eligible facility and sold to an unrelated purchaser during the tax year. For any renewable energy used for on-site consumption, the number of kWh of electricity, standard cubic feet of hydrogen fuel, Btu of methane gas or other biogas used to generate electricity, or Btu of heat for a commercial purpose generated by the eligible facility during the tax year and not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facility owners or designated eligible purchaser, including the name, address, and tax identification number of each owner or purchaser. If the application is filed by the facility owners, this shall also include the percentage of equity interest held by each owner during the period for which renewable energy tax credits will be sought under Iowa Code chapter </w:t>
      </w:r>
      <w:hyperlink r:id="rId60">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This information shall be consistent with ownership information provided in the original application for facility eligibility, as amended, under rule </w:t>
      </w:r>
      <w:hyperlink r:id="rId61">
        <w:r>
          <w:rPr>
            <w:rStyle w:val="Hyperlink"/>
            <w:rFonts w:ascii="Times New Roman" w:hAnsi="Times New Roman"/>
            <w:b w:val="false"/>
            <w:i w:val="false"/>
            <w:color w:val="000000"/>
            <w:sz w:val="22"/>
          </w:rPr>
          <w:t>199—15.12</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type of tax for which the credits will be applied and the first tax year in which the credits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any applicants that are eligible to receive renewable electricity production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effective August 16, 2022. This identification should include a statement from the applicant attesting to the applicant’s eligibility and any available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of the applicants is a partnership, limited liability company, S corporation, estate, trust, or any other reporting entity all of whose income is taxed directly to its equity holders or beneficiaries for taxes imposed under Iowa Code chapter </w:t>
      </w:r>
      <w:hyperlink r:id="rId62">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Division II or III, the applicant shall provide the partners, members, shareholders, or beneficiaries of the entity. The applicants shall include the name, address, tax identification number, and pro-rata share of earnings from the entity for each of the partners, members, shareholders, or beneficiaries of the entity. The renewable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If the entity is also eligible to receive renewable electricity production credits authorized under </w:t>
      </w:r>
      <w:r>
        <w:rPr>
          <w:rFonts w:ascii="Times New Roman" w:hAnsi="Times New Roman"/>
          <w:b w:val="false"/>
          <w:i w:val="false"/>
          <w:color w:val="000000"/>
          <w:sz w:val="22"/>
        </w:rPr>
        <w:t>Section 45 of the Internal Revenue Code</w:t>
      </w:r>
      <w:r>
        <w:rPr>
          <w:rFonts w:ascii="Times New Roman" w:hAnsi="Times New Roman"/>
          <w:b w:val="false"/>
          <w:i w:val="false"/>
          <w:color w:val="000000"/>
          <w:sz w:val="22"/>
        </w:rPr>
        <w:t xml:space="preserve">, effective August 16, 2022, the entity may designate specific partners if the business is a partnership, shareholders if the business is an S corporation, or members if the business is a limited liability company to receive the renewable energy tax credits issued under Iowa Code chapter </w:t>
      </w:r>
      <w:hyperlink r:id="rId63">
        <w:r>
          <w:rPr>
            <w:rStyle w:val="Hyperlink"/>
            <w:rFonts w:ascii="Times New Roman" w:hAnsi="Times New Roman"/>
            <w:b w:val="false"/>
            <w:i w:val="false"/>
            <w:color w:val="000000"/>
            <w:sz w:val="22"/>
          </w:rPr>
          <w:t>476C</w:t>
        </w:r>
      </w:hyperlink>
      <w:r>
        <w:rPr>
          <w:rFonts w:ascii="Times New Roman" w:hAnsi="Times New Roman"/>
          <w:b w:val="false"/>
          <w:i w:val="false"/>
          <w:color w:val="000000"/>
          <w:sz w:val="22"/>
        </w:rPr>
        <w:t xml:space="preserve"> and the percentage allocable to each. Such an entity may also designate a percentage of the tax credits allocable to an equity holder or beneficiary as a liquidating distribution or portion thereof of a holder or beneficiary’s interest in the applicant entity. Otherwise, in the absence of such designations, the renewable energy tax credits will flow through to the entity’s partners, shareholders, or members in accordance with their pro-rata share of earnings from the entity.</w:t>
      </w:r>
    </w:p>
    <w:p>
      <w:pPr>
        <w:spacing w:before="0" w:after="0"/>
        <w:ind w:left="120"/>
        <w:jc w:val="both"/>
      </w:pPr>
      <w:r>
        <w:rPr>
          <w:rFonts w:ascii="Times New Roman" w:hAnsi="Times New Roman"/>
          <w:b w:val="false"/>
          <w:i w:val="false"/>
          <w:color w:val="000000"/>
          <w:sz w:val="22"/>
        </w:rPr>
        <w:t xml:space="preserve">Alternatively, the tax credits will be issued directly to the entity if the entity is a partnership, limited liability company, S corporation, estate, trust, or any other reporting entity, all of whose income is taxed directly to its equity holders or beneficiaries for taxes imposed under Iowa Code chapter </w:t>
      </w:r>
      <w:hyperlink r:id="rId6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V, or under Iowa Code chapter </w:t>
      </w:r>
      <w:hyperlink r:id="rId6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437A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forward the tax credit applications to the department of revenue for review and processing. Along with each forwarded application, the commission will provide staff analysis and opinion regarding: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completeness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facility’s eligibility status under rule </w:t>
      </w:r>
      <w:hyperlink r:id="rId68">
        <w:r>
          <w:rPr>
            <w:rStyle w:val="Hyperlink"/>
            <w:rFonts w:ascii="Times New Roman" w:hAnsi="Times New Roman"/>
            <w:b w:val="false"/>
            <w:i w:val="false"/>
            <w:color w:val="000000"/>
            <w:sz w:val="22"/>
          </w:rPr>
          <w:t>199—15.12</w:t>
        </w:r>
      </w:hyperlink>
      <w:r>
        <w:rPr>
          <w:rFonts w:ascii="Times New Roman" w:hAnsi="Times New Roman"/>
          <w:b w:val="false"/>
          <w:i w:val="false"/>
          <w:color w:val="000000"/>
          <w:sz w:val="22"/>
        </w:rPr>
        <w:t>(476C).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reported kWh of electricity, standard cubic feet of hydrogen fuel, Btu of methane gas or other biogas used to generate electricity, or Btu of heat for a commercial purpose generated by the facility and sold or used by the owners for on-site consumption during the tax year seem accurate and eligible for renewable energy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color w:val="000000"/>
          <w:sz w:val="22"/>
        </w:rPr>
        <w:t xml:space="preserve">Review process and computation of renewable energy tax credits. </w:t>
      </w:r>
      <w:r>
        <w:rPr>
          <w:rFonts w:ascii="Times New Roman" w:hAnsi="Times New Roman"/>
          <w:b w:val="false"/>
          <w:i w:val="false"/>
          <w:color w:val="000000"/>
          <w:sz w:val="22"/>
        </w:rPr>
        <w:t xml:space="preserve">The department of revenue will review the applications and opinions forwarded by the commission, calculate the tax credits, and issue renewable energy tax credit certificates to the facility owners or designated purchaser, in accordance with department of revenue requirements and procedures under the department of revenue’s rules for “renewable energy tax credit” in </w:t>
      </w:r>
      <w:hyperlink r:id="rId69">
        <w:r>
          <w:rPr>
            <w:rStyle w:val="Hyperlink"/>
            <w:rFonts w:ascii="Times New Roman" w:hAnsi="Times New Roman"/>
            <w:b w:val="false"/>
            <w:i w:val="false"/>
            <w:color w:val="000000"/>
            <w:sz w:val="22"/>
          </w:rPr>
          <w:t>701—Chapter 304</w:t>
        </w:r>
      </w:hyperlink>
      <w:r>
        <w:rPr>
          <w:rFonts w:ascii="Times New Roman" w:hAnsi="Times New Roman"/>
          <w:b w:val="false"/>
          <w:i w:val="false"/>
          <w:color w:val="000000"/>
          <w:sz w:val="22"/>
        </w:rPr>
        <w:t xml:space="preserve">, “renewable energy tax credit” in </w:t>
      </w:r>
      <w:hyperlink r:id="rId70">
        <w:r>
          <w:rPr>
            <w:rStyle w:val="Hyperlink"/>
            <w:rFonts w:ascii="Times New Roman" w:hAnsi="Times New Roman"/>
            <w:b w:val="false"/>
            <w:i w:val="false"/>
            <w:color w:val="000000"/>
            <w:sz w:val="22"/>
          </w:rPr>
          <w:t>701—Chapter 501</w:t>
        </w:r>
      </w:hyperlink>
      <w:r>
        <w:rPr>
          <w:rFonts w:ascii="Times New Roman" w:hAnsi="Times New Roman"/>
          <w:b w:val="false"/>
          <w:i w:val="false"/>
          <w:color w:val="000000"/>
          <w:sz w:val="22"/>
        </w:rPr>
        <w:t xml:space="preserve">, and “renewable energy tax credit” in </w:t>
      </w:r>
      <w:hyperlink r:id="rId71">
        <w:r>
          <w:rPr>
            <w:rStyle w:val="Hyperlink"/>
            <w:rFonts w:ascii="Times New Roman" w:hAnsi="Times New Roman"/>
            <w:b w:val="false"/>
            <w:i w:val="false"/>
            <w:color w:val="000000"/>
            <w:sz w:val="22"/>
          </w:rPr>
          <w:t>701—Chapter 601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199—15.14</w:t>
      </w:r>
      <w:r>
        <w:rPr>
          <w:rFonts w:ascii="Times New Roman" w:hAnsi="Times New Roman"/>
          <w:b/>
          <w:i w:val="false"/>
          <w:color w:val="000000"/>
          <w:sz w:val="22"/>
        </w:rPr>
        <w:t xml:space="preserve">(476) </w:t>
      </w:r>
      <w:r>
        <w:rPr>
          <w:rFonts w:ascii="Times New Roman" w:hAnsi="Times New Roman"/>
          <w:b/>
          <w:i w:val="false"/>
          <w:color w:val="000000"/>
          <w:sz w:val="22"/>
        </w:rPr>
        <w:t xml:space="preserve">Small wind innovation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interconnection agreement” </w:t>
      </w:r>
      <w:r>
        <w:rPr>
          <w:rFonts w:ascii="Times New Roman" w:hAnsi="Times New Roman"/>
          <w:b w:val="false"/>
          <w:i w:val="false"/>
          <w:color w:val="000000"/>
          <w:sz w:val="22"/>
        </w:rPr>
        <w:t xml:space="preserve">means the applicable standard interconnection agreement under </w:t>
      </w:r>
      <w:hyperlink r:id="rId72">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“Model ordinance” </w:t>
      </w:r>
      <w:r>
        <w:rPr>
          <w:rFonts w:ascii="Times New Roman" w:hAnsi="Times New Roman"/>
          <w:b w:val="false"/>
          <w:i w:val="false"/>
          <w:color w:val="000000"/>
          <w:sz w:val="22"/>
        </w:rPr>
        <w:t xml:space="preserve">means the model ordinance developed pursuant to Iowa Code section </w:t>
      </w:r>
      <w:hyperlink r:id="rId73">
        <w:r>
          <w:rPr>
            <w:rStyle w:val="Hyperlink"/>
            <w:rFonts w:ascii="Times New Roman" w:hAnsi="Times New Roman"/>
            <w:b w:val="false"/>
            <w:i w:val="false"/>
            <w:color w:val="000000"/>
            <w:sz w:val="22"/>
          </w:rPr>
          <w:t>476.48(3)</w:t>
        </w:r>
      </w:hyperlink>
      <w:r>
        <w:rPr>
          <w:rFonts w:ascii="Times New Roman" w:hAnsi="Times New Roman"/>
          <w:b w:val="false"/>
          <w:i w:val="false"/>
          <w:color w:val="000000"/>
          <w:sz w:val="22"/>
        </w:rPr>
        <w:t xml:space="preserve">, which when adopted will be posted on the websites of the Iowa League of Cities at </w:t>
      </w:r>
      <w:hyperlink r:id="rId74">
        <w:r>
          <w:rPr>
            <w:rStyle w:val="Hyperlink"/>
            <w:rFonts w:ascii="Times New Roman" w:hAnsi="Times New Roman"/>
            <w:b w:val="false"/>
            <w:i w:val="false"/>
            <w:color w:val="000000"/>
            <w:sz w:val="22"/>
            <w:u w:val="single"/>
          </w:rPr>
          <w:t>www.iowaleague.org</w:t>
        </w:r>
      </w:hyperlink>
      <w:r>
        <w:rPr>
          <w:rFonts w:ascii="Times New Roman" w:hAnsi="Times New Roman"/>
          <w:b w:val="false"/>
          <w:i w:val="false"/>
          <w:color w:val="000000"/>
          <w:sz w:val="22"/>
        </w:rPr>
        <w:t xml:space="preserve"> and the Iowa State Association of Counties at </w:t>
      </w:r>
      <w:hyperlink r:id="rId75">
        <w:r>
          <w:rPr>
            <w:rStyle w:val="Hyperlink"/>
            <w:rFonts w:ascii="Times New Roman" w:hAnsi="Times New Roman"/>
            <w:b w:val="false"/>
            <w:i w:val="false"/>
            <w:color w:val="000000"/>
            <w:sz w:val="22"/>
            <w:u w:val="single"/>
          </w:rPr>
          <w:t>www.iowacounties.org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small wind innovation zone designation. </w:t>
      </w:r>
      <w:r>
        <w:rPr>
          <w:rFonts w:ascii="Times New Roman" w:hAnsi="Times New Roman"/>
          <w:b w:val="false"/>
          <w:i w:val="false"/>
          <w:color w:val="000000"/>
          <w:sz w:val="22"/>
        </w:rPr>
        <w:t xml:space="preserve">A political subdivision of this state, including but not limited to a city, county, township, school district, community college, area education agency, institution under the control of the state board of regents, or any other local commission, association, or tribal council, may apply to the commission for designation as a small wind innovation zone under Iowa Code section </w:t>
      </w:r>
      <w:hyperlink r:id="rId76">
        <w:r>
          <w:rPr>
            <w:rStyle w:val="Hyperlink"/>
            <w:rFonts w:ascii="Times New Roman" w:hAnsi="Times New Roman"/>
            <w:b w:val="false"/>
            <w:i w:val="false"/>
            <w:color w:val="000000"/>
            <w:sz w:val="22"/>
          </w:rPr>
          <w:t>476.48</w:t>
        </w:r>
      </w:hyperlink>
      <w:r>
        <w:rPr>
          <w:rFonts w:ascii="Times New Roman" w:hAnsi="Times New Roman"/>
          <w:b w:val="false"/>
          <w:i w:val="false"/>
          <w:color w:val="000000"/>
          <w:sz w:val="22"/>
        </w:rPr>
        <w:t>. The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location, description, and legal boundary of the political subdivision seeking designation as a small wind innovation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applicant filing on behalf of the political subdivision, including legal name, address, telephone number, and, as applicable, facsimile transmission number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political subdivision is other than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local government (or governments) that encompasses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Confirmation that all identified local governments have either adopted or are about to adopt the model ordinance, including copies of model ordinances adopted by the local governments or copies of pending amendments to existing zoning ordinances intended to comply with the model ordinance;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the model ordinances were adopted or anticipated dates of adoption of pending amendments to existing zoning ordinances intended to comply with the model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political subdivision is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model ordinance adopted by the local government or copy of a pending amendment to an existing zoning ordinance intended to comply with the model ordinance;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the model ordinance was adopted or anticipated date of adoption of the pending amendment to an existing zoning ordinance intended to comply with the model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the electric utilities that provide service within the political subdivision;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from each electric utility that provides service within the political subdivision confirming that the electric utility is serving the political subdivision and that the utility is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subject to the provisions of </w:t>
      </w:r>
      <w:hyperlink r:id="rId77">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not subject to the provisions of </w:t>
      </w:r>
      <w:hyperlink r:id="rId78">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but which nonetheless agrees to use the standard forms, procedures, and standard interconnection agreements of </w:t>
      </w:r>
      <w:hyperlink r:id="rId79">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for small wind energy systems in its service territory within the political subdivision;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that is not subject to the provisions of </w:t>
      </w:r>
      <w:hyperlink r:id="rId80">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has not adopted them.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Electric utilities shall provide political subdivisions the documentation required in paragraph </w:t>
      </w:r>
      <w:hyperlink r:id="rId81">
        <w:r>
          <w:rPr>
            <w:rStyle w:val="Hyperlink"/>
            <w:rFonts w:ascii="Times New Roman" w:hAnsi="Times New Roman"/>
            <w:b w:val="false"/>
            <w:i w:val="false"/>
            <w:color w:val="000000"/>
            <w:sz w:val="22"/>
          </w:rPr>
          <w:t>15.14(2)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15.14(3)</w:t>
      </w:r>
      <w:r>
        <w:rPr>
          <w:rFonts w:ascii="Times New Roman" w:hAnsi="Times New Roman"/>
          <w:b w:val="false"/>
          <w:i w:val="false"/>
          <w:color w:val="000000"/>
          <w:sz w:val="22"/>
        </w:rPr>
        <w:t> </w:t>
      </w:r>
      <w:r>
        <w:rPr>
          <w:rFonts w:ascii="Times New Roman" w:hAnsi="Times New Roman"/>
          <w:b w:val="false"/>
          <w:i/>
          <w:color w:val="000000"/>
          <w:sz w:val="22"/>
        </w:rPr>
        <w:t xml:space="preserve">Motion for modification of a model interconnection agreement in a small wind innovation zone. </w:t>
      </w:r>
      <w:r>
        <w:rPr>
          <w:rFonts w:ascii="Times New Roman" w:hAnsi="Times New Roman"/>
          <w:b w:val="false"/>
          <w:i w:val="false"/>
          <w:color w:val="000000"/>
          <w:sz w:val="22"/>
        </w:rPr>
        <w:t xml:space="preserve">An electric utility that uses the standard interconnection agreements in </w:t>
      </w:r>
      <w:hyperlink r:id="rId82">
        <w:r>
          <w:rPr>
            <w:rStyle w:val="Hyperlink"/>
            <w:rFonts w:ascii="Times New Roman" w:hAnsi="Times New Roman"/>
            <w:b w:val="false"/>
            <w:i w:val="false"/>
            <w:color w:val="000000"/>
            <w:sz w:val="22"/>
          </w:rPr>
          <w:t>199—Chapter 45</w:t>
        </w:r>
      </w:hyperlink>
      <w:r>
        <w:rPr>
          <w:rFonts w:ascii="Times New Roman" w:hAnsi="Times New Roman"/>
          <w:b w:val="false"/>
          <w:i w:val="false"/>
          <w:color w:val="000000"/>
          <w:sz w:val="22"/>
        </w:rPr>
        <w:t xml:space="preserve"> and the owner of a small wind energy system in a small wind innovation zone may jointly seek to modify the electric utility’s and the owner’s version of the model interconnection agreement by jointly filing a motion for commission approval. The motion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location, and description of the political subdivision designated as a small wind innovation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interconnecting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 of the small wind energy system, including legal name, address, telephone number, and, as applicable, facsimile transmission number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small wind energy system, including location and nameplate generating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modified interconnection agreement clearly identifying the proposed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reasons and circumstances that require the modifications;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Signed statements from the electric utility and the owner of the small wind energy system attesting that the proposed modifications to the interconnection agreement are mutually agreeable.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3">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476.41</w:t>
        </w:r>
      </w:hyperlink>
      <w:r>
        <w:rPr>
          <w:rFonts w:ascii="Times New Roman" w:hAnsi="Times New Roman"/>
          <w:b w:val="false"/>
          <w:i w:val="false"/>
          <w:color w:val="000000"/>
          <w:sz w:val="22"/>
        </w:rPr>
        <w:t xml:space="preserve"> through </w:t>
      </w:r>
      <w:hyperlink r:id="rId86">
        <w:r>
          <w:rPr>
            <w:rStyle w:val="Hyperlink"/>
            <w:rFonts w:ascii="Times New Roman" w:hAnsi="Times New Roman"/>
            <w:b w:val="false"/>
            <w:i w:val="false"/>
            <w:color w:val="000000"/>
            <w:sz w:val="22"/>
          </w:rPr>
          <w:t>476.45</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476.48</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476.58</w:t>
        </w:r>
      </w:hyperlink>
      <w:r>
        <w:rPr>
          <w:rFonts w:ascii="Times New Roman" w:hAnsi="Times New Roman"/>
          <w:b w:val="false"/>
          <w:i w:val="false"/>
          <w:color w:val="000000"/>
          <w:sz w:val="22"/>
        </w:rPr>
        <w:t xml:space="preserve">; Section 210 of the Public Utility Regulatory Policies Act of 1978; and </w:t>
      </w:r>
      <w:r>
        <w:rPr>
          <w:rFonts w:ascii="Times New Roman" w:hAnsi="Times New Roman"/>
          <w:b w:val="false"/>
          <w:i w:val="false"/>
          <w:color w:val="000000"/>
          <w:sz w:val="22"/>
        </w:rPr>
        <w:t>18 CFR Part 292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3/26/81, Notice 10/29/80—published 4/15/81, effective 5/20/81]</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7/27/84, Notice 4/25/84—published 8/15/84, effective 9/19/84]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emergency 9/4/87—published 9/23/87, effective 9/4/87]</w:t>
      </w:r>
    </w:p>
    <w:p>
      <w:pPr>
        <w:spacing w:before="0" w:after="0"/>
        <w:ind w:left="120"/>
        <w:jc w:val="center"/>
      </w:pPr>
      <w:r>
        <w:rPr>
          <w:rFonts w:ascii="Times New Roman" w:hAnsi="Times New Roman"/>
          <w:b w:val="false"/>
          <w:i w:val="false"/>
          <w:color w:val="000000"/>
          <w:sz w:val="21"/>
        </w:rPr>
        <w:t>[Filed 4/25/91, Notice 12/26/90—published 5/15/91, effective 6/19/91]</w:t>
      </w:r>
    </w:p>
    <w:p>
      <w:pPr>
        <w:spacing w:before="0" w:after="0"/>
        <w:ind w:left="120"/>
        <w:jc w:val="center"/>
      </w:pPr>
      <w:r>
        <w:rPr>
          <w:rFonts w:ascii="Times New Roman" w:hAnsi="Times New Roman"/>
          <w:b w:val="false"/>
          <w:i w:val="false"/>
          <w:color w:val="000000"/>
          <w:sz w:val="21"/>
        </w:rPr>
        <w:t>[Filed 6/4/93, Notice 1/20/93—published 6/23/93, effective 7/28/93]</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10/12/00, Notice 8/23/00—published 11/1/00, effective 12/6/00]</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7/3/03, Notice 3/5/03—published 7/23/03, effective 8/27/03]</w:t>
      </w:r>
    </w:p>
    <w:p>
      <w:pPr>
        <w:spacing w:before="0" w:after="0"/>
        <w:ind w:left="120"/>
        <w:jc w:val="center"/>
      </w:pPr>
      <w:r>
        <w:rPr>
          <w:rFonts w:ascii="Times New Roman" w:hAnsi="Times New Roman"/>
          <w:b w:val="false"/>
          <w:i w:val="false"/>
          <w:color w:val="000000"/>
          <w:sz w:val="21"/>
        </w:rPr>
        <w:t>[Filed 8/29/03, Notice 5/14/03—published 9/17/03, effective 10/22/02]</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emergency 6/20/05—published 7/20/05, effective 6/20/05]</w:t>
      </w:r>
    </w:p>
    <w:p>
      <w:pPr>
        <w:spacing w:before="0" w:after="0"/>
        <w:ind w:left="120"/>
        <w:jc w:val="center"/>
      </w:pPr>
      <w:r>
        <w:rPr>
          <w:rFonts w:ascii="Times New Roman" w:hAnsi="Times New Roman"/>
          <w:b w:val="false"/>
          <w:i w:val="false"/>
          <w:color w:val="000000"/>
          <w:sz w:val="21"/>
        </w:rPr>
        <w:t>[Filed 1/26/06, Notice 7/20/05—published 2/15/06, effective 3/22/06]</w:t>
      </w:r>
    </w:p>
    <w:p>
      <w:pPr>
        <w:spacing w:before="0" w:after="0"/>
        <w:ind w:left="120"/>
        <w:jc w:val="center"/>
      </w:pPr>
      <w:r>
        <w:rPr>
          <w:rFonts w:ascii="Times New Roman" w:hAnsi="Times New Roman"/>
          <w:b w:val="false"/>
          <w:i w:val="false"/>
          <w:color w:val="000000"/>
          <w:sz w:val="21"/>
        </w:rPr>
        <w:t>[Filed 11/28/06, Notice 9/27/06—published 12/20/06, effective 1/24/07]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8060B</w:t>
      </w:r>
      <w:r>
        <w:rPr>
          <w:rFonts w:ascii="Times New Roman" w:hAnsi="Times New Roman"/>
          <w:b w:val="false"/>
          <w:i w:val="false"/>
          <w:color w:val="000000"/>
          <w:sz w:val="21"/>
        </w:rPr>
        <w:t xml:space="preserve"> (Notice ARC 7849B, IAB 6/17/09)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8859B</w:t>
      </w:r>
      <w:r>
        <w:rPr>
          <w:rFonts w:ascii="Times New Roman" w:hAnsi="Times New Roman"/>
          <w:b w:val="false"/>
          <w:i w:val="false"/>
          <w:color w:val="000000"/>
          <w:sz w:val="21"/>
        </w:rPr>
        <w:t xml:space="preserve"> (Notice ARC 8201B, IAB 10/7/09)</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8949B</w:t>
      </w:r>
      <w:r>
        <w:rPr>
          <w:rFonts w:ascii="Times New Roman" w:hAnsi="Times New Roman"/>
          <w:b w:val="false"/>
          <w:i w:val="false"/>
          <w:color w:val="000000"/>
          <w:sz w:val="21"/>
        </w:rPr>
        <w:t xml:space="preserve"> (Notice ARC 8335B, IAB 12/2/09)</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9752B</w:t>
      </w:r>
      <w:r>
        <w:rPr>
          <w:rFonts w:ascii="Times New Roman" w:hAnsi="Times New Roman"/>
          <w:b w:val="false"/>
          <w:i w:val="false"/>
          <w:color w:val="000000"/>
          <w:sz w:val="21"/>
        </w:rPr>
        <w:t xml:space="preserve"> (Notice ARC 9609B, IAB 7/13/11)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0781C</w:t>
      </w:r>
      <w:r>
        <w:rPr>
          <w:rFonts w:ascii="Times New Roman" w:hAnsi="Times New Roman"/>
          <w:b w:val="false"/>
          <w:i w:val="false"/>
          <w:color w:val="000000"/>
          <w:sz w:val="21"/>
        </w:rPr>
        <w:t xml:space="preserve"> (Notice ARC 0455C, IAB 11/14/12)</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1716C</w:t>
      </w:r>
      <w:r>
        <w:rPr>
          <w:rFonts w:ascii="Times New Roman" w:hAnsi="Times New Roman"/>
          <w:b w:val="false"/>
          <w:i w:val="false"/>
          <w:color w:val="000000"/>
          <w:sz w:val="21"/>
        </w:rPr>
        <w:t xml:space="preserve"> (Notice ARC 1600C,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2244C</w:t>
      </w:r>
      <w:r>
        <w:rPr>
          <w:rFonts w:ascii="Times New Roman" w:hAnsi="Times New Roman"/>
          <w:b w:val="false"/>
          <w:i w:val="false"/>
          <w:color w:val="000000"/>
          <w:sz w:val="21"/>
        </w:rPr>
        <w:t xml:space="preserve"> (Notice ARC 2116C, IAB 9/2/15)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3694C</w:t>
      </w:r>
      <w:r>
        <w:rPr>
          <w:rFonts w:ascii="Times New Roman" w:hAnsi="Times New Roman"/>
          <w:b w:val="false"/>
          <w:i w:val="false"/>
          <w:color w:val="000000"/>
          <w:sz w:val="21"/>
        </w:rPr>
        <w:t xml:space="preserve"> (Notice ARC 3538C,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9349C</w:t>
      </w:r>
      <w:r>
        <w:rPr>
          <w:rFonts w:ascii="Times New Roman" w:hAnsi="Times New Roman"/>
          <w:b w:val="false"/>
          <w:i w:val="false"/>
          <w:color w:val="000000"/>
          <w:sz w:val="21"/>
        </w:rPr>
        <w:t xml:space="preserve"> (Notice ARC 8797C, IAB 1/22/25)</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9.15.4.pdf" Type="http://schemas.openxmlformats.org/officeDocument/2006/relationships/hyperlink" Id="rId5"/>
    <Relationship TargetMode="External" Target="https://www.legis.iowa.gov/docs/iac/chapter/199.45.pdf" Type="http://schemas.openxmlformats.org/officeDocument/2006/relationships/hyperlink" Id="rId6"/>
    <Relationship TargetMode="External" Target="https://www.legis.iowa.gov/docs/iac/rule/199.15.5.pdf" Type="http://schemas.openxmlformats.org/officeDocument/2006/relationships/hyperlink" Id="rId7"/>
    <Relationship TargetMode="External" Target="https://www.legis.iowa.gov/docs/iac/rule/199.15.5.pdf" Type="http://schemas.openxmlformats.org/officeDocument/2006/relationships/hyperlink" Id="rId8"/>
    <Relationship TargetMode="External" Target="https://www.legis.iowa.gov/docs/iac/rule/199.15.5.pdf" Type="http://schemas.openxmlformats.org/officeDocument/2006/relationships/hyperlink" Id="rId9"/>
    <Relationship TargetMode="External" Target="https://www.legis.iowa.gov/docs/iac/rule/199.1.3.pdf" Type="http://schemas.openxmlformats.org/officeDocument/2006/relationships/hyperlink" Id="rId10"/>
    <Relationship TargetMode="External" Target="https://www.legis.iowa.gov/docs/iac/chapter/199.25.pdf" Type="http://schemas.openxmlformats.org/officeDocument/2006/relationships/hyperlink" Id="rId11"/>
    <Relationship TargetMode="External" Target="https://www.legis.iowa.gov/docs/iac/rule/199.15.9.pdf" Type="http://schemas.openxmlformats.org/officeDocument/2006/relationships/hyperlink" Id="rId12"/>
    <Relationship TargetMode="External" Target="https://www.legis.iowa.gov/docs/iac/chapter/199.20.pdf" Type="http://schemas.openxmlformats.org/officeDocument/2006/relationships/hyperlink" Id="rId13"/>
    <Relationship TargetMode="External" Target="https://www.legis.iowa.gov/docs/iac/chapter/199.27.pdf" Type="http://schemas.openxmlformats.org/officeDocument/2006/relationships/hyperlink" Id="rId14"/>
    <Relationship TargetMode="External" Target="https://www.legis.iowa.gov/docs/ico/chapter/476.1A.pdf" Type="http://schemas.openxmlformats.org/officeDocument/2006/relationships/hyperlink" Id="rId15"/>
    <Relationship TargetMode="External" Target="https://www.legis.iowa.gov/docs/ico/chapter/476.47.pdf" Type="http://schemas.openxmlformats.org/officeDocument/2006/relationships/hyperlink" Id="rId16"/>
    <Relationship TargetMode="External" Target="https://www.legis.iowa.gov/docs/iac/rule/199.20.9.pdf" Type="http://schemas.openxmlformats.org/officeDocument/2006/relationships/hyperlink" Id="rId17"/>
    <Relationship TargetMode="External" Target="https://www.legis.iowa.gov/docs/ico/chapter/476.47.pdf" Type="http://schemas.openxmlformats.org/officeDocument/2006/relationships/hyperlink" Id="rId18"/>
    <Relationship TargetMode="External" Target="https://www.legis.iowa.gov/docs/iac/rule/199.15.11.pdf" Type="http://schemas.openxmlformats.org/officeDocument/2006/relationships/hyperlink" Id="rId19"/>
    <Relationship TargetMode="External" Target="https://www.legis.iowa.gov/docs/iac/rule/199.15.11.pdf" Type="http://schemas.openxmlformats.org/officeDocument/2006/relationships/hyperlink" Id="rId20"/>
    <Relationship TargetMode="External" Target="https://www.legis.iowa.gov/docs/ico/chapter/476.47.pdf" Type="http://schemas.openxmlformats.org/officeDocument/2006/relationships/hyperlink" Id="rId21"/>
    <Relationship TargetMode="External" Target="https://www.legis.iowa.gov/docs/iac/rule/199.20.9.pdf" Type="http://schemas.openxmlformats.org/officeDocument/2006/relationships/hyperlink" Id="rId22"/>
    <Relationship TargetMode="External" Target="https://www.legis.iowa.gov/docs/iac/rule/199.20.9.pdf" Type="http://schemas.openxmlformats.org/officeDocument/2006/relationships/hyperlink" Id="rId23"/>
    <Relationship TargetMode="External" Target="https://www.legis.iowa.gov/docs/iac/rule/199.20.9.pdf" Type="http://schemas.openxmlformats.org/officeDocument/2006/relationships/hyperlink" Id="rId24"/>
    <Relationship TargetMode="External" Target="https://www.legis.iowa.gov/docs/iac/rule/199.20.9.pdf" Type="http://schemas.openxmlformats.org/officeDocument/2006/relationships/hyperlink" Id="rId25"/>
    <Relationship TargetMode="External" Target="https://www.legis.iowa.gov/docs/iac/rule/199.15.11.pdf" Type="http://schemas.openxmlformats.org/officeDocument/2006/relationships/hyperlink" Id="rId26"/>
    <Relationship TargetMode="External" Target="https://www.legis.iowa.gov/docs/ico/chapter/476.1A.pdf" Type="http://schemas.openxmlformats.org/officeDocument/2006/relationships/hyperlink" Id="rId27"/>
    <Relationship TargetMode="External" Target="https://www.legis.iowa.gov/docs/ico/chapter/476.47.pdf" Type="http://schemas.openxmlformats.org/officeDocument/2006/relationships/hyperlink" Id="rId28"/>
    <Relationship TargetMode="External" Target="https://www.legis.iowa.gov/docs/ico/chapter/476.47.pdf" Type="http://schemas.openxmlformats.org/officeDocument/2006/relationships/hyperlink" Id="rId29"/>
    <Relationship TargetMode="External" Target="https://www.legis.iowa.gov/docs/iac/rule/199.15.11.pdf" Type="http://schemas.openxmlformats.org/officeDocument/2006/relationships/hyperlink" Id="rId30"/>
    <Relationship TargetMode="External" Target="https://www.legis.iowa.gov/docs/iac/rule/199.15.11.pdf" Type="http://schemas.openxmlformats.org/officeDocument/2006/relationships/hyperlink" Id="rId31"/>
    <Relationship TargetMode="External" Target="https://www.legis.iowa.gov/docs/ico/chapter/476C.3.pdf" Type="http://schemas.openxmlformats.org/officeDocument/2006/relationships/hyperlink" Id="rId32"/>
    <Relationship TargetMode="External" Target="https://www.legis.iowa.gov/docs/ico/chapter/476.48.pdf" Type="http://schemas.openxmlformats.org/officeDocument/2006/relationships/hyperlink" Id="rId33"/>
    <Relationship TargetMode="External" Target="https://www.legis.iowa.gov/docs/iac/rule/199.15.14.pdf" Type="http://schemas.openxmlformats.org/officeDocument/2006/relationships/hyperlink" Id="rId34"/>
    <Relationship TargetMode="External" Target="https://www.legis.iowa.gov/docs/ico/chapter/476C.1.pdf" Type="http://schemas.openxmlformats.org/officeDocument/2006/relationships/hyperlink" Id="rId35"/>
    <Relationship TargetMode="External" Target="https://www.legis.iowa.gov/docs/ico/chapter/476C.1.pdf" Type="http://schemas.openxmlformats.org/officeDocument/2006/relationships/hyperlink" Id="rId36"/>
    <Relationship TargetMode="External" Target="https://www.legis.iowa.gov/docs/ico/chapter/476C.1.pdf" Type="http://schemas.openxmlformats.org/officeDocument/2006/relationships/hyperlink" Id="rId37"/>
    <Relationship TargetMode="External" Target="https://www.legis.iowa.gov/docs/ico/chapter/476C.1.pdf" Type="http://schemas.openxmlformats.org/officeDocument/2006/relationships/hyperlink" Id="rId38"/>
    <Relationship TargetMode="External" Target="https://www.legis.iowa.gov/docs/ico/chapter/476C.1.pdf" Type="http://schemas.openxmlformats.org/officeDocument/2006/relationships/hyperlink" Id="rId39"/>
    <Relationship TargetMode="External" Target="https://www.legis.iowa.gov/docs/ico/chapter/476C.1.pdf" Type="http://schemas.openxmlformats.org/officeDocument/2006/relationships/hyperlink" Id="rId40"/>
    <Relationship TargetMode="External" Target="https://www.legis.iowa.gov/docs/ico/chapter/476C.pdf" Type="http://schemas.openxmlformats.org/officeDocument/2006/relationships/hyperlink" Id="rId41"/>
    <Relationship TargetMode="External" Target="https://www.legis.iowa.gov/docs/ico/chapter/476C.pdf" Type="http://schemas.openxmlformats.org/officeDocument/2006/relationships/hyperlink" Id="rId42"/>
    <Relationship TargetMode="External" Target="https://www.legis.iowa.gov/docs/ico/chapter/476C.1.pdf" Type="http://schemas.openxmlformats.org/officeDocument/2006/relationships/hyperlink" Id="rId43"/>
    <Relationship TargetMode="External" Target="https://www.legis.iowa.gov/docs/ico/chapter/476C.pdf" Type="http://schemas.openxmlformats.org/officeDocument/2006/relationships/hyperlink" Id="rId44"/>
    <Relationship TargetMode="External" Target="https://www.legis.iowa.gov/docs/ico/chapter/476C.pdf" Type="http://schemas.openxmlformats.org/officeDocument/2006/relationships/hyperlink" Id="rId45"/>
    <Relationship TargetMode="External" Target="https://www.legis.iowa.gov/docs/ico/chapter/476C.3.pdf" Type="http://schemas.openxmlformats.org/officeDocument/2006/relationships/hyperlink" Id="rId46"/>
    <Relationship TargetMode="External" Target="https://www.legis.iowa.gov/docs/iac/rule/199.15.12.pdf" Type="http://schemas.openxmlformats.org/officeDocument/2006/relationships/hyperlink" Id="rId47"/>
    <Relationship TargetMode="External" Target="https://www.legis.iowa.gov/docs/ico/chapter/476C.3.pdf" Type="http://schemas.openxmlformats.org/officeDocument/2006/relationships/hyperlink" Id="rId48"/>
    <Relationship TargetMode="External" Target="https://www.legis.iowa.gov/docs/iac/rule/199.15.12.pdf" Type="http://schemas.openxmlformats.org/officeDocument/2006/relationships/hyperlink" Id="rId49"/>
    <Relationship TargetMode="External" Target="https://www.legis.iowa.gov/docs/iac/rule/199.15.12.pdf" Type="http://schemas.openxmlformats.org/officeDocument/2006/relationships/hyperlink" Id="rId50"/>
    <Relationship TargetMode="External" Target="https://www.legis.iowa.gov/docs/ico/chapter/476C.pdf" Type="http://schemas.openxmlformats.org/officeDocument/2006/relationships/hyperlink" Id="rId51"/>
    <Relationship TargetMode="External" Target="https://www.legis.iowa.gov/docs/iac/rule/199.15.12.pdf" Type="http://schemas.openxmlformats.org/officeDocument/2006/relationships/hyperlink" Id="rId52"/>
    <Relationship TargetMode="External" Target="https://www.legis.iowa.gov/docs/iac/rule/199.15.12.pdf" Type="http://schemas.openxmlformats.org/officeDocument/2006/relationships/hyperlink" Id="rId53"/>
    <Relationship TargetMode="External" Target="http://govconnect.iowa.gov" Type="http://schemas.openxmlformats.org/officeDocument/2006/relationships/hyperlink" Id="rId54"/>
    <Relationship TargetMode="External" Target="https://www.legis.iowa.gov/docs/iac/rule/199.15.12.pdf" Type="http://schemas.openxmlformats.org/officeDocument/2006/relationships/hyperlink" Id="rId55"/>
    <Relationship TargetMode="External" Target="https://www.legis.iowa.gov/docs/iac/rule/199.15.12.pdf" Type="http://schemas.openxmlformats.org/officeDocument/2006/relationships/hyperlink" Id="rId56"/>
    <Relationship TargetMode="External" Target="https://www.legis.iowa.gov/docs/iac/rule/199.15.12.pdf" Type="http://schemas.openxmlformats.org/officeDocument/2006/relationships/hyperlink" Id="rId57"/>
    <Relationship TargetMode="External" Target="https://www.legis.iowa.gov/docs/ico/chapter/476B.pdf" Type="http://schemas.openxmlformats.org/officeDocument/2006/relationships/hyperlink" Id="rId58"/>
    <Relationship TargetMode="External" Target="https://www.legis.iowa.gov/docs/iac/rule/199.15.12.pdf" Type="http://schemas.openxmlformats.org/officeDocument/2006/relationships/hyperlink" Id="rId59"/>
    <Relationship TargetMode="External" Target="https://www.legis.iowa.gov/docs/ico/chapter/476C.pdf" Type="http://schemas.openxmlformats.org/officeDocument/2006/relationships/hyperlink" Id="rId60"/>
    <Relationship TargetMode="External" Target="https://www.legis.iowa.gov/docs/iac/rule/199.15.12.pdf" Type="http://schemas.openxmlformats.org/officeDocument/2006/relationships/hyperlink" Id="rId61"/>
    <Relationship TargetMode="External" Target="https://www.legis.iowa.gov/docs/ico/chapter/422.pdf" Type="http://schemas.openxmlformats.org/officeDocument/2006/relationships/hyperlink" Id="rId62"/>
    <Relationship TargetMode="External" Target="https://www.legis.iowa.gov/docs/ico/chapter/476C.pdf" Type="http://schemas.openxmlformats.org/officeDocument/2006/relationships/hyperlink" Id="rId63"/>
    <Relationship TargetMode="External" Target="https://www.legis.iowa.gov/docs/ico/chapter/422.pdf" Type="http://schemas.openxmlformats.org/officeDocument/2006/relationships/hyperlink" Id="rId64"/>
    <Relationship TargetMode="External" Target="https://www.legis.iowa.gov/docs/ico/chapter/423.pdf" Type="http://schemas.openxmlformats.org/officeDocument/2006/relationships/hyperlink" Id="rId65"/>
    <Relationship TargetMode="External" Target="https://www.legis.iowa.gov/docs/ico/chapter/432.pdf" Type="http://schemas.openxmlformats.org/officeDocument/2006/relationships/hyperlink" Id="rId66"/>
    <Relationship TargetMode="External" Target="https://www.legis.iowa.gov/docs/ico/chapter/437A.pdf" Type="http://schemas.openxmlformats.org/officeDocument/2006/relationships/hyperlink" Id="rId67"/>
    <Relationship TargetMode="External" Target="https://www.legis.iowa.gov/docs/iac/rule/199.15.12.pdf" Type="http://schemas.openxmlformats.org/officeDocument/2006/relationships/hyperlink" Id="rId68"/>
    <Relationship TargetMode="External" Target="https://www.legis.iowa.gov/docs/iac/chapter/701.304.pdf" Type="http://schemas.openxmlformats.org/officeDocument/2006/relationships/hyperlink" Id="rId69"/>
    <Relationship TargetMode="External" Target="https://www.legis.iowa.gov/docs/iac/chapter/701.501.pdf" Type="http://schemas.openxmlformats.org/officeDocument/2006/relationships/hyperlink" Id="rId70"/>
    <Relationship TargetMode="External" Target="https://www.legis.iowa.gov/docs/iac/chapter/701.601.pdf" Type="http://schemas.openxmlformats.org/officeDocument/2006/relationships/hyperlink" Id="rId71"/>
    <Relationship TargetMode="External" Target="https://www.legis.iowa.gov/docs/iac/chapter/199.45.pdf" Type="http://schemas.openxmlformats.org/officeDocument/2006/relationships/hyperlink" Id="rId72"/>
    <Relationship TargetMode="External" Target="https://www.legis.iowa.gov/docs/ico/chapter/476.48.pdf" Type="http://schemas.openxmlformats.org/officeDocument/2006/relationships/hyperlink" Id="rId73"/>
    <Relationship TargetMode="External" Target="http://www.iowaleague.org" Type="http://schemas.openxmlformats.org/officeDocument/2006/relationships/hyperlink" Id="rId74"/>
    <Relationship TargetMode="External" Target="http://www.iowacounties.org" Type="http://schemas.openxmlformats.org/officeDocument/2006/relationships/hyperlink" Id="rId75"/>
    <Relationship TargetMode="External" Target="https://www.legis.iowa.gov/docs/ico/chapter/476.48.pdf" Type="http://schemas.openxmlformats.org/officeDocument/2006/relationships/hyperlink" Id="rId76"/>
    <Relationship TargetMode="External" Target="https://www.legis.iowa.gov/docs/iac/chapter/199.45.pdf" Type="http://schemas.openxmlformats.org/officeDocument/2006/relationships/hyperlink" Id="rId77"/>
    <Relationship TargetMode="External" Target="https://www.legis.iowa.gov/docs/iac/chapter/199.45.pdf" Type="http://schemas.openxmlformats.org/officeDocument/2006/relationships/hyperlink" Id="rId78"/>
    <Relationship TargetMode="External" Target="https://www.legis.iowa.gov/docs/iac/chapter/199.45.pdf" Type="http://schemas.openxmlformats.org/officeDocument/2006/relationships/hyperlink" Id="rId79"/>
    <Relationship TargetMode="External" Target="https://www.legis.iowa.gov/docs/iac/chapter/199.45.pdf" Type="http://schemas.openxmlformats.org/officeDocument/2006/relationships/hyperlink" Id="rId80"/>
    <Relationship TargetMode="External" Target="https://www.legis.iowa.gov/docs/iac/rule/199.15.14.pdf" Type="http://schemas.openxmlformats.org/officeDocument/2006/relationships/hyperlink" Id="rId81"/>
    <Relationship TargetMode="External" Target="https://www.legis.iowa.gov/docs/iac/chapter/199.45.pdf" Type="http://schemas.openxmlformats.org/officeDocument/2006/relationships/hyperlink" Id="rId82"/>
    <Relationship TargetMode="External" Target="https://www.legis.iowa.gov/docs/ico/chapter/476.1.pdf" Type="http://schemas.openxmlformats.org/officeDocument/2006/relationships/hyperlink" Id="rId83"/>
    <Relationship TargetMode="External" Target="https://www.legis.iowa.gov/docs/ico/chapter/476.8.pdf" Type="http://schemas.openxmlformats.org/officeDocument/2006/relationships/hyperlink" Id="rId84"/>
    <Relationship TargetMode="External" Target="https://www.legis.iowa.gov/docs/ico/chapter/476.41.pdf" Type="http://schemas.openxmlformats.org/officeDocument/2006/relationships/hyperlink" Id="rId85"/>
    <Relationship TargetMode="External" Target="https://www.legis.iowa.gov/docs/ico/chapter/476.45.pdf" Type="http://schemas.openxmlformats.org/officeDocument/2006/relationships/hyperlink" Id="rId86"/>
    <Relationship TargetMode="External" Target="https://www.legis.iowa.gov/docs/ico/chapter/476.48.pdf" Type="http://schemas.openxmlformats.org/officeDocument/2006/relationships/hyperlink" Id="rId87"/>
    <Relationship TargetMode="External" Target="https://www.legis.iowa.gov/docs/ico/chapter/476.58.pdf" Type="http://schemas.openxmlformats.org/officeDocument/2006/relationships/hyperlink"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