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20"/>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12/4/29</w:t>
      </w:r>
    </w:p>
    <w:p>
      <w:pPr>
        <w:spacing w:before="0" w:after="0"/>
        <w:ind w:left="120"/>
        <w:jc w:val="both"/>
      </w:pPr>
      <w:r>
        <w:rPr>
          <w:rFonts w:ascii="Times New Roman" w:hAnsi="Times New Roman"/>
          <w:b/>
          <w:i w:val="false"/>
          <w:color w:val="000000"/>
          <w:sz w:val="22"/>
        </w:rPr>
        <w:t>199—1.1</w:t>
      </w:r>
      <w:r>
        <w:rPr>
          <w:rFonts w:ascii="Times New Roman" w:hAnsi="Times New Roman"/>
          <w:b/>
          <w:i w:val="false"/>
          <w:color w:val="000000"/>
          <w:sz w:val="22"/>
        </w:rPr>
        <w:t xml:space="preserve">(17A,474)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describes the organization and operation of the Iowa utilities commission (hereinafter referred to as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199—1.2</w:t>
      </w:r>
      <w:r>
        <w:rPr>
          <w:rFonts w:ascii="Times New Roman" w:hAnsi="Times New Roman"/>
          <w:b/>
          <w:i w:val="false"/>
          <w:color w:val="000000"/>
          <w:sz w:val="22"/>
        </w:rPr>
        <w:t xml:space="preserve">(17A,474) </w:t>
      </w:r>
      <w:r>
        <w:rPr>
          <w:rFonts w:ascii="Times New Roman" w:hAnsi="Times New Roman"/>
          <w:b/>
          <w:i w:val="false"/>
          <w:color w:val="000000"/>
          <w:sz w:val="22"/>
        </w:rPr>
        <w:t xml:space="preserve">Scope of rules. </w:t>
      </w:r>
      <w:r>
        <w:rPr>
          <w:rFonts w:ascii="Times New Roman" w:hAnsi="Times New Roman"/>
          <w:b w:val="false"/>
          <w:i w:val="false"/>
          <w:color w:val="000000"/>
          <w:sz w:val="22"/>
        </w:rPr>
        <w:t xml:space="preserve">These rules apply to all matters before the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199—1.3</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Waivers.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199—1.4</w:t>
      </w:r>
      <w:r>
        <w:rPr>
          <w:rFonts w:ascii="Times New Roman" w:hAnsi="Times New Roman"/>
          <w:b/>
          <w:i w:val="false"/>
          <w:color w:val="000000"/>
          <w:sz w:val="22"/>
        </w:rPr>
        <w:t xml:space="preserve">(17A,474) </w:t>
      </w:r>
      <w:r>
        <w:rPr>
          <w:rFonts w:ascii="Times New Roman" w:hAnsi="Times New Roman"/>
          <w:b/>
          <w:i w:val="false"/>
          <w:color w:val="000000"/>
          <w:sz w:val="22"/>
        </w:rPr>
        <w:t xml:space="preserve">Duties of the commission. </w:t>
      </w:r>
      <w:r>
        <w:rPr>
          <w:rFonts w:ascii="Times New Roman" w:hAnsi="Times New Roman"/>
          <w:b w:val="false"/>
          <w:i w:val="false"/>
          <w:color w:val="000000"/>
          <w:sz w:val="22"/>
        </w:rPr>
        <w:t xml:space="preserve">The commission regulates the services and rates of certain electric, gas, telephone, water, sanitary sewer, and storm water drainage utilities pursuant to 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The commission also has jurisdiction over certification of electric power generators pursuant to Iowa Code chapter </w:t>
      </w:r>
      <w:hyperlink r:id="rId6">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xml:space="preserve">, franchises for cable and video service providers pursuant to Iowa Code chapter </w:t>
      </w:r>
      <w:hyperlink r:id="rId7">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dual party relay service pursuant to Iowa Code chapter </w:t>
      </w:r>
      <w:hyperlink r:id="rId8">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construction and safety of electric transmission lines pursuant to Iowa Code chapter </w:t>
      </w:r>
      <w:hyperlink r:id="rId9">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and the construction and operation of pipelines and underground storage pursuant to Iowa Code chapters </w:t>
      </w:r>
      <w:hyperlink r:id="rId10">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w:t>
      </w:r>
      <w:r>
        <w:rPr>
          <w:rFonts w:ascii="Times New Roman" w:hAnsi="Times New Roman"/>
          <w:b/>
          <w:i w:val="false"/>
          <w:color w:val="000000"/>
          <w:sz w:val="22"/>
        </w:rPr>
        <w:t xml:space="preserve">(17A,474) </w:t>
      </w:r>
      <w:r>
        <w:rPr>
          <w:rFonts w:ascii="Times New Roman" w:hAnsi="Times New Roman"/>
          <w:b/>
          <w:i w:val="false"/>
          <w:color w:val="000000"/>
          <w:sz w:val="22"/>
        </w:rPr>
        <w:t xml:space="preserve">Organization. </w:t>
      </w:r>
      <w:r>
        <w:rPr>
          <w:rFonts w:ascii="Times New Roman" w:hAnsi="Times New Roman"/>
          <w:b w:val="false"/>
          <w:i w:val="false"/>
          <w:color w:val="000000"/>
          <w:sz w:val="22"/>
        </w:rPr>
        <w:t xml:space="preserve">The commission consists of the three-member commission, the technical and administrative staff, and the general counsel. The three-member commission is the policymaking body, and the chair serves as the administrator of the commission. As administrator, the chair is responsible for all administrative functions and decisions.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w:t>
      </w:r>
      <w:r>
        <w:rPr>
          <w:rFonts w:ascii="Times New Roman" w:hAnsi="Times New Roman"/>
          <w:b/>
          <w:i w:val="false"/>
          <w:color w:val="000000"/>
          <w:sz w:val="22"/>
        </w:rPr>
        <w:t xml:space="preserve">(17A,474) </w:t>
      </w:r>
      <w:r>
        <w:rPr>
          <w:rFonts w:ascii="Times New Roman" w:hAnsi="Times New Roman"/>
          <w:b/>
          <w:i w:val="false"/>
          <w:color w:val="000000"/>
          <w:sz w:val="22"/>
        </w:rPr>
        <w:t xml:space="preserve">Matters applicable to all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 xml:space="preserve">All communications to the commission, other than those filed through the commission’s electronic filing system, may be addressed to the Iowa Utilities Commission, 1375 East Court Avenue, Des Moines, Iowa 50319-0069, unless otherwise specifically directed. Unless otherwise specifically provided, all communications and documents are officially filed upon receipt and acceptance at the office of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Office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Monday through Friday. Offices are closed on Saturdays and Sundays and on official state holidays designated in accordance with state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w:t>
      </w:r>
      <w:r>
        <w:rPr>
          <w:rFonts w:ascii="Times New Roman" w:hAnsi="Times New Roman"/>
          <w:b/>
          <w:i w:val="false"/>
          <w:color w:val="000000"/>
          <w:sz w:val="22"/>
        </w:rPr>
        <w:t xml:space="preserve">(22) </w:t>
      </w:r>
      <w:r>
        <w:rPr>
          <w:rFonts w:ascii="Times New Roman" w:hAnsi="Times New Roman"/>
          <w:b/>
          <w:i w:val="false"/>
          <w:color w:val="000000"/>
          <w:sz w:val="22"/>
        </w:rPr>
        <w:t xml:space="preserve">Public information and inspection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6/24/26</w:t>
      </w:r>
      <w:r>
        <w:rPr>
          <w:rFonts w:ascii="Times New Roman" w:hAnsi="Times New Roman"/>
          <w:b w:val="false"/>
          <w:i w:val="false"/>
          <w:color w:val="000000"/>
          <w:sz w:val="22"/>
        </w:rPr>
        <w:t>, effective 6/1/26.</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1.7(3)</w:t>
      </w:r>
      <w:r>
        <w:rPr>
          <w:rFonts w:ascii="Times New Roman" w:hAnsi="Times New Roman"/>
          <w:b w:val="false"/>
          <w:i w:val="false"/>
          <w:color w:val="000000"/>
          <w:sz w:val="22"/>
        </w:rPr>
        <w:t xml:space="preserve"> to </w:t>
      </w:r>
      <w:r>
        <w:rPr>
          <w:rFonts w:ascii="Times New Roman" w:hAnsi="Times New Roman"/>
          <w:b/>
          <w:i w:val="false"/>
          <w:color w:val="000000"/>
          <w:sz w:val="22"/>
        </w:rPr>
        <w:t>1.7(8)</w:t>
      </w:r>
      <w:r>
        <w:rPr>
          <w:rFonts w:ascii="Times New Roman" w:hAnsi="Times New Roman"/>
          <w:b w:val="false"/>
          <w:i w:val="false"/>
          <w:color w:val="000000"/>
          <w:sz w:val="22"/>
        </w:rPr>
        <w:t> Rescinded by 2026 Iowa Acts, Senate File 2463, section 4, effective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 xml:space="preserve">; </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474.1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474.10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2/11/76, Notice 7/14/75—published 2/23/76, effective 3/29/76]</w:t>
      </w:r>
    </w:p>
    <w:p>
      <w:pPr>
        <w:spacing w:before="0" w:after="0"/>
        <w:ind w:left="120"/>
        <w:jc w:val="center"/>
      </w:pPr>
      <w:r>
        <w:rPr>
          <w:rFonts w:ascii="Times New Roman" w:hAnsi="Times New Roman"/>
          <w:b w:val="false"/>
          <w:i w:val="false"/>
          <w:color w:val="000000"/>
          <w:sz w:val="21"/>
        </w:rPr>
        <w:t>[Filed 6/15/76 without Notice—published 6/28/76, effective 8/2/76]</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5/20/83, Notice 4/13/83—published 6/8/83, effective 7/13/83]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without Notice 7/27/84—published 8/15/84, effective 9/19/84]</w:t>
      </w:r>
    </w:p>
    <w:p>
      <w:pPr>
        <w:spacing w:before="0" w:after="0"/>
        <w:ind w:left="120"/>
        <w:jc w:val="center"/>
      </w:pPr>
      <w:r>
        <w:rPr>
          <w:rFonts w:ascii="Times New Roman" w:hAnsi="Times New Roman"/>
          <w:b w:val="false"/>
          <w:i w:val="false"/>
          <w:color w:val="000000"/>
          <w:sz w:val="21"/>
        </w:rPr>
        <w:t>[Filed 5/19/86, Notice 11/6/85—published 6/4/86, effective 7/9/86]</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10/2/87, Notice 8/12/87—published 10/21/87, effective 1/20/88]</w:t>
      </w:r>
    </w:p>
    <w:p>
      <w:pPr>
        <w:spacing w:before="0" w:after="0"/>
        <w:ind w:left="120"/>
        <w:jc w:val="center"/>
      </w:pPr>
      <w:r>
        <w:rPr>
          <w:rFonts w:ascii="Times New Roman" w:hAnsi="Times New Roman"/>
          <w:b w:val="false"/>
          <w:i w:val="false"/>
          <w:color w:val="000000"/>
          <w:sz w:val="21"/>
        </w:rPr>
        <w:t>[Filed 12/22/88, Notice 10/19/88—published 1/11/89, effective 2/15/89]</w:t>
      </w:r>
    </w:p>
    <w:p>
      <w:pPr>
        <w:spacing w:before="0" w:after="0"/>
        <w:ind w:left="120"/>
        <w:jc w:val="center"/>
      </w:pPr>
      <w:r>
        <w:rPr>
          <w:rFonts w:ascii="Times New Roman" w:hAnsi="Times New Roman"/>
          <w:b w:val="false"/>
          <w:i w:val="false"/>
          <w:color w:val="000000"/>
          <w:sz w:val="21"/>
        </w:rPr>
        <w:t>[Filed 3/29/91, Notice 11/14/90—published 4/17/91, effective 5/22/91]</w:t>
      </w:r>
    </w:p>
    <w:p>
      <w:pPr>
        <w:spacing w:before="0" w:after="0"/>
        <w:ind w:left="120"/>
        <w:jc w:val="center"/>
      </w:pPr>
      <w:r>
        <w:rPr>
          <w:rFonts w:ascii="Times New Roman" w:hAnsi="Times New Roman"/>
          <w:b w:val="false"/>
          <w:i w:val="false"/>
          <w:color w:val="000000"/>
          <w:sz w:val="21"/>
        </w:rPr>
        <w:t>[Filed emergency 8/14/92—published 9/2/92, effective 8/14/92]</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emergency 4/30/99—published 5/19/99, effective 4/30/99]</w:t>
      </w:r>
    </w:p>
    <w:p>
      <w:pPr>
        <w:spacing w:before="0" w:after="0"/>
        <w:ind w:left="120"/>
        <w:jc w:val="center"/>
      </w:pPr>
      <w:r>
        <w:rPr>
          <w:rFonts w:ascii="Times New Roman" w:hAnsi="Times New Roman"/>
          <w:b w:val="false"/>
          <w:i w:val="false"/>
          <w:color w:val="000000"/>
          <w:sz w:val="21"/>
        </w:rPr>
        <w:t>[Filed 11/24/99, Notice 8/11/99—published 12/15/99, effective 1/19/00]</w:t>
      </w:r>
    </w:p>
    <w:p>
      <w:pPr>
        <w:spacing w:before="0" w:after="0"/>
        <w:ind w:left="120"/>
        <w:jc w:val="center"/>
      </w:pPr>
      <w:r>
        <w:rPr>
          <w:rFonts w:ascii="Times New Roman" w:hAnsi="Times New Roman"/>
          <w:b w:val="false"/>
          <w:i w:val="false"/>
          <w:color w:val="000000"/>
          <w:sz w:val="21"/>
        </w:rPr>
        <w:t>[Filed 10/12/00, Notice 8/23/00—published 11/1/00, effective 12/6/00]</w:t>
      </w:r>
    </w:p>
    <w:p>
      <w:pPr>
        <w:spacing w:before="0" w:after="0"/>
        <w:ind w:left="120"/>
        <w:jc w:val="center"/>
      </w:pPr>
      <w:r>
        <w:rPr>
          <w:rFonts w:ascii="Times New Roman" w:hAnsi="Times New Roman"/>
          <w:b w:val="false"/>
          <w:i w:val="false"/>
          <w:color w:val="000000"/>
          <w:sz w:val="21"/>
        </w:rPr>
        <w:t>[Filed 11/21/01, Notice 5/30/01—published 12/12/01, effective 1/16/02]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4/26/02, Notice 1/9/02—published 5/15/02, effective 6/19/02]</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[Filed 7/27/06, Notice 6/7/06—published 8/16/06, effective 9/20/06]</w:t>
      </w:r>
    </w:p>
    <w:p>
      <w:pPr>
        <w:spacing w:before="0" w:after="0"/>
        <w:ind w:left="120"/>
        <w:jc w:val="center"/>
      </w:pPr>
      <w:r>
        <w:rPr>
          <w:rFonts w:ascii="Times New Roman" w:hAnsi="Times New Roman"/>
          <w:b w:val="false"/>
          <w:i w:val="false"/>
          <w:color w:val="000000"/>
          <w:sz w:val="21"/>
        </w:rPr>
        <w:t>[Filed 10/6/06, Notice 3/15/06—published 10/25/06, effective 11/29/06]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1899C</w:t>
      </w:r>
      <w:r>
        <w:rPr>
          <w:rFonts w:ascii="Times New Roman" w:hAnsi="Times New Roman"/>
          <w:b w:val="false"/>
          <w:i w:val="false"/>
          <w:color w:val="000000"/>
          <w:sz w:val="21"/>
        </w:rPr>
        <w:t xml:space="preserve"> (Notice ARC 1563C, IAB 8/6/14)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3340C</w:t>
      </w:r>
      <w:r>
        <w:rPr>
          <w:rFonts w:ascii="Times New Roman" w:hAnsi="Times New Roman"/>
          <w:b w:val="false"/>
          <w:i w:val="false"/>
          <w:color w:val="000000"/>
          <w:sz w:val="21"/>
        </w:rPr>
        <w:t xml:space="preserve"> (Notice ARC 2957C, IAB 3/1/17)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8325C</w:t>
      </w:r>
      <w:r>
        <w:rPr>
          <w:rFonts w:ascii="Times New Roman" w:hAnsi="Times New Roman"/>
          <w:b w:val="false"/>
          <w:i w:val="false"/>
          <w:color w:val="000000"/>
          <w:sz w:val="21"/>
        </w:rPr>
        <w:t xml:space="preserve"> (Notice ARC 8105C, IAB 7/10/24)</w:t>
      </w:r>
      <w:r>
        <w:rPr>
          <w:rFonts w:ascii="Times New Roman" w:hAnsi="Times New Roman"/>
          <w:b w:val="false"/>
          <w:i w:val="false"/>
          <w:color w:val="000000"/>
          <w:sz w:val="21"/>
        </w:rPr>
        <w:t>, IAB 10/30/24, effective 12/4/24]</w:t>
      </w:r>
    </w:p>
    <w:p>
      <w:pPr>
        <w:spacing w:before="0" w:after="0"/>
        <w:ind w:left="120"/>
        <w:jc w:val="center"/>
      </w:pPr>
      <w:r>
        <w:rPr>
          <w:rFonts w:ascii="Times New Roman" w:hAnsi="Times New Roman"/>
          <w:b w:val="false"/>
          <w:i w:val="false"/>
          <w:color w:val="000000"/>
          <w:sz w:val="21"/>
        </w:rPr>
        <w:t>[Filed Emergency ARC 0375D, IAB 6/24/26, effective 6/1/26]</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6A.pdf" Type="http://schemas.openxmlformats.org/officeDocument/2006/relationships/hyperlink" Id="rId6"/>
    <Relationship TargetMode="External" Target="https://www.legis.iowa.gov/docs/ico/chapter/477A.pdf" Type="http://schemas.openxmlformats.org/officeDocument/2006/relationships/hyperlink" Id="rId7"/>
    <Relationship TargetMode="External" Target="https://www.legis.iowa.gov/docs/ico/chapter/477C.pdf" Type="http://schemas.openxmlformats.org/officeDocument/2006/relationships/hyperlink" Id="rId8"/>
    <Relationship TargetMode="External" Target="https://www.legis.iowa.gov/docs/ico/chapter/478.pdf" Type="http://schemas.openxmlformats.org/officeDocument/2006/relationships/hyperlink" Id="rId9"/>
    <Relationship TargetMode="External" Target="https://www.legis.iowa.gov/docs/ico/chapter/479.pdf" Type="http://schemas.openxmlformats.org/officeDocument/2006/relationships/hyperlink" Id="rId10"/>
    <Relationship TargetMode="External" Target="https://www.legis.iowa.gov/docs/ico/chapter/479B.pdf" Type="http://schemas.openxmlformats.org/officeDocument/2006/relationships/hyperlink" Id="rId11"/>
    <Relationship TargetMode="External" Target="https://www.legis.iowa.gov/docs/ico/chapter/17A.3.pdf" Type="http://schemas.openxmlformats.org/officeDocument/2006/relationships/hyperlink" Id="rId12"/>
    <Relationship TargetMode="External" Target="https://www.legis.iowa.gov/docs/ico/chapter/474.1.pdf" Type="http://schemas.openxmlformats.org/officeDocument/2006/relationships/hyperlink" Id="rId13"/>
    <Relationship TargetMode="External" Target="https://www.legis.iowa.gov/docs/ico/chapter/474.5.pdf" Type="http://schemas.openxmlformats.org/officeDocument/2006/relationships/hyperlink" Id="rId14"/>
    <Relationship TargetMode="External" Target="https://www.legis.iowa.gov/docs/ico/chapter/474.10.pdf" Type="http://schemas.openxmlformats.org/officeDocument/2006/relationships/hyperlink" Id="rId15"/>
    <Relationship TargetMode="External" Target="https://www.legis.iowa.gov/docs/ico/chapter/476.1.pdf" Type="http://schemas.openxmlformats.org/officeDocument/2006/relationships/hyperlink" Id="rId16"/>
    <Relationship TargetMode="External" Target="https://www.legis.iowa.gov/docs/ico/chapter/476.2.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