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SOCIAL SECURITY NUMBERS AND PROOF OF LEGAL PRESENCE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193—4.1</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outlines a uniform process for applicants and licensees of the professional licensing boards as defined in </w:t>
      </w:r>
      <w:hyperlink r:id="rId5">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xml:space="preserve"> to establish proof of legal presence pursuant to the Personal Responsibility and Work Opportunity Reconciliation Act of 1996 (8 U.S.C. 1621). This chapter also addresses the requirement that a license applicant provide a social security number under 42 U.S.C. 666(a)(13) and Iowa Code sections </w:t>
      </w:r>
      <w:hyperlink r:id="rId6">
        <w:r>
          <w:rPr>
            <w:rStyle w:val="Hyperlink"/>
            <w:rFonts w:ascii="Times New Roman" w:hAnsi="Times New Roman"/>
            <w:b w:val="false"/>
            <w:i w:val="false"/>
            <w:color w:val="000000"/>
            <w:sz w:val="22"/>
          </w:rPr>
          <w:t>252J.8(1)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272D.8(1)</w:t>
        </w:r>
      </w:hyperlink>
      <w:r>
        <w:rPr>
          <w:rFonts w:ascii="Times New Roman" w:hAnsi="Times New Roman"/>
          <w:b w:val="false"/>
          <w:i w:val="false"/>
          <w:color w:val="000000"/>
          <w:sz w:val="22"/>
        </w:rPr>
        <w:t xml:space="preserve"> for purposes including the collection of child support obligations and debts owed to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193—4.2</w:t>
      </w:r>
      <w:r>
        <w:rPr>
          <w:rFonts w:ascii="Times New Roman" w:hAnsi="Times New Roman"/>
          <w:b/>
          <w:i w:val="false"/>
          <w:color w:val="000000"/>
          <w:sz w:val="22"/>
        </w:rPr>
        <w:t xml:space="preserve">(546)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who are U.S. citizens or permanent resident aliens may be requested to produce evidence of their lawful presence in the United States as a condition of initial licensure or license renewal. Acceptable evidence (List A) is outlined in subrule </w:t>
      </w:r>
      <w:hyperlink r:id="rId8">
        <w:r>
          <w:rPr>
            <w:rStyle w:val="Hyperlink"/>
            <w:rFonts w:ascii="Times New Roman" w:hAnsi="Times New Roman"/>
            <w:b w:val="false"/>
            <w:i w:val="false"/>
            <w:color w:val="000000"/>
            <w:sz w:val="22"/>
          </w:rPr>
          <w:t>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residing in the United States, other than those described in subrule </w:t>
      </w:r>
      <w:hyperlink r:id="rId9">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above, may be requested to provide evidence of lawful presence in the United States at the time of initial licensure and with every subsequent renewal. Acceptable evidence (List B) is outlined in subrule </w:t>
      </w:r>
      <w:hyperlink r:id="rId10">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Evidence is not required by foreign national applicants or licensees who are not physically present in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193—4.3</w:t>
      </w:r>
      <w:r>
        <w:rPr>
          <w:rFonts w:ascii="Times New Roman" w:hAnsi="Times New Roman"/>
          <w:b/>
          <w:i w:val="false"/>
          <w:color w:val="000000"/>
          <w:sz w:val="22"/>
        </w:rPr>
        <w:t xml:space="preserve">(546) </w:t>
      </w:r>
      <w:r>
        <w:rPr>
          <w:rFonts w:ascii="Times New Roman" w:hAnsi="Times New Roman"/>
          <w:b/>
          <w:i w:val="false"/>
          <w:color w:val="000000"/>
          <w:sz w:val="22"/>
        </w:rPr>
        <w:t xml:space="preserve">Acceptable evidence. </w:t>
      </w:r>
      <w:r>
        <w:rPr>
          <w:rFonts w:ascii="Times New Roman" w:hAnsi="Times New Roman"/>
          <w:b w:val="false"/>
          <w:i w:val="false"/>
          <w:color w:val="000000"/>
          <w:sz w:val="22"/>
        </w:rPr>
        <w:t>The professional licensing boards accept as proof of lawful presence in the United States documents outlined in Lists A and B below. The professional licensing boards will not routinely retain the evidence sent and will not return the evidence once submitted. Documents may be retained in computer “imaged” format. Legible copies will be accepted. Original documents will not be necessary unless a question arises concerning the documentation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List A—acceptable documents to establish U.S. citizenship.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 birth certificate issued in or by a city, county, state, or other governmental entity within the United States or its outlying possessions.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Certificate of Birth Abroad (FS-545, DS-135) or a Report of Birth Abroad of U.S. Citizen (FS-240).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birth certificate or passport issued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Puerto Rico, on or after January 13, 1941.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Guam, on or after April 10,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 Virgin Islands, on or after February 12, 1927.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Northern Mariana Islands after November 4,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American Samoa.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Swain’s Island.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District of Columbia.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passport (expired or unexpired).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Certificate of Naturalization (N-550, N-57, N-578).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Certificate of Citizenship (N-560, N-561, N-645).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 Citizen Identification Card (I-79, I-197).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individual Fee Register Receipt (Form G-711) that shows that the person has filed an application for a New Naturalization or Citizenship Paper (Form N-565).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acceptable document that establishes a U.S. place of birth or indicates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List B—acceptable documents to establish alien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alien lawfully admitted for permanent residence under the Immigration and Naturalization Act (INA). References to the INA in this rule are to the INA as amended to November 1, 2023. Evidence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 Form I-551 (Alien Registration Receipt Card commonly known as a “green card”);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Unexpired Temporary I-551 stamp in foreign passport or on INS Form I-94.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alien who is granted asylum under Section 208 of the INA. Evidence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 Form I-94 annotated with stamp showing grant of asylum under Section 208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 Form I-668B (Employment Authorization Card) annotated “274a.12(a)(5).”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 Form I-776 (Employment Authorization Document) annotated “A5.”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Letter from the Asylum Office of 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Order of an immigration judge granting asylum.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refugee admitted to the United States under Section 207 of INA. Evidence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 Form I-94 annotated with stamp showing admission under Section 207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 Form I-668B (Employment Authorization Card) annotated “274a.12(a)(3).”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 Form I-766 (Employment Authorization Document) annotated “A3.”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 Form I-571 (Refugee Travel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alien paroled into the United States for at least one year under Section 212(d)(5) of the INA. Evidence includes INS Form I-94 with stamp showing admission for at least one year under Section 212(d)(5)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alien whose deportation is being withheld under Section 243(h) of the INA (as in effect immediately prior to September 30, 1996) or Section 241(b)(3) of such Act (as amended by Section 305(a) of Division C of Public Law 104-2-8). Evidence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 Form I-668 (Employment Authorization Card) annotated “271a.12(a)(10).”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 Form I-766 (Employment Authorization Document) annotated “A10.”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Order from an immigration judge showing deportation withheld under Section 243(h) of the INA as in effect prior to April 1, 1997, or removal withheld under Section 241(b)(3)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alien who is granted conditional entry under Section 203(a)(7) of the INA as in effect prior to April 1, 1980. Evidence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 Form I-94 with stamp showing admission under Section 203(a)(7)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 Form I-668 (Employment Authorization Card) annotated “274a.12(a)(3).”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 Form I-776 (Employment Authorization Document) annotated “A3.”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alien who is a Cuban or Haitian entrant (as defined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Evidence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 Form I-551 (Alien Registration Receipt Card, commonly known as a “green card”) with the code CU6, CU7, or CH6.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Unexpired temporary I-551 stamp in foreign passport or on INS Form I-94 with code CU6 or CU7.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 Form I-94 with stamp showing parole as “Cuban/Haitian Entrant” under Section 212(d)(5) of the 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alien paroled into the United States for less than one year under Section 212(d)(5) of the INA. Evidence includes INS Form I-94 showing this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alien who has been declared a battered alien. Evidence includes INS petition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acceptable under the INA.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193—4.4</w:t>
      </w:r>
      <w:r>
        <w:rPr>
          <w:rFonts w:ascii="Times New Roman" w:hAnsi="Times New Roman"/>
          <w:b/>
          <w:i w:val="false"/>
          <w:color w:val="000000"/>
          <w:sz w:val="22"/>
        </w:rPr>
        <w:t xml:space="preserve">(252J,272D,546) </w:t>
      </w:r>
      <w:r>
        <w:rPr>
          <w:rFonts w:ascii="Times New Roman" w:hAnsi="Times New Roman"/>
          <w:b/>
          <w:i w:val="false"/>
          <w:color w:val="000000"/>
          <w:sz w:val="22"/>
        </w:rPr>
        <w:t xml:space="preserve">Social security number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 license from a professional licensing board will disclose the individual’s social security number on the application form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to the satisfaction of the board that the applicant does not possess and is not eligible for a social security number,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or attests that the applicant is in the process of applying for a social security number and will provide such number within 60 days of the date on which the applicant submits the application to the board. The license of an applicant who is licensed pursuant to this subrule may be revoked for failure to provide a valid social security number within 60 days of the date on which the application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possess a social security number and is not eligible for a social security number will need to demonstrate lawful presence in the United States, if applicable, and provide government-issued photo identification as needed to verify identity. If circumstances change and the applicant or licensee later attains a social security number, the applicant or licensee will disclose the social security number to the board within 30 days of the date on which the social security number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546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2/4/99, Notice 12/30/98—published 2/24/99, effective 3/31/99]</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0490C</w:t>
      </w:r>
      <w:r>
        <w:rPr>
          <w:rFonts w:ascii="Times New Roman" w:hAnsi="Times New Roman"/>
          <w:b w:val="false"/>
          <w:i w:val="false"/>
          <w:color w:val="000000"/>
          <w:sz w:val="21"/>
        </w:rPr>
        <w:t xml:space="preserve"> (Notice ARC 0345C,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4828C</w:t>
      </w:r>
      <w:r>
        <w:rPr>
          <w:rFonts w:ascii="Times New Roman" w:hAnsi="Times New Roman"/>
          <w:b w:val="false"/>
          <w:i w:val="false"/>
          <w:color w:val="000000"/>
          <w:sz w:val="21"/>
        </w:rPr>
        <w:t xml:space="preserve"> (Notice ARC 4680C,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8088C</w:t>
      </w:r>
      <w:r>
        <w:rPr>
          <w:rFonts w:ascii="Times New Roman" w:hAnsi="Times New Roman"/>
          <w:b w:val="false"/>
          <w:i w:val="false"/>
          <w:color w:val="000000"/>
          <w:sz w:val="21"/>
        </w:rPr>
        <w:t xml:space="preserve"> (Notice ARC 7514C,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1.1.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co/chapter/272D.8.pdf" Type="http://schemas.openxmlformats.org/officeDocument/2006/relationships/hyperlink" Id="rId7"/>
    <Relationship TargetMode="External" Target="https://www.legis.iowa.gov/docs/iac/rule/193.4.3.pdf" Type="http://schemas.openxmlformats.org/officeDocument/2006/relationships/hyperlink" Id="rId8"/>
    <Relationship TargetMode="External" Target="https://www.legis.iowa.gov/docs/iac/rule/193.4.2.pdf" Type="http://schemas.openxmlformats.org/officeDocument/2006/relationships/hyperlink" Id="rId9"/>
    <Relationship TargetMode="External" Target="https://www.legis.iowa.gov/docs/iac/rule/193.4.3.pdf" Type="http://schemas.openxmlformats.org/officeDocument/2006/relationships/hyperlink" Id="rId10"/>
    <Relationship TargetMode="External" Target="https://www.legis.iowa.gov/docs/ico/chapter/54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