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ALLOCATION OF DISCIPLINARY FEES AND COSTS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193—2.1</w:t>
      </w:r>
      <w:r>
        <w:rPr>
          <w:rFonts w:ascii="Times New Roman" w:hAnsi="Times New Roman"/>
          <w:b/>
          <w:i w:val="false"/>
          <w:color w:val="000000"/>
          <w:sz w:val="22"/>
        </w:rPr>
        <w:t xml:space="preserve">(272C) </w:t>
      </w:r>
      <w:r>
        <w:rPr>
          <w:rFonts w:ascii="Times New Roman" w:hAnsi="Times New Roman"/>
          <w:b/>
          <w:i w:val="false"/>
          <w:color w:val="000000"/>
          <w:sz w:val="22"/>
        </w:rPr>
        <w:t xml:space="preserve">Allocation of disciplinary 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“Board(s)” </w:t>
      </w:r>
      <w:r>
        <w:rPr>
          <w:rFonts w:ascii="Times New Roman" w:hAnsi="Times New Roman"/>
          <w:b w:val="false"/>
          <w:i w:val="false"/>
          <w:color w:val="000000"/>
          <w:sz w:val="22"/>
        </w:rPr>
        <w:t xml:space="preserve">includes the professional licensing boards as defined in </w:t>
      </w:r>
      <w:hyperlink r:id="rId5">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All hearing fees and costs assessed by the boards will be paid directly to the department and held in a separate fund administered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The administrator will distribute moneys held in this fund during the fiscal year in which those moneys are paid. Distributions from the fund are made upon the request of a board and at the sole discretion of the administrator. A distribution received by a board under this chapter will be used only for expenditures related to disciplinary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val="false"/>
          <w:color w:val="000000"/>
          <w:sz w:val="22"/>
        </w:rPr>
        <w:t>The administrator will consider the following factors in exercising discretion as to whether to distribute funds to a requesting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remaining funds in the board’s allocated appropriation for disciplinary hearings in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disciplinary hearings the board has scheduled for the remainder of that fiscal year; the nature and seriousness of those hearings; and the public health, safety, and welfare interests implicated by those hearings.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board has adopted and implemented hearing cost recovery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will distribute a percentage of the remaining fees and costs to each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and costs allocated back to the individual professional licensing boards will be considered repayment receipts as defined in Iowa Code section </w:t>
      </w:r>
      <w:hyperlink r:id="rId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The fees and costs allocated back to each professional board will be applied to the costs incurred by each profession for prosecution of contested cases that could result in disciplinary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8086C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4/7/95, Notice 3/1/95—published 4/26/95, effective 5/31/95]</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8086C</w:t>
      </w:r>
      <w:r>
        <w:rPr>
          <w:rFonts w:ascii="Times New Roman" w:hAnsi="Times New Roman"/>
          <w:b w:val="false"/>
          <w:i w:val="false"/>
          <w:color w:val="000000"/>
          <w:sz w:val="21"/>
        </w:rPr>
        <w:t xml:space="preserve"> (Notice ARC 7512C,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1.1.pdf" Type="http://schemas.openxmlformats.org/officeDocument/2006/relationships/hyperlink" Id="rId5"/>
    <Relationship TargetMode="External" Target="https://www.legis.iowa.gov/docs/ico/chapter/8.2.pdf" Type="http://schemas.openxmlformats.org/officeDocument/2006/relationships/hyperlink" Id="rId6"/>
    <Relationship TargetMode="External" Target="https://www.legis.iowa.gov/docs/ico/chapter/272C.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