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SALES AND LEASES OF GOODS AND SERVICES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8/14/29</w:t>
      </w:r>
    </w:p>
    <w:p>
      <w:pPr>
        <w:spacing w:before="0" w:after="0"/>
        <w:ind w:left="120"/>
        <w:jc w:val="both"/>
      </w:pPr>
      <w:r>
        <w:rPr>
          <w:rFonts w:ascii="Times New Roman" w:hAnsi="Times New Roman"/>
          <w:b/>
          <w:i w:val="false"/>
          <w:color w:val="000000"/>
          <w:sz w:val="22"/>
        </w:rPr>
        <w:t>193—11.1</w:t>
      </w:r>
      <w:r>
        <w:rPr>
          <w:rFonts w:ascii="Times New Roman" w:hAnsi="Times New Roman"/>
          <w:b/>
          <w:i w:val="false"/>
          <w:color w:val="000000"/>
          <w:sz w:val="22"/>
        </w:rPr>
        <w:t xml:space="preserve">(68B) </w:t>
      </w:r>
      <w:r>
        <w:rPr>
          <w:rFonts w:ascii="Times New Roman" w:hAnsi="Times New Roman"/>
          <w:b/>
          <w:i w:val="false"/>
          <w:color w:val="000000"/>
          <w:sz w:val="22"/>
        </w:rPr>
        <w:t xml:space="preserve">Selling or leasing of goods or services by members of the department of inspections, appeals, and licensing examining boards as defined in 191—Chapter 1. </w:t>
      </w:r>
      <w:r>
        <w:rPr>
          <w:rFonts w:ascii="Times New Roman" w:hAnsi="Times New Roman"/>
          <w:b w:val="false"/>
          <w:i w:val="false"/>
          <w:color w:val="000000"/>
          <w:sz w:val="22"/>
        </w:rPr>
        <w:t xml:space="preserve">The board members cannot sell or lease, either directly or indirectly, any goods or services to individuals, associations, or corporations that are subject to the regulatory authority of the department of inspections, appeals, and licensing except as authorized by this rule, and by the consent documents filed with the Iowa ethics and campaign disclosure board pursuant to Iowa Code section </w:t>
      </w:r>
      <w:hyperlink r:id="rId5">
        <w:r>
          <w:rPr>
            <w:rStyle w:val="Hyperlink"/>
            <w:rFonts w:ascii="Times New Roman" w:hAnsi="Times New Roman"/>
            <w:b w:val="false"/>
            <w:i w:val="false"/>
            <w:color w:val="000000"/>
            <w:sz w:val="22"/>
          </w:rPr>
          <w:t>68B.4</w:t>
        </w:r>
      </w:hyperlink>
      <w:r>
        <w:rPr>
          <w:rFonts w:ascii="Times New Roman" w:hAnsi="Times New Roman"/>
          <w:b w:val="false"/>
          <w:i w:val="false"/>
          <w:color w:val="000000"/>
          <w:sz w:val="22"/>
        </w:rPr>
        <w:t xml:space="preserve"> and the corresponding provisions of rule </w:t>
      </w:r>
      <w:hyperlink r:id="rId6">
        <w:r>
          <w:rPr>
            <w:rStyle w:val="Hyperlink"/>
            <w:rFonts w:ascii="Times New Roman" w:hAnsi="Times New Roman"/>
            <w:b w:val="false"/>
            <w:i w:val="false"/>
            <w:color w:val="000000"/>
            <w:sz w:val="22"/>
          </w:rPr>
          <w:t>351—6.11</w:t>
        </w:r>
      </w:hyperlink>
      <w:r>
        <w:rPr>
          <w:rFonts w:ascii="Times New Roman" w:hAnsi="Times New Roman"/>
          <w:b w:val="false"/>
          <w:i w:val="false"/>
          <w:color w:val="000000"/>
          <w:sz w:val="22"/>
        </w:rPr>
        <w:t>(68B).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w:t>
      </w:r>
      <w:r>
        <w:rPr>
          <w:rFonts w:ascii="Times New Roman" w:hAnsi="Times New Roman"/>
          <w:b w:val="false"/>
          <w:i w:val="false"/>
          <w:color w:val="000000"/>
          <w:sz w:val="22"/>
        </w:rPr>
        <w:t> </w:t>
      </w:r>
      <w:r>
        <w:rPr>
          <w:rFonts w:ascii="Times New Roman" w:hAnsi="Times New Roman"/>
          <w:b w:val="false"/>
          <w:i/>
          <w:color w:val="000000"/>
          <w:sz w:val="22"/>
        </w:rPr>
        <w:t xml:space="preserve">Conditions of consent for members. </w:t>
      </w:r>
      <w:r>
        <w:rPr>
          <w:rFonts w:ascii="Times New Roman" w:hAnsi="Times New Roman"/>
          <w:b w:val="false"/>
          <w:i w:val="false"/>
          <w:color w:val="000000"/>
          <w:sz w:val="22"/>
        </w:rPr>
        <w:t xml:space="preserve">Consent may be given by a majority of the members of the board upon a finding that the conditions required by Iowa Code section </w:t>
      </w:r>
      <w:hyperlink r:id="rId7">
        <w:r>
          <w:rPr>
            <w:rStyle w:val="Hyperlink"/>
            <w:rFonts w:ascii="Times New Roman" w:hAnsi="Times New Roman"/>
            <w:b w:val="false"/>
            <w:i w:val="false"/>
            <w:color w:val="000000"/>
            <w:sz w:val="22"/>
          </w:rPr>
          <w:t>68B.4</w:t>
        </w:r>
      </w:hyperlink>
      <w:r>
        <w:rPr>
          <w:rFonts w:ascii="Times New Roman" w:hAnsi="Times New Roman"/>
          <w:b w:val="false"/>
          <w:i w:val="false"/>
          <w:color w:val="000000"/>
          <w:sz w:val="22"/>
        </w:rPr>
        <w:t xml:space="preserve">, as described in </w:t>
      </w:r>
      <w:hyperlink r:id="rId8">
        <w:r>
          <w:rPr>
            <w:rStyle w:val="Hyperlink"/>
            <w:rFonts w:ascii="Times New Roman" w:hAnsi="Times New Roman"/>
            <w:b w:val="false"/>
            <w:i w:val="false"/>
            <w:color w:val="000000"/>
            <w:sz w:val="22"/>
          </w:rPr>
          <w:t>351—subrule 6.11(4)</w:t>
        </w:r>
      </w:hyperlink>
      <w:r>
        <w:rPr>
          <w:rFonts w:ascii="Times New Roman" w:hAnsi="Times New Roman"/>
          <w:b w:val="false"/>
          <w:i w:val="false"/>
          <w:color w:val="000000"/>
          <w:sz w:val="22"/>
        </w:rPr>
        <w:t xml:space="preserve">, have been satisfied. The board may grant a blanket consent for sales and leases to classes of individuals, associations, or corporations when such blanket consent is consistent with </w:t>
      </w:r>
      <w:hyperlink r:id="rId9">
        <w:r>
          <w:rPr>
            <w:rStyle w:val="Hyperlink"/>
            <w:rFonts w:ascii="Times New Roman" w:hAnsi="Times New Roman"/>
            <w:b w:val="false"/>
            <w:i w:val="false"/>
            <w:color w:val="000000"/>
            <w:sz w:val="22"/>
          </w:rPr>
          <w:t>351—subrule 6.11(4)</w:t>
        </w:r>
      </w:hyperlink>
      <w:r>
        <w:rPr>
          <w:rFonts w:ascii="Times New Roman" w:hAnsi="Times New Roman"/>
          <w:b w:val="false"/>
          <w:i w:val="false"/>
          <w:color w:val="000000"/>
          <w:sz w:val="22"/>
        </w:rPr>
        <w:t xml:space="preserve"> and the granting of single consents is impractical or impossible to determine.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w:t>
      </w:r>
      <w:r>
        <w:rPr>
          <w:rFonts w:ascii="Times New Roman" w:hAnsi="Times New Roman"/>
          <w:b w:val="false"/>
          <w:i w:val="false"/>
          <w:color w:val="000000"/>
          <w:sz w:val="22"/>
        </w:rPr>
        <w:t> </w:t>
      </w:r>
      <w:r>
        <w:rPr>
          <w:rFonts w:ascii="Times New Roman" w:hAnsi="Times New Roman"/>
          <w:b w:val="false"/>
          <w:i/>
          <w:color w:val="000000"/>
          <w:sz w:val="22"/>
        </w:rPr>
        <w:t xml:space="preserve">Authorized sales and leases.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member of a department of inspections, appeals, and licensing examining board may sell or lease goods or services to any individual, association, or corporation regulated by any division within the department of inspections, appeals, and licensing, other than the board on which that official serves. This consent is granted because the sale or lease of such goods or services does not affect the board member’s duties or functions on the board. Each board has filed its blanket consent to such sales and leases with the ethics and campaign disclosure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member of a department of inspections, appeals, and licensing examining board may sell or lease goods or services to any individual, association, or corporation regulated by the licensing board or commission of which that person is a member if those goods or services are routinely provided to the public as part of that person’s regular professional practice. This consent is granted because the sale or lease of such goods or services does not affect the board member’s duties or functions on the board. In the event a complaint is filed with the licensing board concerning the services provided by the board member to a member of the public, that board member is otherwise prohibited by law from participating in any discussion or decision by the licensing board in that case, as provided, for instance, in the code of administrative judicial conduct in rule </w:t>
      </w:r>
      <w:hyperlink r:id="rId10">
        <w:r>
          <w:rPr>
            <w:rStyle w:val="Hyperlink"/>
            <w:rFonts w:ascii="Times New Roman" w:hAnsi="Times New Roman"/>
            <w:b w:val="false"/>
            <w:i w:val="false"/>
            <w:color w:val="000000"/>
            <w:sz w:val="22"/>
          </w:rPr>
          <w:t>481—15.3(10A)</w:t>
        </w:r>
      </w:hyperlink>
      <w:r>
        <w:rPr>
          <w:rFonts w:ascii="Times New Roman" w:hAnsi="Times New Roman"/>
          <w:b w:val="false"/>
          <w:i w:val="false"/>
          <w:color w:val="000000"/>
          <w:sz w:val="22"/>
        </w:rPr>
        <w:t>. Each board has filed its blanket consent to such sales and leases with the ethics and campaign disclosure board. The boards intend that the blanket consent be interpreted broadly to allow routine professional services offered directly to the general public and to licensees, such as continuing education instruction or peer review services. Such consent recognizes that those licensees most proficient and ethical in their professional careers may also be among those whose services are desirable to enrich the professional competence of licensees. Interpreting the blanket consent broadly accordingly removes a possible disincentive to board membership.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 application and approval are not necessary for the sales and leases authorized by this rule and by the consents filed with the ethics and campaign disclosure board unless there are unique facts surrounding a particular sale or lease that would cause the sale or lease to affect the seller’s or lessor’s duties or functions, would give the buyer or lessee an advantage in dealing with the board, or would otherwise present a conflict of interest as defined in Iowa Code section </w:t>
      </w:r>
      <w:hyperlink r:id="rId11">
        <w:r>
          <w:rPr>
            <w:rStyle w:val="Hyperlink"/>
            <w:rFonts w:ascii="Times New Roman" w:hAnsi="Times New Roman"/>
            <w:b w:val="false"/>
            <w:i w:val="false"/>
            <w:color w:val="000000"/>
            <w:sz w:val="22"/>
          </w:rPr>
          <w:t>68B.2A</w:t>
        </w:r>
      </w:hyperlink>
      <w:r>
        <w:rPr>
          <w:rFonts w:ascii="Times New Roman" w:hAnsi="Times New Roman"/>
          <w:b w:val="false"/>
          <w:i w:val="false"/>
          <w:color w:val="000000"/>
          <w:sz w:val="22"/>
        </w:rPr>
        <w:t xml:space="preserve"> or common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consent. </w:t>
      </w:r>
      <w:r>
        <w:rPr>
          <w:rFonts w:ascii="Times New Roman" w:hAnsi="Times New Roman"/>
          <w:b w:val="false"/>
          <w:i w:val="false"/>
          <w:color w:val="000000"/>
          <w:sz w:val="22"/>
        </w:rPr>
        <w:t xml:space="preserve">Prior to selling or leasing a good or service to an individual, association, or corporation subject to the regulatory authority of the department of inspections, appeals, and licensing, an official will obtain prior written consent, as provided in </w:t>
      </w:r>
      <w:hyperlink r:id="rId12">
        <w:r>
          <w:rPr>
            <w:rStyle w:val="Hyperlink"/>
            <w:rFonts w:ascii="Times New Roman" w:hAnsi="Times New Roman"/>
            <w:b w:val="false"/>
            <w:i w:val="false"/>
            <w:color w:val="000000"/>
            <w:sz w:val="22"/>
          </w:rPr>
          <w:t>351—subrule 6.11(3)</w:t>
        </w:r>
      </w:hyperlink>
      <w:r>
        <w:rPr>
          <w:rFonts w:ascii="Times New Roman" w:hAnsi="Times New Roman"/>
          <w:b w:val="false"/>
          <w:i w:val="false"/>
          <w:color w:val="000000"/>
          <w:sz w:val="22"/>
        </w:rPr>
        <w:t xml:space="preserve">, unless the sale or lease is specifically allowed in </w:t>
      </w:r>
      <w:hyperlink r:id="rId13">
        <w:r>
          <w:rPr>
            <w:rStyle w:val="Hyperlink"/>
            <w:rFonts w:ascii="Times New Roman" w:hAnsi="Times New Roman"/>
            <w:b w:val="false"/>
            <w:i w:val="false"/>
            <w:color w:val="000000"/>
            <w:sz w:val="22"/>
          </w:rPr>
          <w:t>subrule 11.1(2)</w:t>
        </w:r>
      </w:hyperlink>
      <w:r>
        <w:rPr>
          <w:rFonts w:ascii="Times New Roman" w:hAnsi="Times New Roman"/>
          <w:b w:val="false"/>
          <w:i w:val="false"/>
          <w:color w:val="000000"/>
          <w:sz w:val="22"/>
        </w:rPr>
        <w:t xml:space="preserve"> and in the consents filed with the ethics and campaign disclosure board. The request for consent needs to be in writing and signed by the official requesting consent. The application needs to provide a clear statement of all relevant facts concerning the sale or lease. The application should identify the parties to the sale or lease and the amount of compensation. The application should also explain why the sale or lease should be allowed. All applications need to conform to the requirements of </w:t>
      </w:r>
      <w:hyperlink r:id="rId14">
        <w:r>
          <w:rPr>
            <w:rStyle w:val="Hyperlink"/>
            <w:rFonts w:ascii="Times New Roman" w:hAnsi="Times New Roman"/>
            <w:b w:val="false"/>
            <w:i w:val="false"/>
            <w:color w:val="000000"/>
            <w:sz w:val="22"/>
          </w:rPr>
          <w:t>351—subrule 6.11(3)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w:t>
      </w:r>
      <w:r>
        <w:rPr>
          <w:rFonts w:ascii="Times New Roman" w:hAnsi="Times New Roman"/>
          <w:b w:val="false"/>
          <w:i w:val="false"/>
          <w:color w:val="000000"/>
          <w:sz w:val="22"/>
        </w:rPr>
        <w:t> </w:t>
      </w:r>
      <w:r>
        <w:rPr>
          <w:rFonts w:ascii="Times New Roman" w:hAnsi="Times New Roman"/>
          <w:b w:val="false"/>
          <w:i/>
          <w:color w:val="000000"/>
          <w:sz w:val="22"/>
        </w:rPr>
        <w:t xml:space="preserve">Limitation of consent. </w:t>
      </w:r>
      <w:r>
        <w:rPr>
          <w:rFonts w:ascii="Times New Roman" w:hAnsi="Times New Roman"/>
          <w:b w:val="false"/>
          <w:i w:val="false"/>
          <w:color w:val="000000"/>
          <w:sz w:val="22"/>
        </w:rPr>
        <w:t xml:space="preserve">Consent will be in writing and be valid only for the activities and the time period specifically described in the consent. Consent can be revoked at any time by a majority vote of the members of the board upon written notice to the board. A consent provided under this rule does not constitute authorization for any activity that is a conflict of interest under common law or that would violate any other statute or rule. It is the responsibility of the official requesting consent to ensure compliance with all other applicable laws and rules. The board’s ruling on each application, whether consent is conferred or denied or conditionally granted, will be filed with the ethics and campaign disclosure board pursuant to </w:t>
      </w:r>
      <w:hyperlink r:id="rId15">
        <w:r>
          <w:rPr>
            <w:rStyle w:val="Hyperlink"/>
            <w:rFonts w:ascii="Times New Roman" w:hAnsi="Times New Roman"/>
            <w:b w:val="false"/>
            <w:i w:val="false"/>
            <w:color w:val="000000"/>
            <w:sz w:val="22"/>
          </w:rPr>
          <w:t>351—subrule 6.11(7)</w:t>
        </w:r>
      </w:hyperlink>
      <w:r>
        <w:rPr>
          <w:rFonts w:ascii="Times New Roman" w:hAnsi="Times New Roman"/>
          <w:b w:val="false"/>
          <w:i w:val="false"/>
          <w:color w:val="000000"/>
          <w:sz w:val="22"/>
        </w:rPr>
        <w:t xml:space="preserve">. An official who receives a denial or conditional consent may appeal the ruling to the ethics and campaign disclosure board as provided in </w:t>
      </w:r>
      <w:hyperlink r:id="rId16">
        <w:r>
          <w:rPr>
            <w:rStyle w:val="Hyperlink"/>
            <w:rFonts w:ascii="Times New Roman" w:hAnsi="Times New Roman"/>
            <w:b w:val="false"/>
            <w:i w:val="false"/>
            <w:color w:val="000000"/>
            <w:sz w:val="22"/>
          </w:rPr>
          <w:t>351—subrule 6.11(6)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7">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8095C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left"/>
      </w:pPr>
    </w:p>
    <w:p>
      <w:pPr>
        <w:spacing w:before="0" w:after="0"/>
        <w:ind w:left="120"/>
        <w:jc w:val="center"/>
      </w:pPr>
      <w:r>
        <w:rPr>
          <w:rFonts w:ascii="Times New Roman" w:hAnsi="Times New Roman"/>
          <w:b w:val="false"/>
          <w:i w:val="false"/>
          <w:color w:val="000000"/>
          <w:sz w:val="21"/>
        </w:rPr>
        <w:t>[Filed 8/22/01, Notice 6/27/01—published 9/19/01, effective 10/24/01]</w:t>
      </w:r>
    </w:p>
    <w:p>
      <w:pPr>
        <w:spacing w:before="0" w:after="0"/>
        <w:ind w:left="120"/>
        <w:jc w:val="center"/>
      </w:pPr>
      <w:r>
        <w:rPr>
          <w:rFonts w:ascii="Times New Roman" w:hAnsi="Times New Roman"/>
          <w:b w:val="false"/>
          <w:i w:val="false"/>
          <w:color w:val="000000"/>
          <w:sz w:val="21"/>
        </w:rPr>
        <w:t>[Filed 1/16/07, Notice 11/8/06—published 2/14/07, effective 3/21/07]</w:t>
      </w:r>
    </w:p>
    <w:p>
      <w:pPr>
        <w:spacing w:before="0" w:after="0"/>
        <w:ind w:left="120"/>
        <w:jc w:val="center"/>
      </w:pPr>
      <w:r>
        <w:rPr>
          <w:rFonts w:ascii="Times New Roman" w:hAnsi="Times New Roman"/>
          <w:b w:val="false"/>
          <w:i w:val="false"/>
          <w:color w:val="000000"/>
          <w:sz w:val="21"/>
        </w:rPr>
        <w:t>[Filed ARC 8095C</w:t>
      </w:r>
      <w:r>
        <w:rPr>
          <w:rFonts w:ascii="Times New Roman" w:hAnsi="Times New Roman"/>
          <w:b w:val="false"/>
          <w:i w:val="false"/>
          <w:color w:val="000000"/>
          <w:sz w:val="21"/>
        </w:rPr>
        <w:t xml:space="preserve"> (Notice ARC 7521C, IAB 1/24/24)</w:t>
      </w:r>
      <w:r>
        <w:rPr>
          <w:rFonts w:ascii="Times New Roman" w:hAnsi="Times New Roman"/>
          <w:b w:val="false"/>
          <w:i w:val="false"/>
          <w:color w:val="000000"/>
          <w:sz w:val="21"/>
        </w:rPr>
        <w:t>, IAB 7/10/24, effective 8/14/24]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68B.4.pdf" Type="http://schemas.openxmlformats.org/officeDocument/2006/relationships/hyperlink" Id="rId5"/>
    <Relationship TargetMode="External" Target="https://www.legis.iowa.gov/docs/iac/rule/351.6.11.pdf" Type="http://schemas.openxmlformats.org/officeDocument/2006/relationships/hyperlink" Id="rId6"/>
    <Relationship TargetMode="External" Target="https://www.legis.iowa.gov/docs/ico/chapter/68B.4.pdf" Type="http://schemas.openxmlformats.org/officeDocument/2006/relationships/hyperlink" Id="rId7"/>
    <Relationship TargetMode="External" Target="https://www.legis.iowa.gov/docs/iac/rule/351.6.11.pdf" Type="http://schemas.openxmlformats.org/officeDocument/2006/relationships/hyperlink" Id="rId8"/>
    <Relationship TargetMode="External" Target="https://www.legis.iowa.gov/docs/iac/rule/351.6.11.pdf" Type="http://schemas.openxmlformats.org/officeDocument/2006/relationships/hyperlink" Id="rId9"/>
    <Relationship TargetMode="External" Target="https://www.legis.iowa.gov/docs/iac/rule/481.15.3.pdf" Type="http://schemas.openxmlformats.org/officeDocument/2006/relationships/hyperlink" Id="rId10"/>
    <Relationship TargetMode="External" Target="https://www.legis.iowa.gov/docs/ico/chapter/68B.2A.pdf" Type="http://schemas.openxmlformats.org/officeDocument/2006/relationships/hyperlink" Id="rId11"/>
    <Relationship TargetMode="External" Target="https://www.legis.iowa.gov/docs/iac/rule/351.6.11.pdf" Type="http://schemas.openxmlformats.org/officeDocument/2006/relationships/hyperlink" Id="rId12"/>
    <Relationship TargetMode="External" Target="https://www.legis.iowa.gov/docs/iac/rule/193.11.1.pdf" Type="http://schemas.openxmlformats.org/officeDocument/2006/relationships/hyperlink" Id="rId13"/>
    <Relationship TargetMode="External" Target="https://www.legis.iowa.gov/docs/iac/rule/351.6.11.pdf" Type="http://schemas.openxmlformats.org/officeDocument/2006/relationships/hyperlink" Id="rId14"/>
    <Relationship TargetMode="External" Target="https://www.legis.iowa.gov/docs/iac/rule/351.6.11.pdf" Type="http://schemas.openxmlformats.org/officeDocument/2006/relationships/hyperlink" Id="rId15"/>
    <Relationship TargetMode="External" Target="https://www.legis.iowa.gov/docs/iac/rule/351.6.11.pdf" Type="http://schemas.openxmlformats.org/officeDocument/2006/relationships/hyperlink" Id="rId16"/>
    <Relationship TargetMode="External" Target="https://www.legis.iowa.gov/docs/ico/chapter/68B.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