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193—1.1</w:t>
      </w:r>
      <w:r>
        <w:rPr>
          <w:rFonts w:ascii="Times New Roman" w:hAnsi="Times New Roman"/>
          <w:b/>
          <w:i w:val="false"/>
          <w:color w:val="000000"/>
          <w:sz w:val="22"/>
        </w:rPr>
        <w:t xml:space="preserve">(546) </w:t>
      </w:r>
      <w:r>
        <w:rPr>
          <w:rFonts w:ascii="Times New Roman" w:hAnsi="Times New Roman"/>
          <w:b/>
          <w:i w:val="false"/>
          <w:color w:val="000000"/>
          <w:sz w:val="22"/>
        </w:rPr>
        <w:t xml:space="preserve">Purpose of Chapter 1. </w:t>
      </w:r>
      <w:r>
        <w:rPr>
          <w:rFonts w:ascii="Times New Roman" w:hAnsi="Times New Roman"/>
          <w:b w:val="false"/>
          <w:i w:val="false"/>
          <w:color w:val="000000"/>
          <w:sz w:val="22"/>
        </w:rPr>
        <w:t>This chapter describes the organization and operation of the accountancy examining board, architectural examining board, engineering and land surveying examining board, interior design examining board, landscape architectural examining board, real estate appraiser examining board, and real estate commission of the department of inspections, appeals, and licensing (hereinafter referred to as “professional licensing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193—1.2</w:t>
      </w:r>
      <w:r>
        <w:rPr>
          <w:rFonts w:ascii="Times New Roman" w:hAnsi="Times New Roman"/>
          <w:b/>
          <w:i w:val="false"/>
          <w:color w:val="000000"/>
          <w:sz w:val="22"/>
        </w:rPr>
        <w:t xml:space="preserve">(546)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 rules for the professional licensing boards are promulgated under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10A.103</w:t>
        </w:r>
      </w:hyperlink>
      <w:r>
        <w:rPr>
          <w:rFonts w:ascii="Times New Roman" w:hAnsi="Times New Roman"/>
          <w:b w:val="false"/>
          <w:i w:val="false"/>
          <w:color w:val="000000"/>
          <w:sz w:val="22"/>
        </w:rPr>
        <w:t xml:space="preserve"> and apply to all matters before the professional licensing boards. No rule shall, in any way, relieve a person affected by or subject to these rules, or any person affected by or subject to the rules promulgated by the various boards from any duty under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193—1.3</w:t>
      </w:r>
      <w:r>
        <w:rPr>
          <w:rFonts w:ascii="Times New Roman" w:hAnsi="Times New Roman"/>
          <w:b/>
          <w:i w:val="false"/>
          <w:color w:val="000000"/>
          <w:sz w:val="22"/>
        </w:rPr>
        <w:t xml:space="preserve">(546)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director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an examining board or commission within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registration, certificate, or permit that may be granted by one of the professional licensing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granted a license by one of the professional licensing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partnership, association, professional corporation, licensee, certificate holder,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employees assigned to one of the professional licensing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193—1.4</w:t>
      </w:r>
      <w:r>
        <w:rPr>
          <w:rFonts w:ascii="Times New Roman" w:hAnsi="Times New Roman"/>
          <w:b/>
          <w:i w:val="false"/>
          <w:color w:val="000000"/>
          <w:sz w:val="22"/>
        </w:rPr>
        <w:t xml:space="preserve">(546) </w:t>
      </w:r>
      <w:r>
        <w:rPr>
          <w:rFonts w:ascii="Times New Roman" w:hAnsi="Times New Roman"/>
          <w:b/>
          <w:i w:val="false"/>
          <w:color w:val="000000"/>
          <w:sz w:val="22"/>
        </w:rPr>
        <w:t xml:space="preserve">Purpose of the professional licensing boards. </w:t>
      </w:r>
      <w:r>
        <w:rPr>
          <w:rFonts w:ascii="Times New Roman" w:hAnsi="Times New Roman"/>
          <w:b w:val="false"/>
          <w:i w:val="false"/>
          <w:color w:val="000000"/>
          <w:sz w:val="22"/>
        </w:rPr>
        <w:t>The professional licensing boards coordinate the administrative support for the following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engineering and land surveying examining board is a seven-member board appointed by the governor and confirmed by the senate. The board administers Iowa Code chapter </w:t>
      </w:r>
      <w:hyperlink r:id="rId7">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Professional Engineers and Land Surveyors, and board rules published under agency number [193C] in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accountancy examining board is an eight-member board appointed by the governor and confirmed by the senate. The board administers Iowa Code chapter </w:t>
      </w:r>
      <w:hyperlink r:id="rId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Public Accountants, and board rules published under agency number [193A] in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real estate commission is a seven-member commission appointed by the governor and confirmed by the senate. The commission administers Iowa Code chapters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Real Estate Brokers and Salespersons; </w:t>
      </w:r>
      <w:hyperlink r:id="rId10">
        <w:r>
          <w:rPr>
            <w:rStyle w:val="Hyperlink"/>
            <w:rFonts w:ascii="Times New Roman" w:hAnsi="Times New Roman"/>
            <w:b w:val="false"/>
            <w:i w:val="false"/>
            <w:color w:val="000000"/>
            <w:sz w:val="22"/>
          </w:rPr>
          <w:t>543C</w:t>
        </w:r>
      </w:hyperlink>
      <w:r>
        <w:rPr>
          <w:rFonts w:ascii="Times New Roman" w:hAnsi="Times New Roman"/>
          <w:b w:val="false"/>
          <w:i w:val="false"/>
          <w:color w:val="000000"/>
          <w:sz w:val="22"/>
        </w:rPr>
        <w:t xml:space="preserve">, Sales of Subdivided Land Outside of Iowa; and </w:t>
      </w:r>
      <w:hyperlink r:id="rId11">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 Time-Shares; and commission rules published under agency number [193E] in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architectural examining board is a seven-member board appointed by the governor and confirmed by the senate. The board administers Iowa Code chapter </w:t>
      </w:r>
      <w:hyperlink r:id="rId12">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Licensed Architects, and board rules published under agency number [193B] in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landscape architectural examining board is a seven-member board appointed by the governor and confirmed by the senate. The board administers Iowa Code chapter </w:t>
      </w:r>
      <w:hyperlink r:id="rId13">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Landscape Architects, and board rules published under agency number [193D] in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real estate appraiser examining board is a seven-member board appointed by the governor and confirmed by the senate. The board administers Iowa Code chapter </w:t>
      </w:r>
      <w:hyperlink r:id="rId1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Real Estate Appraisals and Appraisers, and board rules published under agency number [193F] in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interior design examining board is a seven-member board appointed by the governor and confirmed by the senate. The board administers Iowa Code chapter </w:t>
      </w:r>
      <w:hyperlink r:id="rId15">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Registered Interior Designers, and board rules published under agency number [193G] in the Iowa Administrative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w:t>
      </w:r>
      <w:r>
        <w:rPr>
          <w:rFonts w:ascii="Times New Roman" w:hAnsi="Times New Roman"/>
          <w:b/>
          <w:i w:val="false"/>
          <w:color w:val="000000"/>
          <w:sz w:val="22"/>
        </w:rPr>
        <w:t xml:space="preserve">(546) </w:t>
      </w:r>
      <w:r>
        <w:rPr>
          <w:rFonts w:ascii="Times New Roman" w:hAnsi="Times New Roman"/>
          <w:b/>
          <w:i w:val="false"/>
          <w:color w:val="000000"/>
          <w:sz w:val="22"/>
        </w:rPr>
        <w:t xml:space="preserve">Responsibilities of the boards. </w:t>
      </w:r>
      <w:r>
        <w:rPr>
          <w:rFonts w:ascii="Times New Roman" w:hAnsi="Times New Roman"/>
          <w:b w:val="false"/>
          <w:i w:val="false"/>
          <w:color w:val="000000"/>
          <w:sz w:val="22"/>
        </w:rPr>
        <w:t xml:space="preserve">All of the boards retain the powers granted them pursuant to the chapters in which they are created, except for budgetary and personnel matters. Each board will adopt rules pursuant to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Decisions by each board are final agency actions for purposes of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193—1.6</w:t>
      </w:r>
      <w:r>
        <w:rPr>
          <w:rFonts w:ascii="Times New Roman" w:hAnsi="Times New Roman"/>
          <w:b/>
          <w:i w:val="false"/>
          <w:color w:val="000000"/>
          <w:sz w:val="22"/>
        </w:rPr>
        <w:t xml:space="preserve">(546) </w:t>
      </w:r>
      <w:r>
        <w:rPr>
          <w:rFonts w:ascii="Times New Roman" w:hAnsi="Times New Roman"/>
          <w:b/>
          <w:i w:val="false"/>
          <w:color w:val="000000"/>
          <w:sz w:val="22"/>
        </w:rPr>
        <w:t xml:space="preserve">Responsibilities of the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The following are responsibilities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make rules pursuant to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implement board duties except to the extent that rulemaking authority is vested in the boards in the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carry out policy-making and enforcement duties assigned to the boards under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hire, allocate, develop, and supervise members of the staff employed to perform the duties assigned to the boards, including designating staff to act as the executive officer, who may be referred to as the board administrator, for and lawful custodian of the records of each board in the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coordinate the development of an annual budget for the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supervise and direct personnel and other resources to accomplish duties assigned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authorize expenditures from any appropriation or fund established on behalf of the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to the extent that decision-making authority is vested in the boards or other body, decisions of the administrator are final agency actions pursuant to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vested in the boards, the administrator has the authority to establish fees assessed to the regulated industry.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193—1.7</w:t>
      </w:r>
      <w:r>
        <w:rPr>
          <w:rFonts w:ascii="Times New Roman" w:hAnsi="Times New Roman"/>
          <w:b/>
          <w:i w:val="false"/>
          <w:color w:val="000000"/>
          <w:sz w:val="22"/>
        </w:rPr>
        <w:t xml:space="preserve">(546) </w:t>
      </w:r>
      <w:r>
        <w:rPr>
          <w:rFonts w:ascii="Times New Roman" w:hAnsi="Times New Roman"/>
          <w:b/>
          <w:i w:val="false"/>
          <w:color w:val="000000"/>
          <w:sz w:val="22"/>
        </w:rPr>
        <w:t xml:space="preserve">Custodian of records, filings, and requests for public information. </w:t>
      </w:r>
      <w:r>
        <w:rPr>
          <w:rFonts w:ascii="Times New Roman" w:hAnsi="Times New Roman"/>
          <w:b w:val="false"/>
          <w:i w:val="false"/>
          <w:color w:val="000000"/>
          <w:sz w:val="22"/>
        </w:rPr>
        <w:t>Unless otherwise specified by the rules of the boards, an individual board is the principal custodian of the individual board’s own orders, statements of law or policy issued by the individual board, legal documents, and other public documents on file.</w:t>
      </w:r>
    </w:p>
    <w:p>
      <w:pPr>
        <w:spacing w:before="0" w:after="0"/>
        <w:ind w:left="120"/>
        <w:jc w:val="both"/>
      </w:pPr>
      <w:r>
        <w:rPr>
          <w:rFonts w:ascii="Times New Roman" w:hAnsi="Times New Roman"/>
          <w:b w:val="false"/>
          <w:i w:val="false"/>
          <w:color w:val="000000"/>
          <w:sz w:val="22"/>
        </w:rPr>
        <w:t>Any interested party may examine all public records promulgated or maintained by the boards during regular business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193—1.8</w:t>
      </w:r>
      <w:r>
        <w:rPr>
          <w:rFonts w:ascii="Times New Roman" w:hAnsi="Times New Roman"/>
          <w:b/>
          <w:i w:val="false"/>
          <w:color w:val="000000"/>
          <w:sz w:val="22"/>
        </w:rPr>
        <w:t xml:space="preserve">(272C,542,542B,543B,544A,544B,544C) </w:t>
      </w:r>
      <w:r>
        <w:rPr>
          <w:rFonts w:ascii="Times New Roman" w:hAnsi="Times New Roman"/>
          <w:b/>
          <w:i w:val="false"/>
          <w:color w:val="000000"/>
          <w:sz w:val="22"/>
        </w:rPr>
        <w:t xml:space="preserve">Applicant contact information. </w:t>
      </w:r>
      <w:r>
        <w:rPr>
          <w:rFonts w:ascii="Times New Roman" w:hAnsi="Times New Roman"/>
          <w:b w:val="false"/>
          <w:i w:val="false"/>
          <w:color w:val="000000"/>
          <w:sz w:val="22"/>
        </w:rPr>
        <w:t>In addition to the mailing address(es) that need to be provided in accordance with the individual board’s rules, applicants of the boards need to provide a telephone number and, if applicable, an email address. The boards will honor the “safe at home” address issued by any state’s program and protective orders in domestic abuse proceedings or otherwise issued to preserve confidentiality of a person’s physical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193—1.9</w:t>
      </w:r>
      <w:r>
        <w:rPr>
          <w:rFonts w:ascii="Times New Roman" w:hAnsi="Times New Roman"/>
          <w:b/>
          <w:i w:val="false"/>
          <w:color w:val="000000"/>
          <w:sz w:val="22"/>
        </w:rPr>
        <w:t xml:space="preserve">(272C,542,542B,543B,544A,544B,544C) </w:t>
      </w:r>
      <w:r>
        <w:rPr>
          <w:rFonts w:ascii="Times New Roman" w:hAnsi="Times New Roman"/>
          <w:b/>
          <w:i w:val="false"/>
          <w:color w:val="000000"/>
          <w:sz w:val="22"/>
        </w:rPr>
        <w:t xml:space="preserve">Newsletter.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val="false"/>
          <w:color w:val="000000"/>
          <w:sz w:val="22"/>
        </w:rPr>
        <w:t>The administrator or administrator’s designee may publish or contract with a vendor to publish a newsletter as a nonpublic forum to disseminate official information related to the regulated professions. This official information may include statutory requirements, statutory changes, rules, rule changes, proposed or pending rule changes, licensing requirements, license renewal procedures, board action, board interpretative rulings or guidelines, office procedures, disciplinary action, ethical or professional standards, education requirements, education opportunities (prelicense education, continuing education, and professional development), board business, board meetings, board news, and matters related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val="false"/>
          <w:color w:val="000000"/>
          <w:sz w:val="22"/>
        </w:rPr>
        <w:t>The boards may notify licensees about matters such as license renewal in the newsletter.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193—1.10</w:t>
      </w:r>
      <w:r>
        <w:rPr>
          <w:rFonts w:ascii="Times New Roman" w:hAnsi="Times New Roman"/>
          <w:b/>
          <w:i w:val="false"/>
          <w:color w:val="000000"/>
          <w:sz w:val="22"/>
        </w:rPr>
        <w:t xml:space="preserve">(272C,542,542B,543B,544A,544B,544C) </w:t>
      </w:r>
      <w:r>
        <w:rPr>
          <w:rFonts w:ascii="Times New Roman" w:hAnsi="Times New Roman"/>
          <w:b/>
          <w:i w:val="false"/>
          <w:color w:val="000000"/>
          <w:sz w:val="22"/>
        </w:rPr>
        <w:t xml:space="preserve">Applications. </w:t>
      </w:r>
      <w:r>
        <w:rPr>
          <w:rFonts w:ascii="Times New Roman" w:hAnsi="Times New Roman"/>
          <w:b w:val="false"/>
          <w:i w:val="false"/>
          <w:color w:val="000000"/>
          <w:sz w:val="22"/>
        </w:rPr>
        <w:t>Unless otherwise regulated by an individual board’s rules, abandoned applications are deemed withdrawn. An application is abandoned if the applicant has not accessed or modified the application through the electronic licensing database within the preceding six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0">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4/30/87, Notice 3/11/87—published 5/20/87, effective 6/24/87]</w:t>
      </w:r>
    </w:p>
    <w:p>
      <w:pPr>
        <w:spacing w:before="0" w:after="0"/>
        <w:ind w:left="120"/>
        <w:jc w:val="center"/>
      </w:pPr>
      <w:r>
        <w:rPr>
          <w:rFonts w:ascii="Times New Roman" w:hAnsi="Times New Roman"/>
          <w:b w:val="false"/>
          <w:i w:val="false"/>
          <w:color w:val="000000"/>
          <w:sz w:val="21"/>
        </w:rPr>
        <w:t>[Filed without Notice 5/8/92—published 5/27/92, effective 7/1/92]</w:t>
      </w:r>
    </w:p>
    <w:p>
      <w:pPr>
        <w:spacing w:before="0" w:after="0"/>
        <w:ind w:left="120"/>
        <w:jc w:val="center"/>
      </w:pPr>
      <w:r>
        <w:rPr>
          <w:rFonts w:ascii="Times New Roman" w:hAnsi="Times New Roman"/>
          <w:b w:val="false"/>
          <w:i w:val="false"/>
          <w:color w:val="000000"/>
          <w:sz w:val="21"/>
        </w:rPr>
        <w:t>[Filed 2/4/99, Notice 12/30/98—published 2/24/99, effective 3/31/99]</w:t>
      </w: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9/11/03, Notice 5/28/03—published 10/1/03, effective 11/5/03]</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2754C</w:t>
      </w:r>
      <w:r>
        <w:rPr>
          <w:rFonts w:ascii="Times New Roman" w:hAnsi="Times New Roman"/>
          <w:b w:val="false"/>
          <w:i w:val="false"/>
          <w:color w:val="000000"/>
          <w:sz w:val="21"/>
        </w:rPr>
        <w:t xml:space="preserve"> (Notice ARC 2456C, IAB 3/16/16)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4250C</w:t>
      </w:r>
      <w:r>
        <w:rPr>
          <w:rFonts w:ascii="Times New Roman" w:hAnsi="Times New Roman"/>
          <w:b w:val="false"/>
          <w:i w:val="false"/>
          <w:color w:val="000000"/>
          <w:sz w:val="21"/>
        </w:rPr>
        <w:t xml:space="preserve"> (Notice ARC 4007C, IAB 9/26/18)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8085C</w:t>
      </w:r>
      <w:r>
        <w:rPr>
          <w:rFonts w:ascii="Times New Roman" w:hAnsi="Times New Roman"/>
          <w:b w:val="false"/>
          <w:i w:val="false"/>
          <w:color w:val="000000"/>
          <w:sz w:val="21"/>
        </w:rPr>
        <w:t xml:space="preserve"> (Notice ARC 7511C,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0A.103.pdf" Type="http://schemas.openxmlformats.org/officeDocument/2006/relationships/hyperlink" Id="rId6"/>
    <Relationship TargetMode="External" Target="https://www.legis.iowa.gov/docs/ico/chapter/542B.pdf" Type="http://schemas.openxmlformats.org/officeDocument/2006/relationships/hyperlink" Id="rId7"/>
    <Relationship TargetMode="External" Target="https://www.legis.iowa.gov/docs/ico/chapter/542.pdf" Type="http://schemas.openxmlformats.org/officeDocument/2006/relationships/hyperlink" Id="rId8"/>
    <Relationship TargetMode="External" Target="https://www.legis.iowa.gov/docs/ico/chapter/543B.pdf" Type="http://schemas.openxmlformats.org/officeDocument/2006/relationships/hyperlink" Id="rId9"/>
    <Relationship TargetMode="External" Target="https://www.legis.iowa.gov/docs/ico/chapter/543C.pdf" Type="http://schemas.openxmlformats.org/officeDocument/2006/relationships/hyperlink" Id="rId10"/>
    <Relationship TargetMode="External" Target="https://www.legis.iowa.gov/docs/ico/chapter/557A.pdf" Type="http://schemas.openxmlformats.org/officeDocument/2006/relationships/hyperlink" Id="rId11"/>
    <Relationship TargetMode="External" Target="https://www.legis.iowa.gov/docs/ico/chapter/544A.pdf" Type="http://schemas.openxmlformats.org/officeDocument/2006/relationships/hyperlink" Id="rId12"/>
    <Relationship TargetMode="External" Target="https://www.legis.iowa.gov/docs/ico/chapter/544B.pdf" Type="http://schemas.openxmlformats.org/officeDocument/2006/relationships/hyperlink" Id="rId13"/>
    <Relationship TargetMode="External" Target="https://www.legis.iowa.gov/docs/ico/chapter/543D.pdf" Type="http://schemas.openxmlformats.org/officeDocument/2006/relationships/hyperlink" Id="rId14"/>
    <Relationship TargetMode="External" Target="https://www.legis.iowa.gov/docs/ico/chapter/544C.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0A.506.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