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determining reserve liabilities for preneed life insurance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191—95.1</w:t>
      </w:r>
      <w:r>
        <w:rPr>
          <w:rFonts w:ascii="Times New Roman" w:hAnsi="Times New Roman"/>
          <w:b/>
          <w:i w:val="false"/>
          <w:color w:val="000000"/>
          <w:sz w:val="22"/>
        </w:rPr>
        <w:t xml:space="preserve">(508)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sections </w:t>
      </w:r>
      <w:hyperlink r:id="rId5">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191—95.2</w:t>
      </w:r>
      <w:r>
        <w:rPr>
          <w:rFonts w:ascii="Times New Roman" w:hAnsi="Times New Roman"/>
          <w:b/>
          <w:i w:val="false"/>
          <w:color w:val="000000"/>
          <w:sz w:val="22"/>
        </w:rPr>
        <w:t xml:space="preserve">(508) </w:t>
      </w:r>
      <w:r>
        <w:rPr>
          <w:rFonts w:ascii="Times New Roman" w:hAnsi="Times New Roman"/>
          <w:b/>
          <w:i w:val="false"/>
          <w:color w:val="000000"/>
          <w:sz w:val="22"/>
        </w:rPr>
        <w:t xml:space="preserve">Scope. </w:t>
      </w:r>
      <w:r>
        <w:rPr>
          <w:rFonts w:ascii="Times New Roman" w:hAnsi="Times New Roman"/>
          <w:b w:val="false"/>
          <w:i w:val="false"/>
          <w:color w:val="000000"/>
          <w:sz w:val="22"/>
        </w:rPr>
        <w:t>These rules apply to preneed insurance, as defined in rule 95.4(508) of this chapter, and to similar policies and certificates.</w:t>
      </w:r>
    </w:p>
    <w:p>
      <w:pPr>
        <w:spacing w:before="210" w:after="0"/>
        <w:ind w:left="120"/>
        <w:jc w:val="both"/>
      </w:pPr>
      <w:r>
        <w:rPr>
          <w:rFonts w:ascii="Times New Roman" w:hAnsi="Times New Roman"/>
          <w:b/>
          <w:i w:val="false"/>
          <w:color w:val="000000"/>
          <w:sz w:val="22"/>
        </w:rPr>
        <w:t>191—95.3</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for preneed insurance products minimum mortality standards for reserves and nonforfeiture values, and to require the use of the 1980 Commissioner Standard Ordinary (CSO) Life Valuation Mortality Table for use in determining the minimum standard of valuation of reserves and the minimum standard nonforfeiture values for preneed insurance products.</w:t>
      </w:r>
    </w:p>
    <w:p>
      <w:pPr>
        <w:spacing w:before="0" w:after="0"/>
        <w:ind w:left="120"/>
        <w:jc w:val="both"/>
      </w:pPr>
      <w:r>
        <w:rPr>
          <w:rFonts w:ascii="Times New Roman" w:hAnsi="Times New Roman"/>
          <w:b/>
          <w:i w:val="false"/>
          <w:color w:val="000000"/>
          <w:sz w:val="22"/>
        </w:rPr>
        <w:t>191—95.4</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“2001 CSO Mortality Table”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“2001 CSO” </w:t>
      </w:r>
      <w:r>
        <w:rPr>
          <w:rFonts w:ascii="Times New Roman" w:hAnsi="Times New Roman"/>
          <w:b w:val="false"/>
          <w:i w:val="false"/>
          <w:color w:val="000000"/>
          <w:sz w:val="22"/>
        </w:rPr>
        <w:t>means that mortality table, consisting of separate rates of mortality for male and female lives, developed by the American Academy of Actuaries CSO Task Force from the Valuation Basic Mortality Table developed by the Society of Actuaries Individual Life Insurance Valuation Mortality Task Force, and adopted by the NAIC in December 2002. The 2001 CSO Mortality Table is included in the Proceedings of the NAIC (2nd Quarter 2002). Unless the context indicates otherwise, the “2001 CSO Mortality Table” includes both the ultimate form of that table and the select and ultimate form of that table and includes both the smoker and nonsmoker mortality tables and the composite mortality tables. It also includes both the age-nearest-birthday and age-last-birthday bases of the mortality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“Preneed insurance” </w:t>
      </w:r>
      <w:r>
        <w:rPr>
          <w:rFonts w:ascii="Times New Roman" w:hAnsi="Times New Roman"/>
          <w:b w:val="false"/>
          <w:i w:val="false"/>
          <w:color w:val="000000"/>
          <w:sz w:val="22"/>
        </w:rPr>
        <w:t>means any life insurance policy or contract or certificate that is issued in combination with, in support of, with an assignment to, or as a guarantee for a prearrangement agreement for goods and services to be provided at the time of and immediately following the death of the insured. Goods and services may include, but are not limited to, embalming, cremation, body preparation, viewing or visitation, coffin or urn, memorial stone, and transportation of the deceased. The status of the policy or contract as preneed insurance is determined at the time of issue in accordance with the policy form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“Ultimate 1980 CSO” </w:t>
      </w:r>
      <w:r>
        <w:rPr>
          <w:rFonts w:ascii="Times New Roman" w:hAnsi="Times New Roman"/>
          <w:b w:val="false"/>
          <w:i w:val="false"/>
          <w:color w:val="000000"/>
          <w:sz w:val="22"/>
        </w:rPr>
        <w:t>means the Commissioners’ 1980 Standard Ordinary Life Valuation Mortality Tables (1980 CSO) without ten-year selection factors, incorporated into the 1980 amendments to the NAIC Standard Valuation Law approved in December 1983.</w:t>
      </w:r>
    </w:p>
    <w:p>
      <w:pPr>
        <w:spacing w:before="210" w:after="0"/>
        <w:ind w:left="120"/>
        <w:jc w:val="both"/>
      </w:pPr>
      <w:r>
        <w:rPr>
          <w:rFonts w:ascii="Times New Roman" w:hAnsi="Times New Roman"/>
          <w:b/>
          <w:i w:val="false"/>
          <w:color w:val="000000"/>
          <w:sz w:val="22"/>
        </w:rPr>
        <w:t>191—95.5</w:t>
      </w:r>
      <w:r>
        <w:rPr>
          <w:rFonts w:ascii="Times New Roman" w:hAnsi="Times New Roman"/>
          <w:b/>
          <w:i w:val="false"/>
          <w:color w:val="000000"/>
          <w:sz w:val="22"/>
        </w:rPr>
        <w:t xml:space="preserve">(508) </w:t>
      </w:r>
      <w:r>
        <w:rPr>
          <w:rFonts w:ascii="Times New Roman" w:hAnsi="Times New Roman"/>
          <w:b/>
          <w:i w:val="false"/>
          <w:color w:val="000000"/>
          <w:sz w:val="22"/>
        </w:rPr>
        <w:t xml:space="preserve">Minimum valuation mortality standards. </w:t>
      </w:r>
      <w:r>
        <w:rPr>
          <w:rFonts w:ascii="Times New Roman" w:hAnsi="Times New Roman"/>
          <w:b w:val="false"/>
          <w:i w:val="false"/>
          <w:color w:val="000000"/>
          <w:sz w:val="22"/>
        </w:rPr>
        <w:t>For preneed insurance contracts and similar policies and contracts, the minimum mortality standard for determining reserve liabilities and nonforfeiture values for both male and female insureds shall be the ultimate 1980 CSO.</w:t>
      </w:r>
    </w:p>
    <w:p>
      <w:pPr>
        <w:spacing w:before="0" w:after="0"/>
        <w:ind w:left="120"/>
        <w:jc w:val="both"/>
      </w:pPr>
      <w:r>
        <w:rPr>
          <w:rFonts w:ascii="Times New Roman" w:hAnsi="Times New Roman"/>
          <w:b/>
          <w:i w:val="false"/>
          <w:color w:val="000000"/>
          <w:sz w:val="22"/>
        </w:rPr>
        <w:t>191—95.6</w:t>
      </w:r>
      <w:r>
        <w:rPr>
          <w:rFonts w:ascii="Times New Roman" w:hAnsi="Times New Roman"/>
          <w:b/>
          <w:i w:val="false"/>
          <w:color w:val="000000"/>
          <w:sz w:val="22"/>
        </w:rPr>
        <w:t xml:space="preserve">(508) </w:t>
      </w:r>
      <w:r>
        <w:rPr>
          <w:rFonts w:ascii="Times New Roman" w:hAnsi="Times New Roman"/>
          <w:b/>
          <w:i w:val="false"/>
          <w:color w:val="000000"/>
          <w:sz w:val="22"/>
        </w:rPr>
        <w:t xml:space="preserve">Minimum valuation interest rate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interest rates used in determining the minimum standard for valuation of preneed insurance shall be the calendar year statutory valuation interest rates as described in Iowa Code section </w:t>
      </w:r>
      <w:hyperlink r:id="rId7">
        <w:r>
          <w:rPr>
            <w:rStyle w:val="Hyperlink"/>
            <w:rFonts w:ascii="Times New Roman" w:hAnsi="Times New Roman"/>
            <w:b w:val="false"/>
            <w:i w:val="false"/>
            <w:color w:val="000000"/>
            <w:sz w:val="22"/>
          </w:rPr>
          <w:t>508.36(5)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interest rates used in determining the minimum standard for nonforfeiture values for preneed insurance shall be the calendar year statutory nonforfeiture interest rates as described in Iowa Code section </w:t>
      </w:r>
      <w:hyperlink r:id="rId8">
        <w:r>
          <w:rPr>
            <w:rStyle w:val="Hyperlink"/>
            <w:rFonts w:ascii="Times New Roman" w:hAnsi="Times New Roman"/>
            <w:b w:val="false"/>
            <w:i w:val="false"/>
            <w:color w:val="000000"/>
            <w:sz w:val="22"/>
          </w:rPr>
          <w:t>508.37(6)</w:t>
        </w:r>
      </w:hyperlink>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191—95.7</w:t>
      </w:r>
      <w:r>
        <w:rPr>
          <w:rFonts w:ascii="Times New Roman" w:hAnsi="Times New Roman"/>
          <w:b/>
          <w:i w:val="false"/>
          <w:color w:val="000000"/>
          <w:sz w:val="22"/>
        </w:rPr>
        <w:t xml:space="preserve">(508) </w:t>
      </w:r>
      <w:r>
        <w:rPr>
          <w:rFonts w:ascii="Times New Roman" w:hAnsi="Times New Roman"/>
          <w:b/>
          <w:i w:val="false"/>
          <w:color w:val="000000"/>
          <w:sz w:val="22"/>
        </w:rPr>
        <w:t xml:space="preserve">Minimum valuation method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used in determining the standard for the minimum valuation of reserves of preneed insurance shall be the method described in Iowa Code section </w:t>
      </w:r>
      <w:hyperlink r:id="rId9">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used in determining the standard for the minimum nonforfeiture values for preneed insurance shall be the method described in Iowa Code section </w:t>
      </w:r>
      <w:hyperlink r:id="rId10">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191—95.8</w:t>
      </w:r>
      <w:r>
        <w:rPr>
          <w:rFonts w:ascii="Times New Roman" w:hAnsi="Times New Roman"/>
          <w:b/>
          <w:i w:val="false"/>
          <w:color w:val="000000"/>
          <w:sz w:val="22"/>
        </w:rPr>
        <w:t xml:space="preserve">(508) </w:t>
      </w:r>
      <w:r>
        <w:rPr>
          <w:rFonts w:ascii="Times New Roman" w:hAnsi="Times New Roman"/>
          <w:b/>
          <w:i w:val="false"/>
          <w:color w:val="000000"/>
          <w:sz w:val="22"/>
        </w:rPr>
        <w:t xml:space="preserve">Transition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95.8(1)</w:t>
      </w:r>
      <w:r>
        <w:rPr>
          <w:rFonts w:ascii="Times New Roman" w:hAnsi="Times New Roman"/>
          <w:b w:val="false"/>
          <w:i w:val="false"/>
          <w:color w:val="000000"/>
          <w:sz w:val="22"/>
        </w:rPr>
        <w:t> </w:t>
      </w:r>
      <w:r>
        <w:rPr>
          <w:rFonts w:ascii="Times New Roman" w:hAnsi="Times New Roman"/>
          <w:b w:val="false"/>
          <w:i w:val="false"/>
          <w:color w:val="000000"/>
          <w:sz w:val="22"/>
        </w:rPr>
        <w:t>For preneed insurance policies issued on or after January 1, 2009, and before January 1, 2012, the 2001 CSO may be used as the minimum standard for reserves and minimum standard for nonforfeiture benefits for both male and female insureds.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95.8(2)</w:t>
      </w:r>
      <w:r>
        <w:rPr>
          <w:rFonts w:ascii="Times New Roman" w:hAnsi="Times New Roman"/>
          <w:b w:val="false"/>
          <w:i w:val="false"/>
          <w:color w:val="000000"/>
          <w:sz w:val="22"/>
        </w:rPr>
        <w:t> </w:t>
      </w:r>
      <w:r>
        <w:rPr>
          <w:rFonts w:ascii="Times New Roman" w:hAnsi="Times New Roman"/>
          <w:b w:val="false"/>
          <w:i w:val="false"/>
          <w:color w:val="000000"/>
          <w:sz w:val="22"/>
        </w:rPr>
        <w:t>If an insurer elects to use the 2001 CSO as a minimum standard for any policy issued on or after January 1, 2009, and before January 1, 2012, the insurer shall provide, as a part of the actuarial opinion memorandum submitted in support of the company’s asset adequacy testing, an annual written notification to the domiciliary commissioner. The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list of all preneed policy forms that use the 2001 CSO as a minimum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certification signed by the appointed actuary stating that the reserve methodology employed by the company in determining reserves for the preneed policies issued on or after January 1, 2009, and using the 2001 CSO as a minimum standard, develops adequate reserves. For the purposes of this certification, the preneed insurance policies using the 2001 CSO as a minimum standard cannot be aggregated with any other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Supporting information regarding the adequacy of reserves for preneed insurance policies issued on or after January 1, 2009, and using the 2001 CSO as a minimum standard for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95.8(3)</w:t>
      </w:r>
      <w:r>
        <w:rPr>
          <w:rFonts w:ascii="Times New Roman" w:hAnsi="Times New Roman"/>
          <w:b w:val="false"/>
          <w:i w:val="false"/>
          <w:color w:val="000000"/>
          <w:sz w:val="22"/>
        </w:rPr>
        <w:t> </w:t>
      </w:r>
      <w:r>
        <w:rPr>
          <w:rFonts w:ascii="Times New Roman" w:hAnsi="Times New Roman"/>
          <w:b w:val="false"/>
          <w:i w:val="false"/>
          <w:color w:val="000000"/>
          <w:sz w:val="22"/>
        </w:rPr>
        <w:t>Preneed insurance policies issued on or after January 1, 2012, must use the ultimate 1980 CSO in the calculation of minimum nonforfeiture values and minimum reserves.</w:t>
      </w:r>
    </w:p>
    <w:p>
      <w:pPr>
        <w:spacing w:before="210" w:after="0"/>
        <w:ind w:left="120"/>
        <w:jc w:val="both"/>
      </w:pPr>
      <w:r>
        <w:rPr>
          <w:rFonts w:ascii="Times New Roman" w:hAnsi="Times New Roman"/>
          <w:b/>
          <w:i w:val="false"/>
          <w:color w:val="000000"/>
          <w:sz w:val="22"/>
        </w:rPr>
        <w:t>191—95.9</w:t>
      </w:r>
      <w:r>
        <w:rPr>
          <w:rFonts w:ascii="Times New Roman" w:hAnsi="Times New Roman"/>
          <w:b/>
          <w:i w:val="false"/>
          <w:color w:val="000000"/>
          <w:sz w:val="22"/>
        </w:rPr>
        <w:t xml:space="preserve">(508) </w:t>
      </w:r>
      <w:r>
        <w:rPr>
          <w:rFonts w:ascii="Times New Roman" w:hAnsi="Times New Roman"/>
          <w:b/>
          <w:i w:val="false"/>
          <w:color w:val="000000"/>
          <w:sz w:val="22"/>
        </w:rPr>
        <w:t xml:space="preserve">Effective date. </w:t>
      </w:r>
      <w:r>
        <w:rPr>
          <w:rFonts w:ascii="Times New Roman" w:hAnsi="Times New Roman"/>
          <w:b w:val="false"/>
          <w:i w:val="false"/>
          <w:color w:val="000000"/>
          <w:sz w:val="22"/>
        </w:rPr>
        <w:t xml:space="preserve">This chapter is applicable to preneed insurance policies and certificates and similar contracts and certificates, as specified in rule </w:t>
      </w:r>
      <w:hyperlink r:id="rId11">
        <w:r>
          <w:rPr>
            <w:rStyle w:val="Hyperlink"/>
            <w:rFonts w:ascii="Times New Roman" w:hAnsi="Times New Roman"/>
            <w:b w:val="false"/>
            <w:i w:val="false"/>
            <w:color w:val="000000"/>
            <w:sz w:val="22"/>
          </w:rPr>
          <w:t>95.2</w:t>
        </w:r>
      </w:hyperlink>
      <w:r>
        <w:rPr>
          <w:rFonts w:ascii="Times New Roman" w:hAnsi="Times New Roman"/>
          <w:b w:val="false"/>
          <w:i w:val="false"/>
          <w:color w:val="000000"/>
          <w:sz w:val="22"/>
        </w:rPr>
        <w:t>(508) of this chapter, issued on or after January 1, 2009.</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36.pdf" Type="http://schemas.openxmlformats.org/officeDocument/2006/relationships/hyperlink" Id="rId5"/>
    <Relationship TargetMode="External" Target="https://www.legis.iowa.gov/docs/ico/chapter/508.37.pdf" Type="http://schemas.openxmlformats.org/officeDocument/2006/relationships/hyperlink" Id="rId6"/>
    <Relationship TargetMode="External" Target="https://www.legis.iowa.gov/docs/ico/chapter/508.36.pdf" Type="http://schemas.openxmlformats.org/officeDocument/2006/relationships/hyperlink" Id="rId7"/>
    <Relationship TargetMode="External" Target="https://www.legis.iowa.gov/docs/ico/chapter/508.37.pdf" Type="http://schemas.openxmlformats.org/officeDocument/2006/relationships/hyperlink" Id="rId8"/>
    <Relationship TargetMode="External" Target="https://www.legis.iowa.gov/docs/ico/chapter/508.36.pdf" Type="http://schemas.openxmlformats.org/officeDocument/2006/relationships/hyperlink" Id="rId9"/>
    <Relationship TargetMode="External" Target="https://www.legis.iowa.gov/docs/ico/chapter/508.37.pdf" Type="http://schemas.openxmlformats.org/officeDocument/2006/relationships/hyperlink" Id="rId10"/>
    <Relationship TargetMode="External" Target="https://www.legis.iowa.gov/docs/iac/rule/191.95.2.pdf" Type="http://schemas.openxmlformats.org/officeDocument/2006/relationships/hyperlink" Id="rId11"/>
    <Relationship TargetMode="External" Target="https://www.legis.iowa.gov/docs/ico/chapter/508.36.pdf" Type="http://schemas.openxmlformats.org/officeDocument/2006/relationships/hyperlink" Id="rId12"/>
    <Relationship TargetMode="External" Target="https://www.legis.iowa.gov/docs/ico/chapter/508.37.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