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93</w:t>
      </w:r>
    </w:p>
    <w:p>
      <w:pPr>
        <w:spacing w:before="0" w:after="0"/>
        <w:ind w:left="120"/>
        <w:jc w:val="center"/>
      </w:pPr>
      <w:r>
        <w:rPr>
          <w:rFonts w:ascii="Times New Roman" w:hAnsi="Times New Roman"/>
          <w:b w:val="false"/>
          <w:i w:val="false"/>
          <w:color w:val="000000"/>
          <w:sz w:val="21"/>
        </w:rPr>
        <w:t>CONDUIT DERIVATIVE TRANSACTIONS</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210" w:after="0"/>
        <w:ind w:left="120"/>
        <w:jc w:val="both"/>
      </w:pPr>
      <w:r>
        <w:rPr>
          <w:rFonts w:ascii="Times New Roman" w:hAnsi="Times New Roman"/>
          <w:b/>
          <w:i w:val="false"/>
          <w:color w:val="000000"/>
          <w:sz w:val="22"/>
        </w:rPr>
        <w:t>191—93.1</w:t>
      </w:r>
      <w:r>
        <w:rPr>
          <w:rFonts w:ascii="Times New Roman" w:hAnsi="Times New Roman"/>
          <w:b/>
          <w:i w:val="false"/>
          <w:color w:val="000000"/>
          <w:sz w:val="22"/>
        </w:rPr>
        <w:t xml:space="preserve">(511,521A) </w:t>
      </w:r>
      <w:r>
        <w:rPr>
          <w:rFonts w:ascii="Times New Roman" w:hAnsi="Times New Roman"/>
          <w:b/>
          <w:i w:val="false"/>
          <w:color w:val="000000"/>
          <w:sz w:val="22"/>
        </w:rPr>
        <w:t xml:space="preserve">Purposes. </w:t>
      </w:r>
      <w:r>
        <w:rPr>
          <w:rFonts w:ascii="Times New Roman" w:hAnsi="Times New Roman"/>
          <w:b w:val="false"/>
          <w:i w:val="false"/>
          <w:color w:val="000000"/>
          <w:sz w:val="22"/>
        </w:rPr>
        <w:t xml:space="preserve">The purposes of these rules are to set standards for aggregated derivative transactions among affiliates in an insurance company holding system, to set standards for conduit derivative transactions between a conduit and external qualified counterparties, and to define which aggregated derivative transactions and conduit derivative transactions are not subject to the provisions of Iowa Code section </w:t>
      </w:r>
      <w:hyperlink r:id="rId5">
        <w:r>
          <w:rPr>
            <w:rStyle w:val="Hyperlink"/>
            <w:rFonts w:ascii="Times New Roman" w:hAnsi="Times New Roman"/>
            <w:b w:val="false"/>
            <w:i w:val="false"/>
            <w:color w:val="000000"/>
            <w:sz w:val="22"/>
          </w:rPr>
          <w:t>521A.5(1)</w:t>
        </w:r>
      </w:hyperlink>
      <w:r>
        <w:rPr>
          <w:rFonts w:ascii="Times New Roman" w:hAnsi="Times New Roman"/>
          <w:b w:val="false"/>
          <w:i/>
          <w:color w:val="000000"/>
          <w:sz w:val="22"/>
        </w:rPr>
        <w:t>“b,” “c”</w:t>
      </w:r>
      <w:r>
        <w:rPr>
          <w:rFonts w:ascii="Times New Roman" w:hAnsi="Times New Roman"/>
          <w:b w:val="false"/>
          <w:i w:val="false"/>
          <w:color w:val="000000"/>
          <w:sz w:val="22"/>
        </w:rPr>
        <w:t xml:space="preserve">(3), and </w:t>
      </w:r>
      <w:r>
        <w:rPr>
          <w:rFonts w:ascii="Times New Roman" w:hAnsi="Times New Roman"/>
          <w:b w:val="false"/>
          <w:i/>
          <w:color w:val="000000"/>
          <w:sz w:val="22"/>
        </w:rPr>
        <w:t>“e.”</w:t>
      </w:r>
    </w:p>
    <w:p>
      <w:pPr>
        <w:spacing w:before="0" w:after="0"/>
        <w:ind w:left="120"/>
        <w:jc w:val="both"/>
      </w:pPr>
      <w:r>
        <w:rPr>
          <w:rFonts w:ascii="Times New Roman" w:hAnsi="Times New Roman"/>
          <w:b/>
          <w:i w:val="false"/>
          <w:color w:val="000000"/>
          <w:sz w:val="22"/>
        </w:rPr>
        <w:t>191—93.2</w:t>
      </w:r>
      <w:r>
        <w:rPr>
          <w:rFonts w:ascii="Times New Roman" w:hAnsi="Times New Roman"/>
          <w:b/>
          <w:i w:val="false"/>
          <w:color w:val="000000"/>
          <w:sz w:val="22"/>
        </w:rPr>
        <w:t xml:space="preserve">(511,521A)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“Affiliate,”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“affiliate of” </w:t>
      </w:r>
      <w:r>
        <w:rPr>
          <w:rFonts w:ascii="Times New Roman" w:hAnsi="Times New Roman"/>
          <w:b w:val="false"/>
          <w:i w:val="false"/>
          <w:color w:val="000000"/>
          <w:sz w:val="22"/>
        </w:rPr>
        <w:t>a specific person, means a person who directly, or indirectly through one or more intermediaries, controls, or is controlled by, or is under common control with, the person specified.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“Aggregated derivative transaction” </w:t>
      </w:r>
      <w:r>
        <w:rPr>
          <w:rFonts w:ascii="Times New Roman" w:hAnsi="Times New Roman"/>
          <w:b w:val="false"/>
          <w:i w:val="false"/>
          <w:color w:val="000000"/>
          <w:sz w:val="22"/>
        </w:rPr>
        <w:t xml:space="preserve">means a derivative transaction entered into between any affiliate within an insurance holding company system and a conduit, which transaction may be aggregated by the conduit with other derivative transactions between the conduit and other affiliates within the insurance holding company system and replicated by the conduit with qualified counterparties. An aggregated derivative transaction does not include an individual derivative transaction between an insurer and a conduit subject to Iowa Code section </w:t>
      </w:r>
      <w:hyperlink r:id="rId6">
        <w:r>
          <w:rPr>
            <w:rStyle w:val="Hyperlink"/>
            <w:rFonts w:ascii="Times New Roman" w:hAnsi="Times New Roman"/>
            <w:b w:val="false"/>
            <w:i w:val="false"/>
            <w:color w:val="000000"/>
            <w:sz w:val="22"/>
          </w:rPr>
          <w:t>521A.5(1)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“Conduit” </w:t>
      </w:r>
      <w:r>
        <w:rPr>
          <w:rFonts w:ascii="Times New Roman" w:hAnsi="Times New Roman"/>
          <w:b w:val="false"/>
          <w:i w:val="false"/>
          <w:color w:val="000000"/>
          <w:sz w:val="22"/>
        </w:rPr>
        <w:t>means a corporation, limited liability company, partnership or other similar form of business organization within an insurance holding company system which engages in the business of conduit derivative transactions.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“Conduit derivative transaction” </w:t>
      </w:r>
      <w:r>
        <w:rPr>
          <w:rFonts w:ascii="Times New Roman" w:hAnsi="Times New Roman"/>
          <w:b w:val="false"/>
          <w:i w:val="false"/>
          <w:color w:val="000000"/>
          <w:sz w:val="22"/>
        </w:rPr>
        <w:t>means a derivative transaction entered into between a conduit and a qualified counterparty that is not within the conduit’s insurance holding company system and that replicates one or more aggregated derivative transactions.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“Control”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521A.1(3)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“Custodian bank”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511.8(21)</w:t>
        </w:r>
      </w:hyperlink>
      <w:r>
        <w:rPr>
          <w:rFonts w:ascii="Times New Roman" w:hAnsi="Times New Roman"/>
          <w:b w:val="false"/>
          <w:i/>
          <w:color w:val="000000"/>
          <w:sz w:val="22"/>
        </w:rPr>
        <w:t>“a”</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“Derivative” </w:t>
      </w:r>
      <w:r>
        <w:rPr>
          <w:rFonts w:ascii="Times New Roman" w:hAnsi="Times New Roman"/>
          <w:b w:val="false"/>
          <w:i w:val="false"/>
          <w:color w:val="000000"/>
          <w:sz w:val="22"/>
        </w:rPr>
        <w:t>means an agreement, option, instrument, or any series or combination of agreements, options, or instruments that provides for either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To make or take delivery of, or assume or relinquish, a specified amount of one or more underlying interests, or to make a cash settlement in lieu of such delivery or relinquishment;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Which has a price, performance, value, or cash flow based primarily upon the actual or expected price, level, performance, value, or cash flow of one or more underlying interests.</w:t>
      </w:r>
    </w:p>
    <w:p>
      <w:pPr>
        <w:spacing w:before="0" w:after="0"/>
        <w:ind w:left="120"/>
        <w:jc w:val="both"/>
      </w:pPr>
      <w:r>
        <w:rPr>
          <w:rFonts w:ascii="Times New Roman" w:hAnsi="Times New Roman"/>
          <w:b w:val="false"/>
          <w:i w:val="false"/>
          <w:color w:val="000000"/>
          <w:sz w:val="22"/>
        </w:rPr>
        <w:t>“Derivative” includes options, warrants not attached to another financial instrument, caps, floors, collars, swaps, forwards, futures and any other agreements, options or instruments substantially similar thereto or any series or combination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“Derivative transaction” </w:t>
      </w:r>
      <w:r>
        <w:rPr>
          <w:rFonts w:ascii="Times New Roman" w:hAnsi="Times New Roman"/>
          <w:b w:val="false"/>
          <w:i w:val="false"/>
          <w:color w:val="000000"/>
          <w:sz w:val="22"/>
        </w:rPr>
        <w:t>means a transaction based upon a derivative.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“Domestic insurer”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521A.1(4)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“Insurance holding company system”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521A.1(5)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521A.1(7)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counterparty”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qualified exchange;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transaction entered into with, or guaranteed by, a business entity with an investment grade rating by the National Association of Insurance Commissioners (NAIC) Securities and Valuation Office or by a majority of nationally recognized statistical rating organizations (NRSRO), on the NAIC/NRSRO list, that rate the business entity;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qualified foreign exchange;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derivative instrument issued or written by, or entered into with, the issuer of the underlying interest on which the derivative instrument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exchange” </w:t>
      </w:r>
      <w:r>
        <w:rPr>
          <w:rFonts w:ascii="Times New Roman" w:hAnsi="Times New Roman"/>
          <w:b w:val="false"/>
          <w:i w:val="false"/>
          <w:color w:val="000000"/>
          <w:sz w:val="22"/>
        </w:rPr>
        <w:t xml:space="preserve">means the same as defined in rule </w:t>
      </w:r>
      <w:hyperlink r:id="rId12">
        <w:r>
          <w:rPr>
            <w:rStyle w:val="Hyperlink"/>
            <w:rFonts w:ascii="Times New Roman" w:hAnsi="Times New Roman"/>
            <w:b w:val="false"/>
            <w:i w:val="false"/>
            <w:color w:val="000000"/>
            <w:sz w:val="22"/>
          </w:rPr>
          <w:t>191—49.2(511)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foreign exchange” </w:t>
      </w:r>
      <w:r>
        <w:rPr>
          <w:rFonts w:ascii="Times New Roman" w:hAnsi="Times New Roman"/>
          <w:b w:val="false"/>
          <w:i w:val="false"/>
          <w:color w:val="000000"/>
          <w:sz w:val="22"/>
        </w:rPr>
        <w:t xml:space="preserve">means the same as defined in rule </w:t>
      </w:r>
      <w:hyperlink r:id="rId13">
        <w:r>
          <w:rPr>
            <w:rStyle w:val="Hyperlink"/>
            <w:rFonts w:ascii="Times New Roman" w:hAnsi="Times New Roman"/>
            <w:b w:val="false"/>
            <w:i w:val="false"/>
            <w:color w:val="000000"/>
            <w:sz w:val="22"/>
          </w:rPr>
          <w:t>191—49.2(511)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191—93.3</w:t>
      </w:r>
      <w:r>
        <w:rPr>
          <w:rFonts w:ascii="Times New Roman" w:hAnsi="Times New Roman"/>
          <w:b/>
          <w:i w:val="false"/>
          <w:color w:val="000000"/>
          <w:sz w:val="22"/>
        </w:rPr>
        <w:t xml:space="preserve">(511,521A) </w:t>
      </w:r>
      <w:r>
        <w:rPr>
          <w:rFonts w:ascii="Times New Roman" w:hAnsi="Times New Roman"/>
          <w:b/>
          <w:i w:val="false"/>
          <w:color w:val="000000"/>
          <w:sz w:val="22"/>
        </w:rPr>
        <w:t xml:space="preserve">Provisions not applicable.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93.3(1)</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 </w:t>
      </w:r>
      <w:hyperlink r:id="rId14">
        <w:r>
          <w:rPr>
            <w:rStyle w:val="Hyperlink"/>
            <w:rFonts w:ascii="Times New Roman" w:hAnsi="Times New Roman"/>
            <w:b w:val="false"/>
            <w:i w:val="false"/>
            <w:color w:val="000000"/>
            <w:sz w:val="22"/>
          </w:rPr>
          <w:t>521A.5(1)</w:t>
        </w:r>
      </w:hyperlink>
      <w:r>
        <w:rPr>
          <w:rFonts w:ascii="Times New Roman" w:hAnsi="Times New Roman"/>
          <w:b w:val="false"/>
          <w:i/>
          <w:color w:val="000000"/>
          <w:sz w:val="22"/>
        </w:rPr>
        <w:t>“b”</w:t>
      </w:r>
      <w:r>
        <w:rPr>
          <w:rFonts w:ascii="Times New Roman" w:hAnsi="Times New Roman"/>
          <w:b w:val="false"/>
          <w:i w:val="false"/>
          <w:color w:val="000000"/>
          <w:sz w:val="22"/>
        </w:rPr>
        <w:t xml:space="preserve"> shall not be applicable to an aggregated derivative transaction or to a conduit derivative transaction that complies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93.3(2)</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 </w:t>
      </w:r>
      <w:hyperlink r:id="rId15">
        <w:r>
          <w:rPr>
            <w:rStyle w:val="Hyperlink"/>
            <w:rFonts w:ascii="Times New Roman" w:hAnsi="Times New Roman"/>
            <w:b w:val="false"/>
            <w:i w:val="false"/>
            <w:color w:val="000000"/>
            <w:sz w:val="22"/>
          </w:rPr>
          <w:t>521A.5(1)</w:t>
        </w:r>
      </w:hyperlink>
      <w:r>
        <w:rPr>
          <w:rFonts w:ascii="Times New Roman" w:hAnsi="Times New Roman"/>
          <w:b w:val="false"/>
          <w:i/>
          <w:color w:val="000000"/>
          <w:sz w:val="22"/>
        </w:rPr>
        <w:t>“c”</w:t>
      </w:r>
      <w:r>
        <w:rPr>
          <w:rFonts w:ascii="Times New Roman" w:hAnsi="Times New Roman"/>
          <w:b w:val="false"/>
          <w:i w:val="false"/>
          <w:color w:val="000000"/>
          <w:sz w:val="22"/>
        </w:rPr>
        <w:t>(3) shall not be applicable to an aggregated derivative transaction or to a conduit derivative transaction that complies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93.3(3)</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 </w:t>
      </w:r>
      <w:hyperlink r:id="rId16">
        <w:r>
          <w:rPr>
            <w:rStyle w:val="Hyperlink"/>
            <w:rFonts w:ascii="Times New Roman" w:hAnsi="Times New Roman"/>
            <w:b w:val="false"/>
            <w:i w:val="false"/>
            <w:color w:val="000000"/>
            <w:sz w:val="22"/>
          </w:rPr>
          <w:t>521A.5(1)</w:t>
        </w:r>
      </w:hyperlink>
      <w:r>
        <w:rPr>
          <w:rFonts w:ascii="Times New Roman" w:hAnsi="Times New Roman"/>
          <w:b w:val="false"/>
          <w:i/>
          <w:color w:val="000000"/>
          <w:sz w:val="22"/>
        </w:rPr>
        <w:t>“e”</w:t>
      </w:r>
      <w:r>
        <w:rPr>
          <w:rFonts w:ascii="Times New Roman" w:hAnsi="Times New Roman"/>
          <w:b w:val="false"/>
          <w:i w:val="false"/>
          <w:color w:val="000000"/>
          <w:sz w:val="22"/>
        </w:rPr>
        <w:t xml:space="preserve"> shall not be applicable to an aggregated derivative transaction or to a conduit derivative transaction that complies with this chapter.</w:t>
      </w:r>
    </w:p>
    <w:p>
      <w:pPr>
        <w:spacing w:before="0" w:after="0"/>
        <w:ind w:left="120"/>
        <w:jc w:val="both"/>
      </w:pPr>
      <w:r>
        <w:rPr>
          <w:rFonts w:ascii="Times New Roman" w:hAnsi="Times New Roman"/>
          <w:b/>
          <w:i w:val="false"/>
          <w:color w:val="000000"/>
          <w:sz w:val="22"/>
        </w:rPr>
        <w:t>191—93.4</w:t>
      </w:r>
      <w:r>
        <w:rPr>
          <w:rFonts w:ascii="Times New Roman" w:hAnsi="Times New Roman"/>
          <w:b/>
          <w:i w:val="false"/>
          <w:color w:val="000000"/>
          <w:sz w:val="22"/>
        </w:rPr>
        <w:t xml:space="preserve">(511,521A) </w:t>
      </w:r>
      <w:r>
        <w:rPr>
          <w:rFonts w:ascii="Times New Roman" w:hAnsi="Times New Roman"/>
          <w:b/>
          <w:i w:val="false"/>
          <w:color w:val="000000"/>
          <w:sz w:val="22"/>
        </w:rPr>
        <w:t xml:space="preserve">Standards for conduit derivative transactions.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93.4(1)</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The conduit shall maintain documentation and records relating to each conduit derivative transaction that shall include, but not be limited to, documentation setting forth: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purpose or purposes of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specific derivative instrument used in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over-the-counter derivative instrument transactions, the name of the qualified counterparty and the counterparty exposure amount calculated not less than quarterly;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exchange traded derivative instruments, the name of the exchange and the name of the firm that handled the trade.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93.4(2)</w:t>
      </w:r>
      <w:r>
        <w:rPr>
          <w:rFonts w:ascii="Times New Roman" w:hAnsi="Times New Roman"/>
          <w:b w:val="false"/>
          <w:i w:val="false"/>
          <w:color w:val="000000"/>
          <w:sz w:val="22"/>
        </w:rPr>
        <w:t> </w:t>
      </w:r>
      <w:r>
        <w:rPr>
          <w:rFonts w:ascii="Times New Roman" w:hAnsi="Times New Roman"/>
          <w:b w:val="false"/>
          <w:i/>
          <w:color w:val="000000"/>
          <w:sz w:val="22"/>
        </w:rPr>
        <w:t xml:space="preserve">Trading requirements. </w:t>
      </w:r>
      <w:r>
        <w:rPr>
          <w:rFonts w:ascii="Times New Roman" w:hAnsi="Times New Roman"/>
          <w:b w:val="false"/>
          <w:i w:val="false"/>
          <w:color w:val="000000"/>
          <w:sz w:val="22"/>
        </w:rPr>
        <w:t>Each derivative that is the subject of a conduit derivative transaction shall be entered into with a qualified counterparty.</w:t>
      </w:r>
    </w:p>
    <w:p>
      <w:pPr>
        <w:spacing w:before="0" w:after="0"/>
        <w:ind w:left="120"/>
        <w:jc w:val="both"/>
      </w:pPr>
      <w:r>
        <w:rPr>
          <w:rFonts w:ascii="Times New Roman" w:hAnsi="Times New Roman"/>
          <w:b/>
          <w:i w:val="false"/>
          <w:color w:val="000000"/>
          <w:sz w:val="22"/>
        </w:rPr>
        <w:t>191—93.5</w:t>
      </w:r>
      <w:r>
        <w:rPr>
          <w:rFonts w:ascii="Times New Roman" w:hAnsi="Times New Roman"/>
          <w:b/>
          <w:i w:val="false"/>
          <w:color w:val="000000"/>
          <w:sz w:val="22"/>
        </w:rPr>
        <w:t xml:space="preserve">(511,521A) </w:t>
      </w:r>
      <w:r>
        <w:rPr>
          <w:rFonts w:ascii="Times New Roman" w:hAnsi="Times New Roman"/>
          <w:b/>
          <w:i w:val="false"/>
          <w:color w:val="000000"/>
          <w:sz w:val="22"/>
        </w:rPr>
        <w:t xml:space="preserve">Internal controls.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93.5(1)</w:t>
      </w:r>
      <w:r>
        <w:rPr>
          <w:rFonts w:ascii="Times New Roman" w:hAnsi="Times New Roman"/>
          <w:b w:val="false"/>
          <w:i w:val="false"/>
          <w:color w:val="000000"/>
          <w:sz w:val="22"/>
        </w:rPr>
        <w:t> </w:t>
      </w:r>
      <w:r>
        <w:rPr>
          <w:rFonts w:ascii="Times New Roman" w:hAnsi="Times New Roman"/>
          <w:b w:val="false"/>
          <w:i w:val="false"/>
          <w:color w:val="000000"/>
          <w:sz w:val="22"/>
        </w:rPr>
        <w:t>Before engaging in an aggregated derivative transaction or a conduit derivative transaction, the conduit shall have established written guidelines that shall be used for effecting and maintaining such transactions.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93.5(2)</w:t>
      </w:r>
      <w:r>
        <w:rPr>
          <w:rFonts w:ascii="Times New Roman" w:hAnsi="Times New Roman"/>
          <w:b w:val="false"/>
          <w:i w:val="false"/>
          <w:color w:val="000000"/>
          <w:sz w:val="22"/>
        </w:rPr>
        <w:t> </w:t>
      </w:r>
      <w:r>
        <w:rPr>
          <w:rFonts w:ascii="Times New Roman" w:hAnsi="Times New Roman"/>
          <w:b w:val="false"/>
          <w:i w:val="false"/>
          <w:color w:val="000000"/>
          <w:sz w:val="22"/>
        </w:rPr>
        <w:t>The guidelines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Address investment or, if applicable, underwriting objectives, risk constraints, and the factors considered in establishing risk constraints such as credit risk limits;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Address permissible transactions and the relationship of those transactions to the conduit’s operations, such as a precise identification of the risks being hedged by a derivative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Set forth a credit risk management system for over-the-counter derivative transactions that measures credit risk exposure using the qualified counterparty exposure;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Require: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Compliance with internal control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That the board of directors of the conduit shall approve the guidelines and determine whether the conduit has adequate professional personnel, technical expertise and systems to implement investment practices involving derivatives;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That only the board of directors of the conduit or its authorized designee may approve derivative instrument transactions;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That the board of directors of the conduit or its designee exercise administrative oversight of trading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Periodic reporting of open positions to a responsible officer designated by the board of directors of the conduit;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That the reports set forth in rule </w:t>
      </w:r>
      <w:hyperlink r:id="rId17">
        <w:r>
          <w:rPr>
            <w:rStyle w:val="Hyperlink"/>
            <w:rFonts w:ascii="Times New Roman" w:hAnsi="Times New Roman"/>
            <w:b w:val="false"/>
            <w:i w:val="false"/>
            <w:color w:val="000000"/>
            <w:sz w:val="22"/>
          </w:rPr>
          <w:t>191—93.6(511,521A)</w:t>
        </w:r>
      </w:hyperlink>
      <w:r>
        <w:rPr>
          <w:rFonts w:ascii="Times New Roman" w:hAnsi="Times New Roman"/>
          <w:b w:val="false"/>
          <w:i w:val="false"/>
          <w:color w:val="000000"/>
          <w:sz w:val="22"/>
        </w:rPr>
        <w:t xml:space="preserve"> be filed with the Iowa insurance commissioner as required.</w:t>
      </w:r>
    </w:p>
    <w:p>
      <w:pPr>
        <w:spacing w:before="0" w:after="0"/>
        <w:ind w:left="120"/>
        <w:jc w:val="both"/>
      </w:pPr>
      <w:r>
        <w:rPr>
          <w:rFonts w:ascii="Times New Roman" w:hAnsi="Times New Roman"/>
          <w:b/>
          <w:i w:val="false"/>
          <w:color w:val="000000"/>
          <w:sz w:val="22"/>
        </w:rPr>
        <w:t>191—93.6</w:t>
      </w:r>
      <w:r>
        <w:rPr>
          <w:rFonts w:ascii="Times New Roman" w:hAnsi="Times New Roman"/>
          <w:b/>
          <w:i w:val="false"/>
          <w:color w:val="000000"/>
          <w:sz w:val="22"/>
        </w:rPr>
        <w:t xml:space="preserve">(511,521A) </w:t>
      </w:r>
      <w:r>
        <w:rPr>
          <w:rFonts w:ascii="Times New Roman" w:hAnsi="Times New Roman"/>
          <w:b/>
          <w:i w:val="false"/>
          <w:color w:val="000000"/>
          <w:sz w:val="22"/>
        </w:rPr>
        <w:t xml:space="preserve">Reporting requirements for conduit derivative transactions.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93.6(1)</w:t>
      </w:r>
      <w:r>
        <w:rPr>
          <w:rFonts w:ascii="Times New Roman" w:hAnsi="Times New Roman"/>
          <w:b w:val="false"/>
          <w:i w:val="false"/>
          <w:color w:val="000000"/>
          <w:sz w:val="22"/>
        </w:rPr>
        <w:t> </w:t>
      </w:r>
      <w:r>
        <w:rPr>
          <w:rFonts w:ascii="Times New Roman" w:hAnsi="Times New Roman"/>
          <w:b w:val="false"/>
          <w:i/>
          <w:color w:val="000000"/>
          <w:sz w:val="22"/>
        </w:rPr>
        <w:t xml:space="preserve">Reporting frequency. </w:t>
      </w:r>
      <w:r>
        <w:rPr>
          <w:rFonts w:ascii="Times New Roman" w:hAnsi="Times New Roman"/>
          <w:b w:val="false"/>
          <w:i w:val="false"/>
          <w:color w:val="000000"/>
          <w:sz w:val="22"/>
        </w:rPr>
        <w:t>The conduit shall report conduit derivative transaction activities quarterly to the Iowa insurance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93.6(2)</w:t>
      </w:r>
      <w:r>
        <w:rPr>
          <w:rFonts w:ascii="Times New Roman" w:hAnsi="Times New Roman"/>
          <w:b w:val="false"/>
          <w:i w:val="false"/>
          <w:color w:val="000000"/>
          <w:sz w:val="22"/>
        </w:rPr>
        <w:t> </w:t>
      </w:r>
      <w:r>
        <w:rPr>
          <w:rFonts w:ascii="Times New Roman" w:hAnsi="Times New Roman"/>
          <w:b w:val="false"/>
          <w:i/>
          <w:color w:val="000000"/>
          <w:sz w:val="22"/>
        </w:rPr>
        <w:t xml:space="preserve">Contents of reports. </w:t>
      </w:r>
      <w:r>
        <w:rPr>
          <w:rFonts w:ascii="Times New Roman" w:hAnsi="Times New Roman"/>
          <w:b w:val="false"/>
          <w:i w:val="false"/>
          <w:color w:val="000000"/>
          <w:sz w:val="22"/>
        </w:rPr>
        <w:t>The conduit shall report conduit derivative transaction activities consistent with Schedule DB reporting requirements as prescribed by the accounting practices and procedures manual of the National Association of Insurance Commissioners.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93.6(3)</w:t>
      </w:r>
      <w:r>
        <w:rPr>
          <w:rFonts w:ascii="Times New Roman" w:hAnsi="Times New Roman"/>
          <w:b w:val="false"/>
          <w:i w:val="false"/>
          <w:color w:val="000000"/>
          <w:sz w:val="22"/>
        </w:rPr>
        <w:t> </w:t>
      </w:r>
      <w:r>
        <w:rPr>
          <w:rFonts w:ascii="Times New Roman" w:hAnsi="Times New Roman"/>
          <w:b w:val="false"/>
          <w:i/>
          <w:color w:val="000000"/>
          <w:sz w:val="22"/>
        </w:rPr>
        <w:t xml:space="preserve">Exemptions from reporting requirements. </w:t>
      </w:r>
      <w:r>
        <w:rPr>
          <w:rFonts w:ascii="Times New Roman" w:hAnsi="Times New Roman"/>
          <w:b w:val="false"/>
          <w:i w:val="false"/>
          <w:color w:val="000000"/>
          <w:sz w:val="22"/>
        </w:rPr>
        <w:t>Upon application, a conduit may be exempted by the insurance commissioner from the reporting requirements of this rule if all of the conduit's obligations arising out of the conduit's derivative transaction activities are unconditionally guaranteed by a qualified counterparty.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8062B</w:t>
      </w:r>
      <w:r>
        <w:rPr>
          <w:rFonts w:ascii="Times New Roman" w:hAnsi="Times New Roman"/>
          <w:b w:val="false"/>
          <w:i w:val="false"/>
          <w:color w:val="000000"/>
          <w:sz w:val="16"/>
        </w:rPr>
        <w:t>, IAB 8/26/09, effective 9/30/09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191—93.7</w:t>
      </w:r>
      <w:r>
        <w:rPr>
          <w:rFonts w:ascii="Times New Roman" w:hAnsi="Times New Roman"/>
          <w:b/>
          <w:i w:val="false"/>
          <w:color w:val="000000"/>
          <w:sz w:val="22"/>
        </w:rPr>
        <w:t xml:space="preserve">(511,521A) </w:t>
      </w:r>
      <w:r>
        <w:rPr>
          <w:rFonts w:ascii="Times New Roman" w:hAnsi="Times New Roman"/>
          <w:b/>
          <w:i w:val="false"/>
          <w:color w:val="000000"/>
          <w:sz w:val="22"/>
        </w:rPr>
        <w:t xml:space="preserve">Conduit ownership. </w:t>
      </w:r>
      <w:r>
        <w:rPr>
          <w:rFonts w:ascii="Times New Roman" w:hAnsi="Times New Roman"/>
          <w:b w:val="false"/>
          <w:i w:val="false"/>
          <w:color w:val="000000"/>
          <w:sz w:val="22"/>
        </w:rPr>
        <w:t>A conduit shall be wholly owned within the insurance holding company system that utilizes the conduit for aggregated derivative transactions and conduit derivative transactions.</w:t>
      </w:r>
    </w:p>
    <w:p>
      <w:pPr>
        <w:spacing w:before="210" w:after="0"/>
        <w:ind w:left="120"/>
        <w:jc w:val="both"/>
      </w:pPr>
      <w:r>
        <w:rPr>
          <w:rFonts w:ascii="Times New Roman" w:hAnsi="Times New Roman"/>
          <w:b/>
          <w:i w:val="false"/>
          <w:color w:val="000000"/>
          <w:sz w:val="22"/>
        </w:rPr>
        <w:t>191—93.8</w:t>
      </w:r>
      <w:r>
        <w:rPr>
          <w:rFonts w:ascii="Times New Roman" w:hAnsi="Times New Roman"/>
          <w:b/>
          <w:i w:val="false"/>
          <w:color w:val="000000"/>
          <w:sz w:val="22"/>
        </w:rPr>
        <w:t xml:space="preserve">(511,521A) </w:t>
      </w:r>
      <w:r>
        <w:rPr>
          <w:rFonts w:ascii="Times New Roman" w:hAnsi="Times New Roman"/>
          <w:b/>
          <w:i w:val="false"/>
          <w:color w:val="000000"/>
          <w:sz w:val="22"/>
        </w:rPr>
        <w:t xml:space="preserve">Exemption from applicability. </w:t>
      </w:r>
      <w:r>
        <w:rPr>
          <w:rFonts w:ascii="Times New Roman" w:hAnsi="Times New Roman"/>
          <w:b w:val="false"/>
          <w:i w:val="false"/>
          <w:color w:val="000000"/>
          <w:sz w:val="22"/>
        </w:rPr>
        <w:t>This chapter shall not apply to any conduit that is not engaging in aggregated derivative transactions with a domestic insurer.</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8">
        <w:r>
          <w:rPr>
            <w:rStyle w:val="Hyperlink"/>
            <w:rFonts w:ascii="Times New Roman" w:hAnsi="Times New Roman"/>
            <w:b w:val="false"/>
            <w:i w:val="false"/>
            <w:color w:val="000000"/>
            <w:sz w:val="22"/>
          </w:rPr>
          <w:t>511.8(22)</w:t>
        </w:r>
        <w:r>
          <w:rPr>
            <w:rFonts w:ascii="Times New Roman" w:hAnsi="Times New Roman"/>
            <w:b w:val="false"/>
            <w:i/>
            <w:color w:val="000000"/>
            <w:sz w:val="22"/>
          </w:rPr>
          <w:t>“b,”</w:t>
        </w:r>
      </w:hyperlink>
      <w:hyperlink r:id="rId19">
        <w:r>
          <w:rPr>
            <w:rStyle w:val="Hyperlink"/>
            <w:rFonts w:ascii="Times New Roman" w:hAnsi="Times New Roman"/>
            <w:b w:val="false"/>
            <w:i w:val="false"/>
            <w:color w:val="000000"/>
            <w:sz w:val="22"/>
          </w:rPr>
          <w:t>521A.2(1)</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521A.2(3)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2006 Iowa Acts, Senate File 2364</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9/8/06, Notice 8/2/06—published 9/27/06, effective 11/1/06]</w:t>
      </w:r>
    </w:p>
    <w:p>
      <w:pPr>
        <w:spacing w:before="0" w:after="0"/>
        <w:ind w:left="120"/>
        <w:jc w:val="center"/>
      </w:pPr>
      <w:r>
        <w:rPr>
          <w:rFonts w:ascii="Times New Roman" w:hAnsi="Times New Roman"/>
          <w:b w:val="false"/>
          <w:i w:val="false"/>
          <w:color w:val="000000"/>
          <w:sz w:val="21"/>
        </w:rPr>
        <w:t>[Filed ARC 8062B</w:t>
      </w:r>
      <w:r>
        <w:rPr>
          <w:rFonts w:ascii="Times New Roman" w:hAnsi="Times New Roman"/>
          <w:b w:val="false"/>
          <w:i w:val="false"/>
          <w:color w:val="000000"/>
          <w:sz w:val="21"/>
        </w:rPr>
        <w:t xml:space="preserve"> (Notice ARC 7914B, IAB 7/1/09)</w:t>
      </w:r>
      <w:r>
        <w:rPr>
          <w:rFonts w:ascii="Times New Roman" w:hAnsi="Times New Roman"/>
          <w:b w:val="false"/>
          <w:i w:val="false"/>
          <w:color w:val="000000"/>
          <w:sz w:val="21"/>
        </w:rPr>
        <w:t>, IAB 8/26/09, effective 9/30/09]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21A.5.pdf" Type="http://schemas.openxmlformats.org/officeDocument/2006/relationships/hyperlink" Id="rId5"/>
    <Relationship TargetMode="External" Target="https://www.legis.iowa.gov/docs/ico/chapter/521A.5.pdf" Type="http://schemas.openxmlformats.org/officeDocument/2006/relationships/hyperlink" Id="rId6"/>
    <Relationship TargetMode="External" Target="https://www.legis.iowa.gov/docs/ico/chapter/521A.1.pdf" Type="http://schemas.openxmlformats.org/officeDocument/2006/relationships/hyperlink" Id="rId7"/>
    <Relationship TargetMode="External" Target="https://www.legis.iowa.gov/docs/ico/chapter/511.8.pdf" Type="http://schemas.openxmlformats.org/officeDocument/2006/relationships/hyperlink" Id="rId8"/>
    <Relationship TargetMode="External" Target="https://www.legis.iowa.gov/docs/ico/chapter/521A.1.pdf" Type="http://schemas.openxmlformats.org/officeDocument/2006/relationships/hyperlink" Id="rId9"/>
    <Relationship TargetMode="External" Target="https://www.legis.iowa.gov/docs/ico/chapter/521A.1.pdf" Type="http://schemas.openxmlformats.org/officeDocument/2006/relationships/hyperlink" Id="rId10"/>
    <Relationship TargetMode="External" Target="https://www.legis.iowa.gov/docs/ico/chapter/521A.1.pdf" Type="http://schemas.openxmlformats.org/officeDocument/2006/relationships/hyperlink" Id="rId11"/>
    <Relationship TargetMode="External" Target="https://www.legis.iowa.gov/docs/iac/rule/191.49.2.pdf" Type="http://schemas.openxmlformats.org/officeDocument/2006/relationships/hyperlink" Id="rId12"/>
    <Relationship TargetMode="External" Target="https://www.legis.iowa.gov/docs/iac/rule/191.49.2.pdf" Type="http://schemas.openxmlformats.org/officeDocument/2006/relationships/hyperlink" Id="rId13"/>
    <Relationship TargetMode="External" Target="https://www.legis.iowa.gov/docs/ico/chapter/521A.5.pdf" Type="http://schemas.openxmlformats.org/officeDocument/2006/relationships/hyperlink" Id="rId14"/>
    <Relationship TargetMode="External" Target="https://www.legis.iowa.gov/docs/ico/chapter/521A.5.pdf" Type="http://schemas.openxmlformats.org/officeDocument/2006/relationships/hyperlink" Id="rId15"/>
    <Relationship TargetMode="External" Target="https://www.legis.iowa.gov/docs/ico/chapter/521A.5.pdf" Type="http://schemas.openxmlformats.org/officeDocument/2006/relationships/hyperlink" Id="rId16"/>
    <Relationship TargetMode="External" Target="https://www.legis.iowa.gov/docs/iac/rule/191.93.6.pdf" Type="http://schemas.openxmlformats.org/officeDocument/2006/relationships/hyperlink" Id="rId17"/>
    <Relationship TargetMode="External" Target="https://www.legis.iowa.gov/docs/ico/chapter/511.8.pdf" Type="http://schemas.openxmlformats.org/officeDocument/2006/relationships/hyperlink" Id="rId18"/>
    <Relationship TargetMode="External" Target="https://www.legis.iowa.gov/docs/ico/chapter/521A.2.pdf" Type="http://schemas.openxmlformats.org/officeDocument/2006/relationships/hyperlink" Id="rId19"/>
    <Relationship TargetMode="External" Target="https://www.legis.iowa.gov/docs/ico/chapter/521A.2.pdf" Type="http://schemas.openxmlformats.org/officeDocument/2006/relationships/hyperlink"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