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w:t>
      </w:r>
    </w:p>
    <w:p>
      <w:pPr>
        <w:spacing w:before="0" w:after="0"/>
        <w:ind w:left="120"/>
        <w:jc w:val="center"/>
      </w:pPr>
      <w:r>
        <w:rPr>
          <w:rFonts w:ascii="Times New Roman" w:hAnsi="Times New Roman"/>
          <w:b w:val="false"/>
          <w:i w:val="false"/>
          <w:color w:val="000000"/>
          <w:sz w:val="21"/>
        </w:rPr>
        <w:t>UNIVERSAL LIFE INSURANCE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191—92.1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and authority. </w:t>
      </w:r>
      <w:r>
        <w:rPr>
          <w:rFonts w:ascii="Times New Roman" w:hAnsi="Times New Roman"/>
          <w:b w:val="false"/>
          <w:i w:val="false"/>
          <w:color w:val="000000"/>
          <w:sz w:val="22"/>
        </w:rPr>
        <w:t xml:space="preserve">The purpose of these rules is to supplement existing regulations on life insurance policies in order to accommodate the development and issuance of universal life plans. These rules are authorized by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are intended to implement Iowa Code sections </w:t>
      </w:r>
      <w:hyperlink r:id="rId6">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191—92.2</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surrender value” </w:t>
      </w:r>
      <w:r>
        <w:rPr>
          <w:rFonts w:ascii="Times New Roman" w:hAnsi="Times New Roman"/>
          <w:b w:val="false"/>
          <w:i w:val="false"/>
          <w:color w:val="000000"/>
          <w:sz w:val="22"/>
        </w:rPr>
        <w:t>means the net cash surrender value plus any amounts outstanding as policy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insurance commissioner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“Fixed premium universal life insurance policy” </w:t>
      </w:r>
      <w:r>
        <w:rPr>
          <w:rFonts w:ascii="Times New Roman" w:hAnsi="Times New Roman"/>
          <w:b w:val="false"/>
          <w:i w:val="false"/>
          <w:color w:val="000000"/>
          <w:sz w:val="22"/>
        </w:rPr>
        <w:t>means a universal life insurance policy other than a flexible premium universal life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“Flexible premium universal life insurance policy” </w:t>
      </w:r>
      <w:r>
        <w:rPr>
          <w:rFonts w:ascii="Times New Roman" w:hAnsi="Times New Roman"/>
          <w:b w:val="false"/>
          <w:i w:val="false"/>
          <w:color w:val="000000"/>
          <w:sz w:val="22"/>
        </w:rPr>
        <w:t>means a universal life insurance policy which permits the policyowner to vary, independently of each other, the amount or timing of one or more premium payments or the amount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“Interest-indexed universal life insurance policy”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“interest-indexed policy” </w:t>
      </w:r>
      <w:r>
        <w:rPr>
          <w:rFonts w:ascii="Times New Roman" w:hAnsi="Times New Roman"/>
          <w:b w:val="false"/>
          <w:i w:val="false"/>
          <w:color w:val="000000"/>
          <w:sz w:val="22"/>
        </w:rPr>
        <w:t>means any universal life insurance policy in which the interest credits are linked to an external referent.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cash surrender value” </w:t>
      </w:r>
      <w:r>
        <w:rPr>
          <w:rFonts w:ascii="Times New Roman" w:hAnsi="Times New Roman"/>
          <w:b w:val="false"/>
          <w:i w:val="false"/>
          <w:color w:val="000000"/>
          <w:sz w:val="22"/>
        </w:rPr>
        <w:t>means the maximum amount payable to the policyowner upon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 value” </w:t>
      </w:r>
      <w:r>
        <w:rPr>
          <w:rFonts w:ascii="Times New Roman" w:hAnsi="Times New Roman"/>
          <w:b w:val="false"/>
          <w:i w:val="false"/>
          <w:color w:val="000000"/>
          <w:sz w:val="22"/>
        </w:rPr>
        <w:t>means the amount to which separately identified interest credits and mortality, expense, or other charges are made under a universal life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“Universal life insurance policy” </w:t>
      </w:r>
      <w:r>
        <w:rPr>
          <w:rFonts w:ascii="Times New Roman" w:hAnsi="Times New Roman"/>
          <w:b w:val="false"/>
          <w:i w:val="false"/>
          <w:color w:val="000000"/>
          <w:sz w:val="22"/>
        </w:rPr>
        <w:t>means a life insurance policy where separately identified interest credits (other than in connection with dividend accumulations, premium deposit funds, or other supplementary accounts) and mortality and expense charges are made to the policy. A universal life insurance policy may provide for other credits and charges, such as charges for the cost of benefits provided by rider.</w:t>
      </w:r>
    </w:p>
    <w:p>
      <w:pPr>
        <w:spacing w:before="210" w:after="0"/>
        <w:ind w:left="120"/>
        <w:jc w:val="both"/>
      </w:pPr>
      <w:r>
        <w:rPr>
          <w:rFonts w:ascii="Times New Roman" w:hAnsi="Times New Roman"/>
          <w:b/>
          <w:i w:val="false"/>
          <w:color w:val="000000"/>
          <w:sz w:val="22"/>
        </w:rPr>
        <w:t>191—92.3</w:t>
      </w:r>
      <w:r>
        <w:rPr>
          <w:rFonts w:ascii="Times New Roman" w:hAnsi="Times New Roman"/>
          <w:b/>
          <w:i w:val="false"/>
          <w:color w:val="000000"/>
          <w:sz w:val="22"/>
        </w:rPr>
        <w:t xml:space="preserve">(508) </w:t>
      </w:r>
      <w:r>
        <w:rPr>
          <w:rFonts w:ascii="Times New Roman" w:hAnsi="Times New Roman"/>
          <w:b/>
          <w:i w:val="false"/>
          <w:color w:val="000000"/>
          <w:sz w:val="22"/>
        </w:rPr>
        <w:t xml:space="preserve">Scope. </w:t>
      </w:r>
      <w:r>
        <w:rPr>
          <w:rFonts w:ascii="Times New Roman" w:hAnsi="Times New Roman"/>
          <w:b w:val="false"/>
          <w:i w:val="false"/>
          <w:color w:val="000000"/>
          <w:sz w:val="22"/>
        </w:rPr>
        <w:t>These rules apply to all individual universal life insurance policies except variable universal life insurance policies.</w:t>
      </w:r>
    </w:p>
    <w:p>
      <w:pPr>
        <w:spacing w:before="0" w:after="0"/>
        <w:ind w:left="120"/>
        <w:jc w:val="both"/>
      </w:pPr>
      <w:r>
        <w:rPr>
          <w:rFonts w:ascii="Times New Roman" w:hAnsi="Times New Roman"/>
          <w:b/>
          <w:i w:val="false"/>
          <w:color w:val="000000"/>
          <w:sz w:val="22"/>
        </w:rPr>
        <w:t>191—92.4</w:t>
      </w:r>
      <w:r>
        <w:rPr>
          <w:rFonts w:ascii="Times New Roman" w:hAnsi="Times New Roman"/>
          <w:b/>
          <w:i w:val="false"/>
          <w:color w:val="000000"/>
          <w:sz w:val="22"/>
        </w:rPr>
        <w:t xml:space="preserve">(508) </w:t>
      </w:r>
      <w:r>
        <w:rPr>
          <w:rFonts w:ascii="Times New Roman" w:hAnsi="Times New Roman"/>
          <w:b/>
          <w:i w:val="false"/>
          <w:color w:val="000000"/>
          <w:sz w:val="22"/>
        </w:rPr>
        <w:t xml:space="preserv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The minimum valuation standard for universal life insurance policies shall be the commissioners reserve valuation method, as specified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below for such policies, and the tables and interest rates specified below. The terminal reserve for the basic policy and any benefits and riders for which premiums are not paid separately as of any policy anniversary shall be equal to the net level premium reserves less (C) and less (D),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Reserves by the net level premium method shall be equal to ((</w:t>
      </w:r>
      <w:r>
        <w:rPr>
          <w:rFonts w:ascii="Times New Roman" w:hAnsi="Times New Roman"/>
          <w:b w:val="false"/>
          <w:i/>
          <w:color w:val="000000"/>
          <w:sz w:val="22"/>
        </w:rPr>
        <w:t>A</w:t>
      </w:r>
      <w:r>
        <w:rPr>
          <w:rFonts w:ascii="Times New Roman" w:hAnsi="Times New Roman"/>
          <w:b w:val="false"/>
          <w:i w:val="false"/>
          <w:color w:val="000000"/>
          <w:sz w:val="22"/>
        </w:rPr>
        <w:t>)</w:t>
      </w:r>
      <w:r>
        <w:rPr>
          <w:rFonts w:ascii="Times New Roman" w:hAnsi="Times New Roman"/>
          <w:b w:val="false"/>
          <w:i/>
          <w:color w:val="000000"/>
          <w:sz w:val="22"/>
        </w:rPr>
        <w:t xml:space="preserve"> - </w:t>
      </w:r>
      <w:r>
        <w:rPr>
          <w:rFonts w:ascii="Times New Roman" w:hAnsi="Times New Roman"/>
          <w:b w:val="false"/>
          <w:i w:val="false"/>
          <w:color w:val="000000"/>
          <w:sz w:val="22"/>
        </w:rPr>
        <w:t>(</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 r</w:t>
      </w:r>
      <w:r>
        <w:rPr>
          <w:rFonts w:ascii="Times New Roman" w:hAnsi="Times New Roman"/>
          <w:b w:val="false"/>
          <w:i w:val="false"/>
          <w:color w:val="000000"/>
          <w:sz w:val="22"/>
        </w:rPr>
        <w:t>, where (A), (B) and “r” are as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is the present value of all future guaranteed benefits at the date of 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 is the quantity </w:t>
      </w:r>
      <w:r>
        <w:rPr>
          <w:rFonts w:ascii="Times New Roman" w:hAnsi="Times New Roman"/>
          <w:b w:val="false"/>
          <w:i/>
          <w:color w:val="000000"/>
          <w:sz w:val="22"/>
        </w:rPr>
        <w:t xml:space="preserve">PVFB </w:t>
      </w:r>
      <w:r>
        <w:rPr>
          <w:rFonts w:ascii="Times New Roman" w:hAnsi="Times New Roman"/>
          <w:b w:val="false"/>
          <w:i w:val="false"/>
          <w:color w:val="000000"/>
          <w:sz w:val="22"/>
        </w:rPr>
        <w:t>× (</w:t>
      </w:r>
      <w:r>
        <w:rPr>
          <w:rFonts w:ascii="Times New Roman" w:hAnsi="Times New Roman"/>
          <w:b w:val="false"/>
          <w:i/>
          <w:color w:val="000000"/>
          <w:sz w:val="22"/>
        </w:rPr>
        <w:t>ä</w:t>
      </w:r>
      <w:r>
        <w:rPr>
          <w:rFonts w:ascii="Times New Roman" w:hAnsi="Times New Roman"/>
          <w:b w:val="false"/>
          <w:i/>
          <w:color w:val="000000"/>
          <w:sz w:val="18"/>
          <w:vertAlign w:val="subscript"/>
        </w:rPr>
        <w:t>x+t</w:t>
      </w: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 where PVFB is the present value of all benefits guaranteed at issue assuming future guaranteed maturity premiums are paid by the policyowner and taking into account all guarantees contained in the policy or declared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äx</w:t>
      </w:r>
      <w:r>
        <w:rPr>
          <w:rFonts w:ascii="Times New Roman" w:hAnsi="Times New Roman"/>
          <w:b w:val="false"/>
          <w:i w:val="false"/>
          <w:color w:val="000000"/>
          <w:sz w:val="22"/>
        </w:rPr>
        <w:t xml:space="preserve"> and </w:t>
      </w:r>
      <w:r>
        <w:rPr>
          <w:rFonts w:ascii="Times New Roman" w:hAnsi="Times New Roman"/>
          <w:b w:val="false"/>
          <w:i/>
          <w:color w:val="000000"/>
          <w:sz w:val="22"/>
        </w:rPr>
        <w:t>ä</w:t>
      </w:r>
      <w:r>
        <w:rPr>
          <w:rFonts w:ascii="Times New Roman" w:hAnsi="Times New Roman"/>
          <w:b w:val="false"/>
          <w:i/>
          <w:color w:val="000000"/>
          <w:sz w:val="18"/>
          <w:vertAlign w:val="subscript"/>
        </w:rPr>
        <w:t>x+t</w:t>
      </w:r>
      <w:r>
        <w:rPr>
          <w:rFonts w:ascii="Times New Roman" w:hAnsi="Times New Roman"/>
          <w:b w:val="false"/>
          <w:i w:val="false"/>
          <w:color w:val="000000"/>
          <w:sz w:val="22"/>
        </w:rPr>
        <w:t xml:space="preserve"> are present values of an annuity of one per year payable on policy anniversaries beginning at ages x and x+t, respectively, and continuing until the highest attained age at which a premium may be paid under the policy. The letter “x” is defined as the issue age and the letter “t” is defined as the duration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guaranteed maturity premium for flexible premium universal life insurance policies shall be that level gross premium, paid at issue and periodically thereafter over the period during which premiums are allowed to be paid, which will mature the policy on the latest maturity date, if any, permitted under the policy (otherwise at the highest age in the valuation mortality table) for an amount which is in accordance with the policy structure. The guaranteed maturity premium is calculated at issue based on all policy guarantees at issue (excluding guarantees linked to an external referent). The guaranteed maturity premium for fixed premium universal life insurance policies shall be the premium defined in the policy which at issue provides the minimum policy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letter “r” is equal to one, unless the policy is a flexible premium policy and the policy value is less than the guaranteed maturity fund, in which case “r” is the ratio of the policy value to the guaranteed maturity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guaranteed maturity fund at any duration is that amount which, together with future guaranteed maturity premiums, will mature the policy based on all policy guarantees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 is the quantity ((</w:t>
      </w:r>
      <w:r>
        <w:rPr>
          <w:rFonts w:ascii="Times New Roman" w:hAnsi="Times New Roman"/>
          <w:b w:val="false"/>
          <w:i/>
          <w:color w:val="000000"/>
          <w:sz w:val="22"/>
        </w:rPr>
        <w:t>a</w:t>
      </w:r>
      <w:r>
        <w:rPr>
          <w:rFonts w:ascii="Times New Roman" w:hAnsi="Times New Roman"/>
          <w:b w:val="false"/>
          <w:i w:val="false"/>
          <w:color w:val="000000"/>
          <w:sz w:val="22"/>
        </w:rPr>
        <w:t>)</w:t>
      </w:r>
      <w:r>
        <w:rPr>
          <w:rFonts w:ascii="Times New Roman" w:hAnsi="Times New Roman"/>
          <w:b w:val="false"/>
          <w:i/>
          <w:color w:val="000000"/>
          <w:sz w:val="22"/>
        </w:rPr>
        <w:t>-</w:t>
      </w:r>
      <w:r>
        <w:rPr>
          <w:rFonts w:ascii="Times New Roman" w:hAnsi="Times New Roman"/>
          <w:b w:val="false"/>
          <w:i w:val="false"/>
          <w:color w:val="000000"/>
          <w:sz w:val="22"/>
        </w:rPr>
        <w:t>(</w:t>
      </w:r>
      <w:r>
        <w:rPr>
          <w:rFonts w:ascii="Times New Roman" w:hAnsi="Times New Roman"/>
          <w:b w:val="false"/>
          <w:i/>
          <w:color w:val="000000"/>
          <w:sz w:val="22"/>
        </w:rPr>
        <w:t>b</w:t>
      </w:r>
      <w:r>
        <w:rPr>
          <w:rFonts w:ascii="Times New Roman" w:hAnsi="Times New Roman"/>
          <w:b w:val="false"/>
          <w:i w:val="false"/>
          <w:color w:val="000000"/>
          <w:sz w:val="22"/>
        </w:rPr>
        <w:t>)) × (</w:t>
      </w:r>
      <w:r>
        <w:rPr>
          <w:rFonts w:ascii="Times New Roman" w:hAnsi="Times New Roman"/>
          <w:b w:val="false"/>
          <w:i/>
          <w:color w:val="000000"/>
          <w:sz w:val="22"/>
        </w:rPr>
        <w:t>ä</w:t>
      </w:r>
      <w:r>
        <w:rPr>
          <w:rFonts w:ascii="Times New Roman" w:hAnsi="Times New Roman"/>
          <w:b w:val="false"/>
          <w:i/>
          <w:color w:val="000000"/>
          <w:sz w:val="18"/>
          <w:vertAlign w:val="subscript"/>
        </w:rPr>
        <w:t>x+t</w:t>
      </w: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 ×</w:t>
      </w:r>
      <w:r>
        <w:rPr>
          <w:rFonts w:ascii="Times New Roman" w:hAnsi="Times New Roman"/>
          <w:b w:val="false"/>
          <w:i/>
          <w:color w:val="000000"/>
          <w:sz w:val="22"/>
        </w:rPr>
        <w:t xml:space="preserve"> r</w:t>
      </w:r>
      <w:r>
        <w:rPr>
          <w:rFonts w:ascii="Times New Roman" w:hAnsi="Times New Roman"/>
          <w:b w:val="false"/>
          <w:i w:val="false"/>
          <w:color w:val="000000"/>
          <w:sz w:val="22"/>
        </w:rPr>
        <w:t>, where (a)</w:t>
      </w:r>
      <w:r>
        <w:rPr>
          <w:rFonts w:ascii="Times New Roman" w:hAnsi="Times New Roman"/>
          <w:b w:val="false"/>
          <w:i/>
          <w:color w:val="000000"/>
          <w:sz w:val="22"/>
        </w:rPr>
        <w:t>-</w:t>
      </w:r>
      <w:r>
        <w:rPr>
          <w:rFonts w:ascii="Times New Roman" w:hAnsi="Times New Roman"/>
          <w:b w:val="false"/>
          <w:i w:val="false"/>
          <w:color w:val="000000"/>
          <w:sz w:val="22"/>
        </w:rPr>
        <w:t xml:space="preserve">(b) is as described in Iowa Code section </w:t>
      </w:r>
      <w:hyperlink r:id="rId8">
        <w:r>
          <w:rPr>
            <w:rStyle w:val="Hyperlink"/>
            <w:rFonts w:ascii="Times New Roman" w:hAnsi="Times New Roman"/>
            <w:b w:val="false"/>
            <w:i w:val="false"/>
            <w:color w:val="000000"/>
            <w:sz w:val="22"/>
          </w:rPr>
          <w:t>508.36(6)</w:t>
        </w:r>
      </w:hyperlink>
      <w:r>
        <w:rPr>
          <w:rFonts w:ascii="Times New Roman" w:hAnsi="Times New Roman"/>
          <w:b w:val="false"/>
          <w:i w:val="false"/>
          <w:color w:val="000000"/>
          <w:sz w:val="22"/>
        </w:rPr>
        <w:t xml:space="preserve"> for the plan of insurance defined at issue by the guaranteed maturity premiums and all guarantees contained in the policy or declared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 äx+t</w:t>
      </w:r>
      <w:r>
        <w:rPr>
          <w:rFonts w:ascii="Times New Roman" w:hAnsi="Times New Roman"/>
          <w:b w:val="false"/>
          <w:i w:val="false"/>
          <w:color w:val="000000"/>
          <w:sz w:val="22"/>
        </w:rPr>
        <w:t xml:space="preserve"> and </w:t>
      </w: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 xml:space="preserve"> are defined in paragraph</w:t>
      </w:r>
      <w:r>
        <w:rPr>
          <w:rFonts w:ascii="Times New Roman" w:hAnsi="Times New Roman"/>
          <w:b w:val="false"/>
          <w:i/>
          <w:color w:val="000000"/>
          <w:sz w:val="22"/>
        </w:rPr>
        <w:t xml:space="preserve"> “d” </w:t>
      </w:r>
      <w:r>
        <w:rPr>
          <w:rFonts w:ascii="Times New Roman" w:hAnsi="Times New Roman"/>
          <w:b w:val="false"/>
          <w:i w:val="false"/>
          <w:color w:val="000000"/>
          <w:sz w:val="22"/>
        </w:rPr>
        <w:t>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 is the sum of any additional quantities analogous to (C) which arise because of structural changes in the policy, with each such quantity being determined on a basis consistent with that of (C) using the maturity date in effect at the time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guaranteed maturity premium, the guaranteed maturity fund and (B) above shall be recalculated to reflect any structural changes in the policy. This recalculation shall be done in a manner consistent with the descriptions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Future guaranteed benefits are determined by: (1) projecting the greater of the guaranteed maturity fund and the policy value, taking into account future guaranteed maturity premiums, if any, and using all guarantees of interest, mortality, expense deductions,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contained in the policy or declared by the insurer; and (2) taking into account any benefits guaranteed in the policy or by declaration which do not depend on the policy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present values shall be determined using: (1) an interest rate (or rates) specified by Iowa Code section </w:t>
      </w:r>
      <w:hyperlink r:id="rId9">
        <w:r>
          <w:rPr>
            <w:rStyle w:val="Hyperlink"/>
            <w:rFonts w:ascii="Times New Roman" w:hAnsi="Times New Roman"/>
            <w:b w:val="false"/>
            <w:i w:val="false"/>
            <w:color w:val="000000"/>
            <w:sz w:val="22"/>
          </w:rPr>
          <w:t>508.36(3)</w:t>
        </w:r>
      </w:hyperlink>
      <w:r>
        <w:rPr>
          <w:rFonts w:ascii="Times New Roman" w:hAnsi="Times New Roman"/>
          <w:b w:val="false"/>
          <w:i w:val="false"/>
          <w:color w:val="000000"/>
          <w:sz w:val="22"/>
        </w:rPr>
        <w:t xml:space="preserve"> through (5) for policies issued in the same year; (2) the mortality rates specified by Iowa Code section </w:t>
      </w:r>
      <w:hyperlink r:id="rId10">
        <w:r>
          <w:rPr>
            <w:rStyle w:val="Hyperlink"/>
            <w:rFonts w:ascii="Times New Roman" w:hAnsi="Times New Roman"/>
            <w:b w:val="false"/>
            <w:i w:val="false"/>
            <w:color w:val="000000"/>
            <w:sz w:val="22"/>
          </w:rPr>
          <w:t>508.36(3)</w:t>
        </w:r>
      </w:hyperlink>
      <w:r>
        <w:rPr>
          <w:rFonts w:ascii="Times New Roman" w:hAnsi="Times New Roman"/>
          <w:b w:val="false"/>
          <w:i w:val="false"/>
          <w:color w:val="000000"/>
          <w:sz w:val="22"/>
        </w:rPr>
        <w:t xml:space="preserve"> and (4) for policies issued in the same year or contained in such other table as may be approved by the commissioner for this purpose; and (3) any other tables needed to value supplementary benefits provided by a rider which is being valued together with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92.4(2)</w:t>
      </w:r>
      <w:r>
        <w:rPr>
          <w:rFonts w:ascii="Times New Roman" w:hAnsi="Times New Roman"/>
          <w:b w:val="false"/>
          <w:i w:val="false"/>
          <w:color w:val="000000"/>
          <w:sz w:val="22"/>
        </w:rPr>
        <w:t> </w:t>
      </w:r>
      <w:r>
        <w:rPr>
          <w:rFonts w:ascii="Times New Roman" w:hAnsi="Times New Roman"/>
          <w:b w:val="false"/>
          <w:i/>
          <w:color w:val="000000"/>
          <w:sz w:val="22"/>
        </w:rPr>
        <w:t xml:space="preserve">Alternative minimum reserves.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 any policy year, the guaranteed maturity premium on any universal life insurance policy is less than the valuation net premium for such policy, calculated by the valuation method actually used in calculating the reserve thereon but using the minimum valuation standards of mortality and rate of interest, the minimum reserve required for such contract shall be the greater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reserve calculated according to the method, the mortality table, and the rate of interest actually used;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reserve calculated according to the method actually used but using the minimum valuation standards of mortality and rate of interest and replacing the valuation net premium by the guaranteed maturity premium in each policy year for which the valuation net premium exceeds the guaranteed maturity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universal life insurance reserves on a net level premium basis, the valuation net premium is </w:t>
      </w:r>
      <w:r>
        <w:rPr>
          <w:rFonts w:ascii="Times New Roman" w:hAnsi="Times New Roman"/>
          <w:b w:val="false"/>
          <w:i/>
          <w:color w:val="000000"/>
          <w:sz w:val="22"/>
        </w:rPr>
        <w:t>PVFB/ä</w:t>
      </w:r>
      <w:r>
        <w:rPr>
          <w:rFonts w:ascii="Times New Roman" w:hAnsi="Times New Roman"/>
          <w:b w:val="false"/>
          <w:i/>
          <w:color w:val="000000"/>
          <w:sz w:val="18"/>
          <w:vertAlign w:val="subscript"/>
        </w:rPr>
        <w:t>x</w:t>
      </w:r>
      <w:r>
        <w:rPr>
          <w:rFonts w:ascii="Times New Roman" w:hAnsi="Times New Roman"/>
          <w:b w:val="false"/>
          <w:i w:val="false"/>
          <w:color w:val="000000"/>
          <w:sz w:val="22"/>
        </w:rPr>
        <w:t xml:space="preserve">, and for reserves on a commissioners reserve valuation method, the valuation net premium is </w:t>
      </w:r>
      <w:r>
        <w:rPr>
          <w:rFonts w:ascii="Times New Roman" w:hAnsi="Times New Roman"/>
          <w:b w:val="false"/>
          <w:i/>
          <w:color w:val="000000"/>
          <w:sz w:val="22"/>
        </w:rPr>
        <w:t>PVFB/ä</w:t>
      </w:r>
      <w:r>
        <w:rPr>
          <w:rFonts w:ascii="Times New Roman" w:hAnsi="Times New Roman"/>
          <w:b w:val="false"/>
          <w:i/>
          <w:color w:val="000000"/>
          <w:sz w:val="18"/>
          <w:vertAlign w:val="subscript"/>
        </w:rPr>
        <w:t>x</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 ((</w:t>
      </w:r>
      <w:r>
        <w:rPr>
          <w:rFonts w:ascii="Times New Roman" w:hAnsi="Times New Roman"/>
          <w:b w:val="false"/>
          <w:i/>
          <w:color w:val="000000"/>
          <w:sz w:val="22"/>
        </w:rPr>
        <w:t>a</w:t>
      </w:r>
      <w:r>
        <w:rPr>
          <w:rFonts w:ascii="Times New Roman" w:hAnsi="Times New Roman"/>
          <w:b w:val="false"/>
          <w:i w:val="false"/>
          <w:color w:val="000000"/>
          <w:sz w:val="22"/>
        </w:rPr>
        <w:t xml:space="preserve">) </w:t>
      </w:r>
      <w:r>
        <w:rPr>
          <w:rFonts w:ascii="Times New Roman" w:hAnsi="Times New Roman"/>
          <w:b w:val="false"/>
          <w:i/>
          <w:color w:val="000000"/>
          <w:sz w:val="22"/>
        </w:rPr>
        <w:t>-</w:t>
      </w:r>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w:t>
      </w: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191—92.5</w:t>
      </w:r>
      <w:r>
        <w:rPr>
          <w:rFonts w:ascii="Times New Roman" w:hAnsi="Times New Roman"/>
          <w:b/>
          <w:i w:val="false"/>
          <w:color w:val="000000"/>
          <w:sz w:val="22"/>
        </w:rPr>
        <w:t xml:space="preserve">(508) </w:t>
      </w:r>
      <w:r>
        <w:rPr>
          <w:rFonts w:ascii="Times New Roman" w:hAnsi="Times New Roman"/>
          <w:b/>
          <w:i w:val="false"/>
          <w:color w:val="000000"/>
          <w:sz w:val="22"/>
        </w:rPr>
        <w:t xml:space="preserve">Nonforfeiture.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92.5(1)</w:t>
      </w:r>
      <w:r>
        <w:rPr>
          <w:rFonts w:ascii="Times New Roman" w:hAnsi="Times New Roman"/>
          <w:b w:val="false"/>
          <w:i w:val="false"/>
          <w:color w:val="000000"/>
          <w:sz w:val="22"/>
        </w:rPr>
        <w:t> </w:t>
      </w:r>
      <w:r>
        <w:rPr>
          <w:rFonts w:ascii="Times New Roman" w:hAnsi="Times New Roman"/>
          <w:b w:val="false"/>
          <w:i/>
          <w:color w:val="000000"/>
          <w:sz w:val="22"/>
        </w:rPr>
        <w:t xml:space="preserve">Minimum cash surrender values for flexible premium universal life insurance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cash surrender values for flexible premium universal life insurance policies shall be determined separately for the basic policy and any benefits and riders for which premiums are paid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pertain to a basic policy and any benefits and riders for which premiums are not paid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cash surrender value (before adjustment for indebtedness and dividend credits) available on a date as of which interest is credited to the policy shall be equal to the accumulation to that date of the premiums paid minus the accumulations to that date of (a) the benefit charges; (b) the averaged administrative expense charges for the first policy year and any insurance-increase years; (c) actual administrative expense charges for other years; (d) initial and additional acquisition expense charges not exceeding the initial or additional expense allowances, respectively; (e) any service charges actually made (excluding charges for cash surrender or election of a paid-up nonforfeiture benefit); and (f) any deductions made for partial withdrawals; all accumulations being at the actual rate or rates of interest at which interest credits have been made unconditionally to the policy (or have been made conditionally, but for which the conditions have since been met), and minus any unamortized unused initial and additional expense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on the premiums and on all charges referred to in (a) through (f) in subparagraph (1) above shall be accumulated from and to such dates as are consistent with the manner in which interest is credited in determining the policy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benefit charges shall include the charges made for mortality and any charges made for riders or supplementary benefits for which premiums are not paid separately. If benefit charges are substantially level by duration and develop low or no cash values, then the commissioner shall have the right to require higher cash values unless the insurer provides adequate justification that the cash values are appropriate in relation to the policy’s other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administrative expense charges shall include charges per premium payment, charges per dollar of premium paid, periodic charges per thousand dollars of insurance, periodic per policy charges, and any other charges permitted by the policy to be imposed without regard to the policyowner’s request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averaged administrative expense charges for any year shall be those which would have been imposed in that year if the charge rate or rates for each transaction or period within the year had been equal to the arithmetic average of the corresponding charge rates which the policy states will be imposed in policy years two through twenty in determining the policy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initial acquisition expense charges shall be the excess of the expense charges, other than service charges, actually made in the first policy year over the averaged administrative expense charges for that year. Additional acquisition expense charges shall be the excess of the expense charges, other than service charges, actually made in an insurance-increase year over the averaged administrative expense charges for that year. An insurance-increase year shall be the year beginning on the date of increase in the amount of insurance by policyowner request (or by the terms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Service charges shall include charges permitted by the policy to be imposed as a result of a policyowner’s request for a service by the insurer (such as the furnishing of future benefit illustrations) or of special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expense allowance shall be the allowance provided by Iowa Code section </w:t>
      </w:r>
      <w:hyperlink r:id="rId11">
        <w:r>
          <w:rPr>
            <w:rStyle w:val="Hyperlink"/>
            <w:rFonts w:ascii="Times New Roman" w:hAnsi="Times New Roman"/>
            <w:b w:val="false"/>
            <w:i w:val="false"/>
            <w:color w:val="000000"/>
            <w:sz w:val="22"/>
          </w:rPr>
          <w:t>508.37(5)</w:t>
        </w:r>
      </w:hyperlink>
      <w:r>
        <w:rPr>
          <w:rFonts w:ascii="Times New Roman" w:hAnsi="Times New Roman"/>
          <w:b w:val="false"/>
          <w:i w:val="false"/>
          <w:color w:val="000000"/>
          <w:sz w:val="22"/>
        </w:rPr>
        <w:t xml:space="preserve">(a)(2) through (4) or by Iowa Code section </w:t>
      </w:r>
      <w:hyperlink r:id="rId12">
        <w:r>
          <w:rPr>
            <w:rStyle w:val="Hyperlink"/>
            <w:rFonts w:ascii="Times New Roman" w:hAnsi="Times New Roman"/>
            <w:b w:val="false"/>
            <w:i w:val="false"/>
            <w:color w:val="000000"/>
            <w:sz w:val="22"/>
          </w:rPr>
          <w:t>508.37(6)</w:t>
        </w:r>
      </w:hyperlink>
      <w:r>
        <w:rPr>
          <w:rFonts w:ascii="Times New Roman" w:hAnsi="Times New Roman"/>
          <w:b w:val="false"/>
          <w:i w:val="false"/>
          <w:color w:val="000000"/>
          <w:sz w:val="22"/>
        </w:rPr>
        <w:t>(a)(2) and (3) for a fixed premium, fixed benefit endowment policy with a face amount equal to the initial face amount of the flexible premium universal life insurance policy, with level premiums paid annually until the highest attained age at which a premium may be paid under the flexible premium universal life insurance policy, and maturing on the latest maturity date permitted under the policy, if any, otherwise at the highest age in the valuation mortality table. The unused initial expense allowance shall be the excess, if any, of the initial expense allowance over the initial acquisition expense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amount of insurance is subsequently increased upon request of the policyowner (or by the terms of the policy), an additional expense allowance and an unused additional expense allowance shall be determined on a basis consistent with subparagraph (8) and with Iowa Code section </w:t>
      </w:r>
      <w:hyperlink r:id="rId13">
        <w:r>
          <w:rPr>
            <w:rStyle w:val="Hyperlink"/>
            <w:rFonts w:ascii="Times New Roman" w:hAnsi="Times New Roman"/>
            <w:b w:val="false"/>
            <w:i w:val="false"/>
            <w:color w:val="000000"/>
            <w:sz w:val="22"/>
          </w:rPr>
          <w:t>508.37(6)</w:t>
        </w:r>
      </w:hyperlink>
      <w:r>
        <w:rPr>
          <w:rFonts w:ascii="Times New Roman" w:hAnsi="Times New Roman"/>
          <w:b w:val="false"/>
          <w:i w:val="false"/>
          <w:color w:val="000000"/>
          <w:sz w:val="22"/>
        </w:rPr>
        <w:t>(e), using the face amount and the latest maturity date permitted at that time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unamortized unused initial expense allowance during the policy year beginning on the policy anniversary at age x+t (where “x” is the same issue age) shall be the unused initial expense allowance multiplied by </w:t>
      </w:r>
      <w:r>
        <w:rPr>
          <w:rFonts w:ascii="Times New Roman" w:hAnsi="Times New Roman"/>
          <w:b w:val="false"/>
          <w:i/>
          <w:color w:val="000000"/>
          <w:sz w:val="22"/>
        </w:rPr>
        <w:t>ä</w:t>
      </w:r>
      <w:r>
        <w:rPr>
          <w:rFonts w:ascii="Times New Roman" w:hAnsi="Times New Roman"/>
          <w:b w:val="false"/>
          <w:i/>
          <w:color w:val="000000"/>
          <w:sz w:val="18"/>
          <w:vertAlign w:val="subscript"/>
        </w:rPr>
        <w:t>x+t</w:t>
      </w: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 xml:space="preserve">, where </w:t>
      </w:r>
      <w:r>
        <w:rPr>
          <w:rFonts w:ascii="Times New Roman" w:hAnsi="Times New Roman"/>
          <w:b w:val="false"/>
          <w:i/>
          <w:color w:val="000000"/>
          <w:sz w:val="22"/>
        </w:rPr>
        <w:t>ä</w:t>
      </w:r>
      <w:r>
        <w:rPr>
          <w:rFonts w:ascii="Times New Roman" w:hAnsi="Times New Roman"/>
          <w:b w:val="false"/>
          <w:i/>
          <w:color w:val="000000"/>
          <w:sz w:val="18"/>
          <w:vertAlign w:val="subscript"/>
        </w:rPr>
        <w:t>x+t</w:t>
      </w:r>
      <w:r>
        <w:rPr>
          <w:rFonts w:ascii="Times New Roman" w:hAnsi="Times New Roman"/>
          <w:b w:val="false"/>
          <w:i w:val="false"/>
          <w:color w:val="000000"/>
          <w:sz w:val="22"/>
        </w:rPr>
        <w:t xml:space="preserve"> and </w:t>
      </w: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 xml:space="preserve"> are present values of an annuity of one per year payable on policy anniversaries beginning at ages x+t and x, respectively, and continuing until the highest attained age at which a premium may be paid under the policy, both on the mortality and interest bases guaranteed in the policy. An unamortized unused additional expense allowance shall be the unused additional expense allowance multiplied by a similar ratio of annuities, with </w:t>
      </w: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 xml:space="preserve"> replaced by an annuity beginning on the date as of which the additional expense allowance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92.5(2)</w:t>
      </w:r>
      <w:r>
        <w:rPr>
          <w:rFonts w:ascii="Times New Roman" w:hAnsi="Times New Roman"/>
          <w:b w:val="false"/>
          <w:i w:val="false"/>
          <w:color w:val="000000"/>
          <w:sz w:val="22"/>
        </w:rPr>
        <w:t> </w:t>
      </w:r>
      <w:r>
        <w:rPr>
          <w:rFonts w:ascii="Times New Roman" w:hAnsi="Times New Roman"/>
          <w:b w:val="false"/>
          <w:i/>
          <w:color w:val="000000"/>
          <w:sz w:val="22"/>
        </w:rPr>
        <w:t xml:space="preserve">Minimum cash surrender values for fixed premium universal life insurance policies. </w:t>
      </w:r>
      <w:r>
        <w:rPr>
          <w:rFonts w:ascii="Times New Roman" w:hAnsi="Times New Roman"/>
          <w:b w:val="false"/>
          <w:i w:val="false"/>
          <w:color w:val="000000"/>
          <w:sz w:val="22"/>
        </w:rPr>
        <w:t>For fixed premium universal life insurance policies, the minimum cash surrender values shall be determined separately for the basic policy and any benefits and riders for which premiums are paid separately. The following requirements pertain to a basic policy and any benefits and riders for which premiums are not paid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cash surrender value (before adjustment for indebtedness and dividend credits) available on a date as of which interest is credited to the policy shall be equal to [(A) - (B) - (C) - (D)], where:</w:t>
      </w:r>
    </w:p>
    <w:p>
      <w:pPr>
        <w:spacing w:before="0" w:after="0"/>
        <w:ind w:left="120"/>
        <w:jc w:val="both"/>
      </w:pPr>
      <w:r>
        <w:rPr>
          <w:rFonts w:ascii="Times New Roman" w:hAnsi="Times New Roman"/>
          <w:b w:val="false"/>
          <w:i w:val="false"/>
          <w:color w:val="000000"/>
          <w:sz w:val="22"/>
        </w:rPr>
        <w:t>(A) is the present value of all future guaranteed benefits;</w:t>
      </w:r>
    </w:p>
    <w:p>
      <w:pPr>
        <w:spacing w:before="0" w:after="0"/>
        <w:ind w:left="120"/>
        <w:jc w:val="both"/>
      </w:pPr>
      <w:r>
        <w:rPr>
          <w:rFonts w:ascii="Times New Roman" w:hAnsi="Times New Roman"/>
          <w:b w:val="false"/>
          <w:i w:val="false"/>
          <w:color w:val="000000"/>
          <w:sz w:val="22"/>
        </w:rPr>
        <w:t xml:space="preserve">(B) is the present value of future adjusted premiums. The adjusted premiums are calculated as described in Iowa Code section </w:t>
      </w:r>
      <w:hyperlink r:id="rId14">
        <w:r>
          <w:rPr>
            <w:rStyle w:val="Hyperlink"/>
            <w:rFonts w:ascii="Times New Roman" w:hAnsi="Times New Roman"/>
            <w:b w:val="false"/>
            <w:i w:val="false"/>
            <w:color w:val="000000"/>
            <w:sz w:val="22"/>
          </w:rPr>
          <w:t>508.37(5)</w:t>
        </w:r>
      </w:hyperlink>
      <w:r>
        <w:rPr>
          <w:rFonts w:ascii="Times New Roman" w:hAnsi="Times New Roman"/>
          <w:b w:val="false"/>
          <w:i w:val="false"/>
          <w:color w:val="000000"/>
          <w:sz w:val="22"/>
        </w:rPr>
        <w:t xml:space="preserve">(a) or Iowa Code section </w:t>
      </w:r>
      <w:hyperlink r:id="rId15">
        <w:r>
          <w:rPr>
            <w:rStyle w:val="Hyperlink"/>
            <w:rFonts w:ascii="Times New Roman" w:hAnsi="Times New Roman"/>
            <w:b w:val="false"/>
            <w:i w:val="false"/>
            <w:color w:val="000000"/>
            <w:sz w:val="22"/>
          </w:rPr>
          <w:t>508.37(6)</w:t>
        </w:r>
      </w:hyperlink>
      <w:r>
        <w:rPr>
          <w:rFonts w:ascii="Times New Roman" w:hAnsi="Times New Roman"/>
          <w:b w:val="false"/>
          <w:i w:val="false"/>
          <w:color w:val="000000"/>
          <w:sz w:val="22"/>
        </w:rPr>
        <w:t xml:space="preserve">(a), as applicable. If Iowa Code section </w:t>
      </w:r>
      <w:hyperlink r:id="rId16">
        <w:r>
          <w:rPr>
            <w:rStyle w:val="Hyperlink"/>
            <w:rFonts w:ascii="Times New Roman" w:hAnsi="Times New Roman"/>
            <w:b w:val="false"/>
            <w:i w:val="false"/>
            <w:color w:val="000000"/>
            <w:sz w:val="22"/>
          </w:rPr>
          <w:t>508.37(6)</w:t>
        </w:r>
      </w:hyperlink>
      <w:r>
        <w:rPr>
          <w:rFonts w:ascii="Times New Roman" w:hAnsi="Times New Roman"/>
          <w:b w:val="false"/>
          <w:i w:val="false"/>
          <w:color w:val="000000"/>
          <w:sz w:val="22"/>
        </w:rPr>
        <w:t xml:space="preserve">(a) is applicable, the nonforfeiture net level premium is equal to the quantity </w:t>
      </w:r>
      <w:r>
        <w:rPr>
          <w:rFonts w:ascii="Times New Roman" w:hAnsi="Times New Roman"/>
          <w:b w:val="false"/>
          <w:i/>
          <w:color w:val="000000"/>
          <w:sz w:val="22"/>
        </w:rPr>
        <w:t>PVFB/ä</w:t>
      </w:r>
      <w:r>
        <w:rPr>
          <w:rFonts w:ascii="Times New Roman" w:hAnsi="Times New Roman"/>
          <w:b w:val="false"/>
          <w:i/>
          <w:color w:val="000000"/>
          <w:sz w:val="18"/>
          <w:vertAlign w:val="subscript"/>
        </w:rPr>
        <w:t>x</w:t>
      </w:r>
      <w:r>
        <w:rPr>
          <w:rFonts w:ascii="Times New Roman" w:hAnsi="Times New Roman"/>
          <w:b w:val="false"/>
          <w:i w:val="false"/>
          <w:color w:val="000000"/>
          <w:sz w:val="22"/>
        </w:rPr>
        <w:t>, where PVFB is the present value of all benefits guaranteed at issue assuming future premiums are paid by the policyowner and all guarantees contained in the policy or declared by the insurer;</w:t>
      </w:r>
    </w:p>
    <w:p>
      <w:pPr>
        <w:spacing w:before="0" w:after="0"/>
        <w:ind w:left="120"/>
        <w:jc w:val="both"/>
      </w:pP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 xml:space="preserve"> is the present value of an annuity of one per year payable on policy anniversaries beginning at age x and continuing until the highest attained age at which a premium may be paid under the policy;</w:t>
      </w:r>
    </w:p>
    <w:p>
      <w:pPr>
        <w:spacing w:before="0" w:after="0"/>
        <w:ind w:left="120"/>
        <w:jc w:val="both"/>
      </w:pPr>
      <w:r>
        <w:rPr>
          <w:rFonts w:ascii="Times New Roman" w:hAnsi="Times New Roman"/>
          <w:b w:val="false"/>
          <w:i w:val="false"/>
          <w:color w:val="000000"/>
          <w:sz w:val="22"/>
        </w:rPr>
        <w:t xml:space="preserve">(C) is the present value of any quantities analogous to the nonforfeiture net level premium which arise because of guarantees declared by the insurer after the issue date of the policy; </w:t>
      </w:r>
      <w:r>
        <w:rPr>
          <w:rFonts w:ascii="Times New Roman" w:hAnsi="Times New Roman"/>
          <w:b w:val="false"/>
          <w:i/>
          <w:color w:val="000000"/>
          <w:sz w:val="22"/>
        </w:rPr>
        <w:t>ä</w:t>
      </w:r>
      <w:r>
        <w:rPr>
          <w:rFonts w:ascii="Times New Roman" w:hAnsi="Times New Roman"/>
          <w:b w:val="false"/>
          <w:i/>
          <w:color w:val="000000"/>
          <w:sz w:val="18"/>
          <w:vertAlign w:val="subscript"/>
        </w:rPr>
        <w:t>x</w:t>
      </w:r>
      <w:r>
        <w:rPr>
          <w:rFonts w:ascii="Times New Roman" w:hAnsi="Times New Roman"/>
          <w:b w:val="false"/>
          <w:i w:val="false"/>
          <w:color w:val="000000"/>
          <w:sz w:val="22"/>
        </w:rPr>
        <w:t xml:space="preserve"> shall be replaced by an annuity beginning on the date as of which the declaration became effective and payable until the end of the period covered by the declaration;</w:t>
      </w:r>
    </w:p>
    <w:p>
      <w:pPr>
        <w:spacing w:before="0" w:after="0"/>
        <w:ind w:left="120"/>
        <w:jc w:val="both"/>
      </w:pPr>
      <w:r>
        <w:rPr>
          <w:rFonts w:ascii="Times New Roman" w:hAnsi="Times New Roman"/>
          <w:b w:val="false"/>
          <w:i w:val="false"/>
          <w:color w:val="000000"/>
          <w:sz w:val="22"/>
        </w:rPr>
        <w:t>(D) is the sum of any quantities analogous to (B) which arise because of structural changes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Future guaranteed benefits are determined by: (1) projecting the policy value, taking into account future premiums, if any, and using all guarantees of interest, mortality, expense deductions,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contained in the policy or declared by the insurer; and (2) taking into account any benefits guaranteed in the policy or by declaration which do not depend on the policy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present values shall be determined using: (1) an interest rate (or rates) specified by Iowa Code section </w:t>
      </w:r>
      <w:hyperlink r:id="rId17">
        <w:r>
          <w:rPr>
            <w:rStyle w:val="Hyperlink"/>
            <w:rFonts w:ascii="Times New Roman" w:hAnsi="Times New Roman"/>
            <w:b w:val="false"/>
            <w:i w:val="false"/>
            <w:color w:val="000000"/>
            <w:sz w:val="22"/>
          </w:rPr>
          <w:t>508.37(5)</w:t>
        </w:r>
      </w:hyperlink>
      <w:r>
        <w:rPr>
          <w:rFonts w:ascii="Times New Roman" w:hAnsi="Times New Roman"/>
          <w:b w:val="false"/>
          <w:i w:val="false"/>
          <w:color w:val="000000"/>
          <w:sz w:val="22"/>
        </w:rPr>
        <w:t xml:space="preserve"> and (6) for policies issued in the same year; and (2) the mortality rates specified by Iowa Code section </w:t>
      </w:r>
      <w:hyperlink r:id="rId18">
        <w:r>
          <w:rPr>
            <w:rStyle w:val="Hyperlink"/>
            <w:rFonts w:ascii="Times New Roman" w:hAnsi="Times New Roman"/>
            <w:b w:val="false"/>
            <w:i w:val="false"/>
            <w:color w:val="000000"/>
            <w:sz w:val="22"/>
          </w:rPr>
          <w:t>508.37(5)</w:t>
        </w:r>
      </w:hyperlink>
      <w:r>
        <w:rPr>
          <w:rFonts w:ascii="Times New Roman" w:hAnsi="Times New Roman"/>
          <w:b w:val="false"/>
          <w:i w:val="false"/>
          <w:color w:val="000000"/>
          <w:sz w:val="22"/>
        </w:rPr>
        <w:t xml:space="preserve"> and (6) for policies issued in the same year or contained in such other table as may be approved by the commissioner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92.5(3)</w:t>
      </w:r>
      <w:r>
        <w:rPr>
          <w:rFonts w:ascii="Times New Roman" w:hAnsi="Times New Roman"/>
          <w:b w:val="false"/>
          <w:i w:val="false"/>
          <w:color w:val="000000"/>
          <w:sz w:val="22"/>
        </w:rPr>
        <w:t> </w:t>
      </w:r>
      <w:r>
        <w:rPr>
          <w:rFonts w:ascii="Times New Roman" w:hAnsi="Times New Roman"/>
          <w:b w:val="false"/>
          <w:i/>
          <w:color w:val="000000"/>
          <w:sz w:val="22"/>
        </w:rPr>
        <w:t xml:space="preserve">Minimum paid-up nonforfeiture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universal life insurance policy provides for the optional election of a paid-up nonforfeiture benefit, it shall be such that its present value shall be at least equal to the cash surrender value provided for by the policy on the effective date of the election. The present value shall be based on mortality and interest standards at least as favorable to the policyowner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flexible premium universal life insurance policy, the mortality and interest bases guaranteed in the policy for determining the policy value;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fixed premium policy, the mortality and interest standards permitted for paid-up nonforfeiture benefits by Iowa Code section </w:t>
      </w:r>
      <w:hyperlink r:id="rId19">
        <w:r>
          <w:rPr>
            <w:rStyle w:val="Hyperlink"/>
            <w:rFonts w:ascii="Times New Roman" w:hAnsi="Times New Roman"/>
            <w:b w:val="false"/>
            <w:i w:val="false"/>
            <w:color w:val="000000"/>
            <w:sz w:val="22"/>
          </w:rPr>
          <w:t>508.37(5)</w:t>
        </w:r>
      </w:hyperlink>
      <w:r>
        <w:rPr>
          <w:rFonts w:ascii="Times New Roman" w:hAnsi="Times New Roman"/>
          <w:b w:val="false"/>
          <w:i w:val="false"/>
          <w:color w:val="000000"/>
          <w:sz w:val="22"/>
        </w:rPr>
        <w:t xml:space="preserve">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lieu of the paid-up nonforfeiture benefit, the insurer may substitute, upon proper request no later than 60 days after the due date of the premium in default, an actuarially equivalent alternative paid-up nonforfeiture benefit which provides a greater amount of death benefits or longer period of death benefits or, if applicable, a greater amount of endowment benefits or earlier payment of endowment benefits.</w:t>
      </w:r>
    </w:p>
    <w:p>
      <w:pPr>
        <w:spacing w:before="0" w:after="0"/>
        <w:ind w:left="120"/>
        <w:jc w:val="both"/>
      </w:pPr>
      <w:r>
        <w:rPr>
          <w:rFonts w:ascii="Times New Roman" w:hAnsi="Times New Roman"/>
          <w:b/>
          <w:i w:val="false"/>
          <w:color w:val="000000"/>
          <w:sz w:val="22"/>
        </w:rPr>
        <w:t>191—92.6</w:t>
      </w:r>
      <w:r>
        <w:rPr>
          <w:rFonts w:ascii="Times New Roman" w:hAnsi="Times New Roman"/>
          <w:b/>
          <w:i w:val="false"/>
          <w:color w:val="000000"/>
          <w:sz w:val="22"/>
        </w:rPr>
        <w:t xml:space="preserve">(508) </w:t>
      </w:r>
      <w:r>
        <w:rPr>
          <w:rFonts w:ascii="Times New Roman" w:hAnsi="Times New Roman"/>
          <w:b/>
          <w:i w:val="false"/>
          <w:color w:val="000000"/>
          <w:sz w:val="22"/>
        </w:rPr>
        <w:t xml:space="preserve">Mandatory policy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92.6(1)</w:t>
      </w:r>
      <w:r>
        <w:rPr>
          <w:rFonts w:ascii="Times New Roman" w:hAnsi="Times New Roman"/>
          <w:b w:val="false"/>
          <w:i w:val="false"/>
          <w:color w:val="000000"/>
          <w:sz w:val="22"/>
        </w:rPr>
        <w:t> </w:t>
      </w:r>
      <w:r>
        <w:rPr>
          <w:rFonts w:ascii="Times New Roman" w:hAnsi="Times New Roman"/>
          <w:b w:val="false"/>
          <w:i/>
          <w:color w:val="000000"/>
          <w:sz w:val="22"/>
        </w:rPr>
        <w:t xml:space="preserve">Periodic disclosure to policyholder. </w:t>
      </w:r>
      <w:r>
        <w:rPr>
          <w:rFonts w:ascii="Times New Roman" w:hAnsi="Times New Roman"/>
          <w:b w:val="false"/>
          <w:i w:val="false"/>
          <w:color w:val="000000"/>
          <w:sz w:val="22"/>
        </w:rPr>
        <w:t xml:space="preserve">The policy shall provide that the policyowner be sent, without charge, at least annually, a report which will serve to keep such policyowner advised as to the status of the policy. The end of the current report period must be not more than three months prior to the date of the mailing of the report. Specific requirements for this report are detailed in </w:t>
      </w:r>
      <w:hyperlink r:id="rId20">
        <w:r>
          <w:rPr>
            <w:rStyle w:val="Hyperlink"/>
            <w:rFonts w:ascii="Times New Roman" w:hAnsi="Times New Roman"/>
            <w:b w:val="false"/>
            <w:i w:val="false"/>
            <w:color w:val="000000"/>
            <w:sz w:val="22"/>
          </w:rPr>
          <w:t>rule 191—92.8(508)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92.6(2)</w:t>
      </w:r>
      <w:r>
        <w:rPr>
          <w:rFonts w:ascii="Times New Roman" w:hAnsi="Times New Roman"/>
          <w:b w:val="false"/>
          <w:i w:val="false"/>
          <w:color w:val="000000"/>
          <w:sz w:val="22"/>
        </w:rPr>
        <w:t> </w:t>
      </w:r>
      <w:r>
        <w:rPr>
          <w:rFonts w:ascii="Times New Roman" w:hAnsi="Times New Roman"/>
          <w:b w:val="false"/>
          <w:i/>
          <w:color w:val="000000"/>
          <w:sz w:val="22"/>
        </w:rPr>
        <w:t xml:space="preserve">Current illustrations. </w:t>
      </w:r>
      <w:r>
        <w:rPr>
          <w:rFonts w:ascii="Times New Roman" w:hAnsi="Times New Roman"/>
          <w:b w:val="false"/>
          <w:i w:val="false"/>
          <w:color w:val="000000"/>
          <w:sz w:val="22"/>
        </w:rPr>
        <w:t>The annual report shall provide notice that the policyholder may request an illustration of current and future benefits and values.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92.6(3)</w:t>
      </w:r>
      <w:r>
        <w:rPr>
          <w:rFonts w:ascii="Times New Roman" w:hAnsi="Times New Roman"/>
          <w:b w:val="false"/>
          <w:i w:val="false"/>
          <w:color w:val="000000"/>
          <w:sz w:val="22"/>
        </w:rPr>
        <w:t> </w:t>
      </w:r>
      <w:r>
        <w:rPr>
          <w:rFonts w:ascii="Times New Roman" w:hAnsi="Times New Roman"/>
          <w:b w:val="false"/>
          <w:i/>
          <w:color w:val="000000"/>
          <w:sz w:val="22"/>
        </w:rPr>
        <w:t xml:space="preserve">Policy guarantees. </w:t>
      </w:r>
      <w:r>
        <w:rPr>
          <w:rFonts w:ascii="Times New Roman" w:hAnsi="Times New Roman"/>
          <w:b w:val="false"/>
          <w:i w:val="false"/>
          <w:color w:val="000000"/>
          <w:sz w:val="22"/>
        </w:rPr>
        <w:t>The policy shall provide guarantees of minimum interest credits and maximum mortality and expense charges. All values and data shown in the policy shall be based on guarantees. Figures based on nonguarantees shall not be included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92.6(4)</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cash surrender values. </w:t>
      </w:r>
      <w:r>
        <w:rPr>
          <w:rFonts w:ascii="Times New Roman" w:hAnsi="Times New Roman"/>
          <w:b w:val="false"/>
          <w:i w:val="false"/>
          <w:color w:val="000000"/>
          <w:sz w:val="22"/>
        </w:rPr>
        <w:t>The policy shall contain at least a general description of the calculation of cash surrender values including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guaranteed maximum expense charges and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limitation on the crediting of additional interest. Interest credits shall not remain conditional for a period longer than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guaranteed minimum rate or rates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guaranteed maximum mortality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guaranteed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surrender or partial withdrawal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92.6(5)</w:t>
      </w:r>
      <w:r>
        <w:rPr>
          <w:rFonts w:ascii="Times New Roman" w:hAnsi="Times New Roman"/>
          <w:b w:val="false"/>
          <w:i w:val="false"/>
          <w:color w:val="000000"/>
          <w:sz w:val="22"/>
        </w:rPr>
        <w:t> </w:t>
      </w:r>
      <w:r>
        <w:rPr>
          <w:rFonts w:ascii="Times New Roman" w:hAnsi="Times New Roman"/>
          <w:b w:val="false"/>
          <w:i/>
          <w:color w:val="000000"/>
          <w:sz w:val="22"/>
        </w:rPr>
        <w:t xml:space="preserve">Changes in basic coverage. </w:t>
      </w:r>
      <w:r>
        <w:rPr>
          <w:rFonts w:ascii="Times New Roman" w:hAnsi="Times New Roman"/>
          <w:b w:val="false"/>
          <w:i w:val="false"/>
          <w:color w:val="000000"/>
          <w:sz w:val="22"/>
        </w:rPr>
        <w:t>If the policyowner has the right to change the basic coverage, any limitation on the amount or timing of such change shall be stated in the policy. If the policyowner has the right to increase the basic coverage, the policy shall state whether new periods for contestability or suicide apply to the additional amount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92.6(6)</w:t>
      </w:r>
      <w:r>
        <w:rPr>
          <w:rFonts w:ascii="Times New Roman" w:hAnsi="Times New Roman"/>
          <w:b w:val="false"/>
          <w:i w:val="false"/>
          <w:color w:val="000000"/>
          <w:sz w:val="22"/>
        </w:rPr>
        <w:t> </w:t>
      </w:r>
      <w:r>
        <w:rPr>
          <w:rFonts w:ascii="Times New Roman" w:hAnsi="Times New Roman"/>
          <w:b w:val="false"/>
          <w:i/>
          <w:color w:val="000000"/>
          <w:sz w:val="22"/>
        </w:rPr>
        <w:t xml:space="preserve">Grace period and lapse. </w:t>
      </w:r>
      <w:r>
        <w:rPr>
          <w:rFonts w:ascii="Times New Roman" w:hAnsi="Times New Roman"/>
          <w:b w:val="false"/>
          <w:i w:val="false"/>
          <w:color w:val="000000"/>
          <w:sz w:val="22"/>
        </w:rPr>
        <w:t>The policy shall provide that written notice be sent to the policyowner’s last-known address at least 30 days prior to termination of coverage. A flexible premium policy shall provide for a grace period of at least 30 days after lapse. Unless otherwise defined in the policy, lapse shall occur on that date on which the net cash surrender value first equals zero.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92.6(7)</w:t>
      </w:r>
      <w:r>
        <w:rPr>
          <w:rFonts w:ascii="Times New Roman" w:hAnsi="Times New Roman"/>
          <w:b w:val="false"/>
          <w:i w:val="false"/>
          <w:color w:val="000000"/>
          <w:sz w:val="22"/>
        </w:rPr>
        <w:t> </w:t>
      </w:r>
      <w:r>
        <w:rPr>
          <w:rFonts w:ascii="Times New Roman" w:hAnsi="Times New Roman"/>
          <w:b w:val="false"/>
          <w:i/>
          <w:color w:val="000000"/>
          <w:sz w:val="22"/>
        </w:rPr>
        <w:t xml:space="preserve">Misstatement of age or sex. </w:t>
      </w:r>
      <w:r>
        <w:rPr>
          <w:rFonts w:ascii="Times New Roman" w:hAnsi="Times New Roman"/>
          <w:b w:val="false"/>
          <w:i w:val="false"/>
          <w:color w:val="000000"/>
          <w:sz w:val="22"/>
        </w:rPr>
        <w:t>If there is a misstatement of age or sex in the policy, the amount of the death benefit shall be that which would be purchased by the most recent mortality charge at the correct age or sex. The commissioner may approve other methods which are deemed 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92.6(8)</w:t>
      </w:r>
      <w:r>
        <w:rPr>
          <w:rFonts w:ascii="Times New Roman" w:hAnsi="Times New Roman"/>
          <w:b w:val="false"/>
          <w:i w:val="false"/>
          <w:color w:val="000000"/>
          <w:sz w:val="22"/>
        </w:rPr>
        <w:t> </w:t>
      </w:r>
      <w:r>
        <w:rPr>
          <w:rFonts w:ascii="Times New Roman" w:hAnsi="Times New Roman"/>
          <w:b w:val="false"/>
          <w:i/>
          <w:color w:val="000000"/>
          <w:sz w:val="22"/>
        </w:rPr>
        <w:t xml:space="preserve">Maturity date. </w:t>
      </w:r>
      <w:r>
        <w:rPr>
          <w:rFonts w:ascii="Times New Roman" w:hAnsi="Times New Roman"/>
          <w:b w:val="false"/>
          <w:i w:val="false"/>
          <w:color w:val="000000"/>
          <w:sz w:val="22"/>
        </w:rPr>
        <w:t>If a policy provides for a maturity date, end date, or similar date, then the policy shall also contain a statement, in close proximity to that date, noting that it is possible that coverage may not continue to the maturity date even if scheduled premiums are paid in a timely manner, if such is the case.</w:t>
      </w:r>
    </w:p>
    <w:p>
      <w:pPr>
        <w:spacing w:before="210" w:after="0"/>
        <w:ind w:left="120"/>
        <w:jc w:val="both"/>
      </w:pPr>
      <w:r>
        <w:rPr>
          <w:rFonts w:ascii="Times New Roman" w:hAnsi="Times New Roman"/>
          <w:b/>
          <w:i w:val="false"/>
          <w:color w:val="000000"/>
          <w:sz w:val="22"/>
        </w:rPr>
        <w:t>191—92.7</w:t>
      </w:r>
      <w:r>
        <w:rPr>
          <w:rFonts w:ascii="Times New Roman" w:hAnsi="Times New Roman"/>
          <w:b/>
          <w:i w:val="false"/>
          <w:color w:val="000000"/>
          <w:sz w:val="22"/>
        </w:rPr>
        <w:t xml:space="preserve">(508) </w:t>
      </w:r>
      <w:r>
        <w:rPr>
          <w:rFonts w:ascii="Times New Roman" w:hAnsi="Times New Roman"/>
          <w:b/>
          <w:i w:val="false"/>
          <w:color w:val="000000"/>
          <w:sz w:val="22"/>
        </w:rPr>
        <w:t xml:space="preserve">Disclosure requirements. </w:t>
      </w:r>
      <w:r>
        <w:rPr>
          <w:rFonts w:ascii="Times New Roman" w:hAnsi="Times New Roman"/>
          <w:b w:val="false"/>
          <w:i w:val="false"/>
          <w:color w:val="000000"/>
          <w:sz w:val="22"/>
        </w:rPr>
        <w:t xml:space="preserve">Disclosure of information about the policy being applied for shall follow the standards in </w:t>
      </w:r>
      <w:hyperlink r:id="rId21">
        <w:r>
          <w:rPr>
            <w:rStyle w:val="Hyperlink"/>
            <w:rFonts w:ascii="Times New Roman" w:hAnsi="Times New Roman"/>
            <w:b w:val="false"/>
            <w:i w:val="false"/>
            <w:color w:val="000000"/>
            <w:sz w:val="22"/>
          </w:rPr>
          <w:t>191—Chapter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191—92.8</w:t>
      </w:r>
      <w:r>
        <w:rPr>
          <w:rFonts w:ascii="Times New Roman" w:hAnsi="Times New Roman"/>
          <w:b/>
          <w:i w:val="false"/>
          <w:color w:val="000000"/>
          <w:sz w:val="22"/>
        </w:rPr>
        <w:t xml:space="preserve">(508) </w:t>
      </w:r>
      <w:r>
        <w:rPr>
          <w:rFonts w:ascii="Times New Roman" w:hAnsi="Times New Roman"/>
          <w:b/>
          <w:i w:val="false"/>
          <w:color w:val="000000"/>
          <w:sz w:val="22"/>
        </w:rPr>
        <w:t xml:space="preserve">Periodic disclosure to policyowner.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policy shall provide that the policyowner be sent, without charge, at least annually, a report which will serve to keep such policyowner advised of the status of the policy. The end of the current report period shall be not more than three months previous to the date of the mailing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92.8(2)</w:t>
      </w:r>
      <w:r>
        <w:rPr>
          <w:rFonts w:ascii="Times New Roman" w:hAnsi="Times New Roman"/>
          <w:b w:val="false"/>
          <w:i w:val="false"/>
          <w:color w:val="000000"/>
          <w:sz w:val="22"/>
        </w:rPr>
        <w:t> </w:t>
      </w:r>
      <w:r>
        <w:rPr>
          <w:rFonts w:ascii="Times New Roman" w:hAnsi="Times New Roman"/>
          <w:b w:val="false"/>
          <w:i/>
          <w:color w:val="000000"/>
          <w:sz w:val="22"/>
        </w:rPr>
        <w:t xml:space="preserve">Report contents. </w:t>
      </w:r>
      <w:r>
        <w:rPr>
          <w:rFonts w:ascii="Times New Roman" w:hAnsi="Times New Roman"/>
          <w:b w:val="false"/>
          <w:i w:val="false"/>
          <w:color w:val="000000"/>
          <w:sz w:val="22"/>
        </w:rPr>
        <w:t>The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beginning date and end date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policy value at the end of the previous report period and at the end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amounts which have been credited or debited to the policy value during the current report period, identifying each debit or credit by type (e.g., interest, mortality, expense, and 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current death benefit at the end of the current report period on each life covered by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net cash surrender value of the policy as of the end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outstanding loans, if any, as of the end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fixed premium policies, a notice that, assuming guaranteed interest, mortality and expense loads and continued scheduled premium payments, the policy’s net cash surrender value is such that it would not maintain insurance in force until the end of the next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flexible premium policies, a notice that, assuming guaranteed interest, mortality and expense loads, the policy’s net cash surrender value will not maintain insurance in force until the end of the next reporting period unless further premium payments are made.</w:t>
      </w:r>
    </w:p>
    <w:p>
      <w:pPr>
        <w:spacing w:before="0" w:after="0"/>
        <w:ind w:left="120"/>
        <w:jc w:val="both"/>
      </w:pPr>
      <w:r>
        <w:rPr>
          <w:rFonts w:ascii="Times New Roman" w:hAnsi="Times New Roman"/>
          <w:b/>
          <w:i w:val="false"/>
          <w:color w:val="000000"/>
          <w:sz w:val="22"/>
        </w:rPr>
        <w:t>191—92.9</w:t>
      </w:r>
      <w:r>
        <w:rPr>
          <w:rFonts w:ascii="Times New Roman" w:hAnsi="Times New Roman"/>
          <w:b/>
          <w:i w:val="false"/>
          <w:color w:val="000000"/>
          <w:sz w:val="22"/>
        </w:rPr>
        <w:t xml:space="preserve">(508) </w:t>
      </w:r>
      <w:r>
        <w:rPr>
          <w:rFonts w:ascii="Times New Roman" w:hAnsi="Times New Roman"/>
          <w:b/>
          <w:i w:val="false"/>
          <w:color w:val="000000"/>
          <w:sz w:val="22"/>
        </w:rPr>
        <w:t xml:space="preserve">Interest-indexed universal life insurance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92.9(1)</w:t>
      </w:r>
      <w:r>
        <w:rPr>
          <w:rFonts w:ascii="Times New Roman" w:hAnsi="Times New Roman"/>
          <w:b w:val="false"/>
          <w:i w:val="false"/>
          <w:color w:val="000000"/>
          <w:sz w:val="22"/>
        </w:rPr>
        <w:t> </w:t>
      </w:r>
      <w:r>
        <w:rPr>
          <w:rFonts w:ascii="Times New Roman" w:hAnsi="Times New Roman"/>
          <w:b w:val="false"/>
          <w:i/>
          <w:color w:val="000000"/>
          <w:sz w:val="22"/>
        </w:rPr>
        <w:t xml:space="preserve">Initial filing requirements. </w:t>
      </w:r>
      <w:r>
        <w:rPr>
          <w:rFonts w:ascii="Times New Roman" w:hAnsi="Times New Roman"/>
          <w:b w:val="false"/>
          <w:i w:val="false"/>
          <w:color w:val="000000"/>
          <w:sz w:val="22"/>
        </w:rPr>
        <w:t>The following information shall be submitted in connection with any filing of interest-indexed universal life insurance policies. All such information received shall be treated confidentially to the extent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interest credits are determined,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relationship between the value of the index and the actual interest rate to be 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frequency and timing of determining the interest rate;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allocation of interest credits, if more than one rate of interest applies to different portions of the policy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insurer’s investment policy, which includes a description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insurer addresses the reinvestment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the insurer plans to address the risk of capital loss on cash outflows;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insurer plans to address the risk that appropriate investments may not be available or not available in sufficient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the insurer plans to address the risk that the indexed interest rate may fall below the minimum contractual interest rate guaranteed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and type of assets currently held for interest-indexed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and type of assets expected to be acquired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policies are linked to an index for a specified period that is less than to the maturity date of the policy, a description of the method used (or currently contemplated) to determine interest credits upon the expiration of such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any interest guarantee in addition to or in lieu of the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any maximum premium limitations and the conditions under which they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92.9(2)</w:t>
      </w:r>
      <w:r>
        <w:rPr>
          <w:rFonts w:ascii="Times New Roman" w:hAnsi="Times New Roman"/>
          <w:b w:val="false"/>
          <w:i w:val="false"/>
          <w:color w:val="000000"/>
          <w:sz w:val="22"/>
        </w:rPr>
        <w:t> </w:t>
      </w:r>
      <w:r>
        <w:rPr>
          <w:rFonts w:ascii="Times New Roman" w:hAnsi="Times New Roman"/>
          <w:b w:val="false"/>
          <w:i/>
          <w:color w:val="000000"/>
          <w:sz w:val="22"/>
        </w:rPr>
        <w:t xml:space="preserve">Additional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every insurer shall submit a description of the amount and type of assets currently held by the insurer with respect to its interest-indexed policies. The assets described by the insurer pursuant to this paragraph as held by the insurer with respect to its interest-indexed policies shall not be segregated or dedicated to the insurer’s interest-indexed policies but shall be general assets of the insurer unless the assets are in one or more separate accounts in accordance with Iowa Code chapter </w:t>
      </w:r>
      <w:hyperlink r:id="rId22">
        <w:r>
          <w:rPr>
            <w:rStyle w:val="Hyperlink"/>
            <w:rFonts w:ascii="Times New Roman" w:hAnsi="Times New Roman"/>
            <w:b w:val="false"/>
            <w:i w:val="false"/>
            <w:color w:val="000000"/>
            <w:sz w:val="22"/>
          </w:rPr>
          <w:t>508A</w:t>
        </w:r>
      </w:hyperlink>
      <w:r>
        <w:rPr>
          <w:rFonts w:ascii="Times New Roman" w:hAnsi="Times New Roman"/>
          <w:b w:val="false"/>
          <w:i w:val="false"/>
          <w:color w:val="000000"/>
          <w:sz w:val="22"/>
        </w:rPr>
        <w:t xml:space="preserve"> which have been established by the insurer with respect to certain of its interest-indexed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implementation of any material change in the insurer’s investment strategy or method of determining the interest credits, every domestic insurer shall submit a description of any material change in the insurer’s investment strategy or method of determining the interest credits. A change shall be considered to be material if it will affect the form or definition of the index (i.e., any change in the information supplied pursuant to </w:t>
      </w:r>
      <w:hyperlink r:id="rId23">
        <w:r>
          <w:rPr>
            <w:rStyle w:val="Hyperlink"/>
            <w:rFonts w:ascii="Times New Roman" w:hAnsi="Times New Roman"/>
            <w:b w:val="false"/>
            <w:i w:val="false"/>
            <w:color w:val="000000"/>
            <w:sz w:val="22"/>
          </w:rPr>
          <w:t>subrule 92.9(1)</w:t>
        </w:r>
      </w:hyperlink>
      <w:r>
        <w:rPr>
          <w:rFonts w:ascii="Times New Roman" w:hAnsi="Times New Roman"/>
          <w:b w:val="false"/>
          <w:i w:val="false"/>
          <w:color w:val="000000"/>
          <w:sz w:val="22"/>
        </w:rPr>
        <w:t>) or if it will significantly change the amount or type of assets held for interest-indexed policies.</w:t>
      </w:r>
    </w:p>
    <w:p>
      <w:pPr>
        <w:spacing w:before="210" w:after="0"/>
        <w:ind w:left="120"/>
        <w:jc w:val="both"/>
      </w:pPr>
      <w:r>
        <w:rPr>
          <w:rFonts w:ascii="Times New Roman" w:hAnsi="Times New Roman"/>
          <w:b/>
          <w:i w:val="false"/>
          <w:color w:val="000000"/>
          <w:sz w:val="22"/>
        </w:rPr>
        <w:t>191—92.10</w:t>
      </w:r>
      <w:r>
        <w:rPr>
          <w:rFonts w:ascii="Times New Roman" w:hAnsi="Times New Roman"/>
          <w:b/>
          <w:i w:val="false"/>
          <w:color w:val="000000"/>
          <w:sz w:val="22"/>
        </w:rPr>
        <w:t xml:space="preserve">(508) </w:t>
      </w:r>
      <w:r>
        <w:rPr>
          <w:rFonts w:ascii="Times New Roman" w:hAnsi="Times New Roman"/>
          <w:b/>
          <w:i w:val="false"/>
          <w:color w:val="000000"/>
          <w:sz w:val="22"/>
        </w:rPr>
        <w:t xml:space="preserve">Applicability. </w:t>
      </w:r>
      <w:hyperlink r:id="rId24">
        <w:r>
          <w:rPr>
            <w:rStyle w:val="Hyperlink"/>
            <w:rFonts w:ascii="Times New Roman" w:hAnsi="Times New Roman"/>
            <w:b w:val="false"/>
            <w:i w:val="false"/>
            <w:color w:val="000000"/>
            <w:sz w:val="22"/>
          </w:rPr>
          <w:t>Rules 191—92.6(508)</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191—92.8(508)</w:t>
        </w:r>
      </w:hyperlink>
      <w:r>
        <w:rPr>
          <w:rFonts w:ascii="Times New Roman" w:hAnsi="Times New Roman"/>
          <w:b w:val="false"/>
          <w:i w:val="false"/>
          <w:color w:val="000000"/>
          <w:sz w:val="22"/>
        </w:rPr>
        <w:t xml:space="preserve"> shall apply only to policies issued after July 13, 2005.</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6">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5/18/05, Notice 3/2/05—published 6/8/05, effective 7/13/05]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08.36.pdf" Type="http://schemas.openxmlformats.org/officeDocument/2006/relationships/hyperlink" Id="rId6"/>
    <Relationship TargetMode="External" Target="https://www.legis.iowa.gov/docs/ico/chapter/508.37.pdf" Type="http://schemas.openxmlformats.org/officeDocument/2006/relationships/hyperlink" Id="rId7"/>
    <Relationship TargetMode="External" Target="https://www.legis.iowa.gov/docs/ico/chapter/508.36.pdf" Type="http://schemas.openxmlformats.org/officeDocument/2006/relationships/hyperlink" Id="rId8"/>
    <Relationship TargetMode="External" Target="https://www.legis.iowa.gov/docs/ico/chapter/508.36.pdf" Type="http://schemas.openxmlformats.org/officeDocument/2006/relationships/hyperlink" Id="rId9"/>
    <Relationship TargetMode="External" Target="https://www.legis.iowa.gov/docs/ico/chapter/508.36.pdf" Type="http://schemas.openxmlformats.org/officeDocument/2006/relationships/hyperlink" Id="rId10"/>
    <Relationship TargetMode="External" Target="https://www.legis.iowa.gov/docs/ico/chapter/508.37.pdf" Type="http://schemas.openxmlformats.org/officeDocument/2006/relationships/hyperlink" Id="rId11"/>
    <Relationship TargetMode="External" Target="https://www.legis.iowa.gov/docs/ico/chapter/508.37.pdf" Type="http://schemas.openxmlformats.org/officeDocument/2006/relationships/hyperlink" Id="rId12"/>
    <Relationship TargetMode="External" Target="https://www.legis.iowa.gov/docs/ico/chapter/508.37.pdf" Type="http://schemas.openxmlformats.org/officeDocument/2006/relationships/hyperlink" Id="rId13"/>
    <Relationship TargetMode="External" Target="https://www.legis.iowa.gov/docs/ico/chapter/508.37.pdf" Type="http://schemas.openxmlformats.org/officeDocument/2006/relationships/hyperlink" Id="rId14"/>
    <Relationship TargetMode="External" Target="https://www.legis.iowa.gov/docs/ico/chapter/508.37.pdf" Type="http://schemas.openxmlformats.org/officeDocument/2006/relationships/hyperlink" Id="rId15"/>
    <Relationship TargetMode="External" Target="https://www.legis.iowa.gov/docs/ico/chapter/508.37.pdf" Type="http://schemas.openxmlformats.org/officeDocument/2006/relationships/hyperlink" Id="rId16"/>
    <Relationship TargetMode="External" Target="https://www.legis.iowa.gov/docs/ico/chapter/508.37.pdf" Type="http://schemas.openxmlformats.org/officeDocument/2006/relationships/hyperlink" Id="rId17"/>
    <Relationship TargetMode="External" Target="https://www.legis.iowa.gov/docs/ico/chapter/508.37.pdf" Type="http://schemas.openxmlformats.org/officeDocument/2006/relationships/hyperlink" Id="rId18"/>
    <Relationship TargetMode="External" Target="https://www.legis.iowa.gov/docs/ico/chapter/508.37.pdf" Type="http://schemas.openxmlformats.org/officeDocument/2006/relationships/hyperlink" Id="rId19"/>
    <Relationship TargetMode="External" Target="https://www.legis.iowa.gov/docs/iac/rule/191.92.8.pdf" Type="http://schemas.openxmlformats.org/officeDocument/2006/relationships/hyperlink" Id="rId20"/>
    <Relationship TargetMode="External" Target="https://www.legis.iowa.gov/docs/iac/chapter/191.14.pdf" Type="http://schemas.openxmlformats.org/officeDocument/2006/relationships/hyperlink" Id="rId21"/>
    <Relationship TargetMode="External" Target="https://www.legis.iowa.gov/docs/ico/chapter/508A.pdf" Type="http://schemas.openxmlformats.org/officeDocument/2006/relationships/hyperlink" Id="rId22"/>
    <Relationship TargetMode="External" Target="https://www.legis.iowa.gov/docs/iac/rule/191.92.9.pdf" Type="http://schemas.openxmlformats.org/officeDocument/2006/relationships/hyperlink" Id="rId23"/>
    <Relationship TargetMode="External" Target="https://www.legis.iowa.gov/docs/iac/rule/191.92.6.pdf" Type="http://schemas.openxmlformats.org/officeDocument/2006/relationships/hyperlink" Id="rId24"/>
    <Relationship TargetMode="External" Target="https://www.legis.iowa.gov/docs/iac/rule/191.92.8.pdf" Type="http://schemas.openxmlformats.org/officeDocument/2006/relationships/hyperlink" Id="rId25"/>
    <Relationship TargetMode="External" Target="https://www.legis.iowa.gov/docs/ico/chapter/508.36.pdf" Type="http://schemas.openxmlformats.org/officeDocument/2006/relationships/hyperlink" Id="rId26"/>
    <Relationship TargetMode="External" Target="https://www.legis.iowa.gov/docs/ico/chapter/508.37.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