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2001 CSO MORTALITY TABLE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191—91.1</w:t>
      </w:r>
      <w:r>
        <w:rPr>
          <w:rFonts w:ascii="Times New Roman" w:hAnsi="Times New Roman"/>
          <w:b/>
          <w:i w:val="false"/>
          <w:color w:val="000000"/>
          <w:sz w:val="22"/>
        </w:rPr>
        <w:t xml:space="preserve">(508)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recognize, permit and prescribe the use of the 2001 Commissioners Standard Ordinary (CSO) Mortality Table in accordance with Iowa Code sections </w:t>
      </w:r>
      <w:hyperlink r:id="rId5">
        <w:r>
          <w:rPr>
            <w:rStyle w:val="Hyperlink"/>
            <w:rFonts w:ascii="Times New Roman" w:hAnsi="Times New Roman"/>
            <w:b w:val="false"/>
            <w:i w:val="false"/>
            <w:color w:val="000000"/>
            <w:sz w:val="22"/>
          </w:rPr>
          <w:t>508.36(3)</w:t>
        </w:r>
        <w:r>
          <w:rPr>
            <w:rFonts w:ascii="Times New Roman" w:hAnsi="Times New Roman"/>
            <w:b w:val="false"/>
            <w:i/>
            <w:color w:val="000000"/>
            <w:sz w:val="22"/>
          </w:rPr>
          <w:t>“a”</w:t>
        </w:r>
      </w:hyperlink>
      <w:r>
        <w:rPr>
          <w:rFonts w:ascii="Times New Roman" w:hAnsi="Times New Roman"/>
          <w:b w:val="false"/>
          <w:i w:val="false"/>
          <w:color w:val="000000"/>
          <w:sz w:val="22"/>
        </w:rPr>
        <w:t>(3)</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508.37(6)</w:t>
        </w:r>
        <w:r>
          <w:rPr>
            <w:rFonts w:ascii="Times New Roman" w:hAnsi="Times New Roman"/>
            <w:b w:val="false"/>
            <w:i/>
            <w:color w:val="000000"/>
            <w:sz w:val="22"/>
          </w:rPr>
          <w:t>“h”</w:t>
        </w:r>
      </w:hyperlink>
      <w:r>
        <w:rPr>
          <w:rFonts w:ascii="Times New Roman" w:hAnsi="Times New Roman"/>
          <w:b w:val="false"/>
          <w:i w:val="false"/>
          <w:color w:val="000000"/>
          <w:sz w:val="22"/>
        </w:rPr>
        <w:t xml:space="preserve">(6) and </w:t>
      </w:r>
      <w:hyperlink r:id="rId7">
        <w:r>
          <w:rPr>
            <w:rStyle w:val="Hyperlink"/>
            <w:rFonts w:ascii="Times New Roman" w:hAnsi="Times New Roman"/>
            <w:b w:val="false"/>
            <w:i w:val="false"/>
            <w:color w:val="000000"/>
            <w:sz w:val="22"/>
          </w:rPr>
          <w:t>191—Chapter 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191—91.2</w:t>
      </w:r>
      <w:r>
        <w:rPr>
          <w:rFonts w:ascii="Times New Roman" w:hAnsi="Times New Roman"/>
          <w:b/>
          <w:i w:val="false"/>
          <w:color w:val="000000"/>
          <w:sz w:val="22"/>
        </w:rPr>
        <w:t xml:space="preserve">(508)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“2001 CSO Mortality Table” </w:t>
      </w:r>
      <w:r>
        <w:rPr>
          <w:rFonts w:ascii="Times New Roman" w:hAnsi="Times New Roman"/>
          <w:b w:val="false"/>
          <w:i w:val="false"/>
          <w:color w:val="000000"/>
          <w:sz w:val="22"/>
        </w:rPr>
        <w:t>means that mortality table, consisting of separate rates of mortality for male and female lives, developed by the American Academy of Actuaries CSO Task Force from the Valuation Basic Mortality Table developed by the Society of Actuaries Individual Life Insurance Valuation Mortality Task Force, and adopted by the National Association of Insurance Commissioners in December 2002. The 2001 CSO Mortality Table is included in the Proceedings of the NAIC (2nd Quarter 2002). Unless the context indicates otherwise, the “2001 CSO Mortality Table” includes both the ultimate form of that table and the select and ultimate form of that table and includes both the smoker and nonsmoker mortality tables and the composite mortality tables. It also includes both the age-nearest-birthday and age-last-birthday bases of the mortality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“2001 CSO Mortality Table (F)” </w:t>
      </w:r>
      <w:r>
        <w:rPr>
          <w:rFonts w:ascii="Times New Roman" w:hAnsi="Times New Roman"/>
          <w:b w:val="false"/>
          <w:i w:val="false"/>
          <w:color w:val="000000"/>
          <w:sz w:val="22"/>
        </w:rPr>
        <w:t>means that mortality table consisting of the rates of mortality for female lives from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“2001 CSO Mortality Table (M)” </w:t>
      </w:r>
      <w:r>
        <w:rPr>
          <w:rFonts w:ascii="Times New Roman" w:hAnsi="Times New Roman"/>
          <w:b w:val="false"/>
          <w:i w:val="false"/>
          <w:color w:val="000000"/>
          <w:sz w:val="22"/>
        </w:rPr>
        <w:t>means that mortality table consisting of the rates of mortality for male lives from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mortality tables” </w:t>
      </w:r>
      <w:r>
        <w:rPr>
          <w:rFonts w:ascii="Times New Roman" w:hAnsi="Times New Roman"/>
          <w:b w:val="false"/>
          <w:i w:val="false"/>
          <w:color w:val="000000"/>
          <w:sz w:val="22"/>
        </w:rPr>
        <w:t>means mortality tables with rates of mortality that do not distinguish between smokers and nonsmokers.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“Smoker and nonsmoker mortality tables” </w:t>
      </w:r>
      <w:r>
        <w:rPr>
          <w:rFonts w:ascii="Times New Roman" w:hAnsi="Times New Roman"/>
          <w:b w:val="false"/>
          <w:i w:val="false"/>
          <w:color w:val="000000"/>
          <w:sz w:val="22"/>
        </w:rPr>
        <w:t>means mortality tables with separate rates of mortality for smokers and nonsmokers.</w:t>
      </w:r>
    </w:p>
    <w:p>
      <w:pPr>
        <w:spacing w:before="0" w:after="0"/>
        <w:ind w:left="120"/>
        <w:jc w:val="both"/>
      </w:pPr>
      <w:r>
        <w:rPr>
          <w:rFonts w:ascii="Times New Roman" w:hAnsi="Times New Roman"/>
          <w:b/>
          <w:i w:val="false"/>
          <w:color w:val="000000"/>
          <w:sz w:val="22"/>
        </w:rPr>
        <w:t>191—91.3</w:t>
      </w:r>
      <w:r>
        <w:rPr>
          <w:rFonts w:ascii="Times New Roman" w:hAnsi="Times New Roman"/>
          <w:b/>
          <w:i w:val="false"/>
          <w:color w:val="000000"/>
          <w:sz w:val="22"/>
        </w:rPr>
        <w:t xml:space="preserve">(508) </w:t>
      </w:r>
      <w:r>
        <w:rPr>
          <w:rFonts w:ascii="Times New Roman" w:hAnsi="Times New Roman"/>
          <w:b/>
          <w:i w:val="false"/>
          <w:color w:val="000000"/>
          <w:sz w:val="22"/>
        </w:rPr>
        <w:t xml:space="preserve">2001 CSO Mortality Table.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election of the company for any one or more specified plans of insurance and subject to the conditions stated in this chapter, the 2001 CSO Mortality Table may be used as the minimum standard for policies issued on or after January 1, 2004, and before the date specified in subrule </w:t>
      </w:r>
      <w:hyperlink r:id="rId8">
        <w:r>
          <w:rPr>
            <w:rStyle w:val="Hyperlink"/>
            <w:rFonts w:ascii="Times New Roman" w:hAnsi="Times New Roman"/>
            <w:b w:val="false"/>
            <w:i w:val="false"/>
            <w:color w:val="000000"/>
            <w:sz w:val="22"/>
          </w:rPr>
          <w:t>91.3(2)</w:t>
        </w:r>
      </w:hyperlink>
      <w:r>
        <w:rPr>
          <w:rFonts w:ascii="Times New Roman" w:hAnsi="Times New Roman"/>
          <w:b w:val="false"/>
          <w:i w:val="false"/>
          <w:color w:val="000000"/>
          <w:sz w:val="22"/>
        </w:rPr>
        <w:t xml:space="preserve"> and to which Iowa Code sections </w:t>
      </w:r>
      <w:hyperlink r:id="rId9">
        <w:r>
          <w:rPr>
            <w:rStyle w:val="Hyperlink"/>
            <w:rFonts w:ascii="Times New Roman" w:hAnsi="Times New Roman"/>
            <w:b w:val="false"/>
            <w:i w:val="false"/>
            <w:color w:val="000000"/>
            <w:sz w:val="22"/>
          </w:rPr>
          <w:t>508.36(3)</w:t>
        </w:r>
        <w:r>
          <w:rPr>
            <w:rFonts w:ascii="Times New Roman" w:hAnsi="Times New Roman"/>
            <w:b w:val="false"/>
            <w:i/>
            <w:color w:val="000000"/>
            <w:sz w:val="22"/>
          </w:rPr>
          <w:t>“a”</w:t>
        </w:r>
      </w:hyperlink>
      <w:r>
        <w:rPr>
          <w:rFonts w:ascii="Times New Roman" w:hAnsi="Times New Roman"/>
          <w:b w:val="false"/>
          <w:i w:val="false"/>
          <w:color w:val="000000"/>
          <w:sz w:val="22"/>
        </w:rPr>
        <w:t>(3)</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508.37(6)</w:t>
        </w:r>
        <w:r>
          <w:rPr>
            <w:rFonts w:ascii="Times New Roman" w:hAnsi="Times New Roman"/>
            <w:b w:val="false"/>
            <w:i/>
            <w:color w:val="000000"/>
            <w:sz w:val="22"/>
          </w:rPr>
          <w:t>“h”</w:t>
        </w:r>
      </w:hyperlink>
      <w:r>
        <w:rPr>
          <w:rFonts w:ascii="Times New Roman" w:hAnsi="Times New Roman"/>
          <w:b w:val="false"/>
          <w:i w:val="false"/>
          <w:color w:val="000000"/>
          <w:sz w:val="22"/>
        </w:rPr>
        <w:t xml:space="preserve">(6) and </w:t>
      </w:r>
      <w:hyperlink r:id="rId11">
        <w:r>
          <w:rPr>
            <w:rStyle w:val="Hyperlink"/>
            <w:rFonts w:ascii="Times New Roman" w:hAnsi="Times New Roman"/>
            <w:b w:val="false"/>
            <w:i w:val="false"/>
            <w:color w:val="000000"/>
            <w:sz w:val="22"/>
          </w:rPr>
          <w:t>191—Chapter 47</w:t>
        </w:r>
      </w:hyperlink>
      <w:r>
        <w:rPr>
          <w:rFonts w:ascii="Times New Roman" w:hAnsi="Times New Roman"/>
          <w:b w:val="false"/>
          <w:i w:val="false"/>
          <w:color w:val="000000"/>
          <w:sz w:val="22"/>
        </w:rPr>
        <w:t xml:space="preserve"> are applicable. If the company elects to use the 2001 CSO Mortality Table, it shall do so for both valuation and nonforfeiture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conditions stated in this chapter, the 2001 CSO Mortality Table shall be used in determining minimum standards for policies issued on and after January 1, 2009, to which Iowa Code sections </w:t>
      </w:r>
      <w:hyperlink r:id="rId12">
        <w:r>
          <w:rPr>
            <w:rStyle w:val="Hyperlink"/>
            <w:rFonts w:ascii="Times New Roman" w:hAnsi="Times New Roman"/>
            <w:b w:val="false"/>
            <w:i w:val="false"/>
            <w:color w:val="000000"/>
            <w:sz w:val="22"/>
          </w:rPr>
          <w:t>508.36(3)</w:t>
        </w:r>
        <w:r>
          <w:rPr>
            <w:rFonts w:ascii="Times New Roman" w:hAnsi="Times New Roman"/>
            <w:b w:val="false"/>
            <w:i/>
            <w:color w:val="000000"/>
            <w:sz w:val="22"/>
          </w:rPr>
          <w:t>“a”</w:t>
        </w:r>
      </w:hyperlink>
      <w:r>
        <w:rPr>
          <w:rFonts w:ascii="Times New Roman" w:hAnsi="Times New Roman"/>
          <w:b w:val="false"/>
          <w:i w:val="false"/>
          <w:color w:val="000000"/>
          <w:sz w:val="22"/>
        </w:rPr>
        <w:t>(3)</w:t>
      </w:r>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508.37(6)</w:t>
        </w:r>
        <w:r>
          <w:rPr>
            <w:rFonts w:ascii="Times New Roman" w:hAnsi="Times New Roman"/>
            <w:b w:val="false"/>
            <w:i/>
            <w:color w:val="000000"/>
            <w:sz w:val="22"/>
          </w:rPr>
          <w:t>“h”</w:t>
        </w:r>
      </w:hyperlink>
      <w:r>
        <w:rPr>
          <w:rFonts w:ascii="Times New Roman" w:hAnsi="Times New Roman"/>
          <w:b w:val="false"/>
          <w:i w:val="false"/>
          <w:color w:val="000000"/>
          <w:sz w:val="22"/>
        </w:rPr>
        <w:t>(6) are applicable.</w:t>
      </w:r>
    </w:p>
    <w:p>
      <w:pPr>
        <w:spacing w:before="0" w:after="0"/>
        <w:ind w:left="120"/>
        <w:jc w:val="both"/>
      </w:pPr>
      <w:r>
        <w:rPr>
          <w:rFonts w:ascii="Times New Roman" w:hAnsi="Times New Roman"/>
          <w:b/>
          <w:i w:val="false"/>
          <w:color w:val="000000"/>
          <w:sz w:val="22"/>
        </w:rPr>
        <w:t>191—91.4</w:t>
      </w:r>
      <w:r>
        <w:rPr>
          <w:rFonts w:ascii="Times New Roman" w:hAnsi="Times New Roman"/>
          <w:b/>
          <w:i w:val="false"/>
          <w:color w:val="000000"/>
          <w:sz w:val="22"/>
        </w:rPr>
        <w:t xml:space="preserve">(508) </w:t>
      </w:r>
      <w:r>
        <w:rPr>
          <w:rFonts w:ascii="Times New Roman" w:hAnsi="Times New Roman"/>
          <w:b/>
          <w:i w:val="false"/>
          <w:color w:val="000000"/>
          <w:sz w:val="22"/>
        </w:rPr>
        <w:t xml:space="preserve">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val="false"/>
          <w:color w:val="000000"/>
          <w:sz w:val="22"/>
        </w:rPr>
        <w:t>For each plan of insurance with separate rates for smokers and nonsmokers, an insurer may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Composite mortality tables to determine minimum reserve liabilities and minimum cash surrender values and amounts of paid-up nonforfeiture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Smoker and nonsmoker mortality tables to determine the valuation net premiums and additional minimum reserves, if any, required by Iowa Code section </w:t>
      </w:r>
      <w:hyperlink r:id="rId14">
        <w:r>
          <w:rPr>
            <w:rStyle w:val="Hyperlink"/>
            <w:rFonts w:ascii="Times New Roman" w:hAnsi="Times New Roman"/>
            <w:b w:val="false"/>
            <w:i w:val="false"/>
            <w:color w:val="000000"/>
            <w:sz w:val="22"/>
          </w:rPr>
          <w:t>508.36(10)</w:t>
        </w:r>
      </w:hyperlink>
      <w:r>
        <w:rPr>
          <w:rFonts w:ascii="Times New Roman" w:hAnsi="Times New Roman"/>
          <w:b w:val="false"/>
          <w:i w:val="false"/>
          <w:color w:val="000000"/>
          <w:sz w:val="22"/>
        </w:rPr>
        <w:t>, and use composite mortality tables to determine the basic minimum reserves, minimum cash surrender values and amounts of paid-up nonforfeiture benefits;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Smoker and nonsmoker mortality tables to determine minimum reserve liabilities and minimum cash surrender values and amounts of paid-up nonforfeiture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val="false"/>
          <w:color w:val="000000"/>
          <w:sz w:val="22"/>
        </w:rPr>
        <w:t>For plans of insurance without separate rates for smokers and nonsmokers, the composite mortality tables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determining minimum reserve liabilities and minimum cash surrender values and amounts of paid-up nonforfeiture benefits, the 2001 CSO Mortality Table may, at the option of the company for each plan of insurance, be used in its ultimate or select and ultimate form, subject to the restrictions of rule </w:t>
      </w:r>
      <w:hyperlink r:id="rId15">
        <w:r>
          <w:rPr>
            <w:rStyle w:val="Hyperlink"/>
            <w:rFonts w:ascii="Times New Roman" w:hAnsi="Times New Roman"/>
            <w:b w:val="false"/>
            <w:i w:val="false"/>
            <w:color w:val="000000"/>
            <w:sz w:val="22"/>
          </w:rPr>
          <w:t>91.5</w:t>
        </w:r>
      </w:hyperlink>
      <w:r>
        <w:rPr>
          <w:rFonts w:ascii="Times New Roman" w:hAnsi="Times New Roman"/>
          <w:b w:val="false"/>
          <w:i w:val="false"/>
          <w:color w:val="000000"/>
          <w:sz w:val="22"/>
        </w:rPr>
        <w:t>(508) relative to use of the select and ultimate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2001 CSO Mortality Table is the minimum reserve standard for any plan for a company, the actuarial opinion in the annual statement filed with the commissioner shall be based on an asset adequacy analysis as specified in </w:t>
      </w:r>
      <w:hyperlink r:id="rId16">
        <w:r>
          <w:rPr>
            <w:rStyle w:val="Hyperlink"/>
            <w:rFonts w:ascii="Times New Roman" w:hAnsi="Times New Roman"/>
            <w:b w:val="false"/>
            <w:i w:val="false"/>
            <w:color w:val="000000"/>
            <w:sz w:val="22"/>
          </w:rPr>
          <w:t>191—subrule 5.34(6)</w:t>
        </w:r>
      </w:hyperlink>
      <w:r>
        <w:rPr>
          <w:rFonts w:ascii="Times New Roman" w:hAnsi="Times New Roman"/>
          <w:b w:val="false"/>
          <w:i w:val="false"/>
          <w:color w:val="000000"/>
          <w:sz w:val="22"/>
        </w:rPr>
        <w:t>. The commissioner may exempt a company from this requirement if it does business only in this state and no other state.</w:t>
      </w:r>
    </w:p>
    <w:p>
      <w:pPr>
        <w:spacing w:before="0" w:after="0"/>
        <w:ind w:left="120"/>
        <w:jc w:val="both"/>
      </w:pPr>
      <w:r>
        <w:rPr>
          <w:rFonts w:ascii="Times New Roman" w:hAnsi="Times New Roman"/>
          <w:b/>
          <w:i w:val="false"/>
          <w:color w:val="000000"/>
          <w:sz w:val="22"/>
        </w:rPr>
        <w:t>191—91.5</w:t>
      </w:r>
      <w:r>
        <w:rPr>
          <w:rFonts w:ascii="Times New Roman" w:hAnsi="Times New Roman"/>
          <w:b/>
          <w:i w:val="false"/>
          <w:color w:val="000000"/>
          <w:sz w:val="22"/>
        </w:rPr>
        <w:t xml:space="preserve">(508) </w:t>
      </w:r>
      <w:r>
        <w:rPr>
          <w:rFonts w:ascii="Times New Roman" w:hAnsi="Times New Roman"/>
          <w:b/>
          <w:i w:val="false"/>
          <w:color w:val="000000"/>
          <w:sz w:val="22"/>
        </w:rPr>
        <w:t xml:space="preserve">Applicability of the 2001 CSO Mortality Table to 191—Chapter 47, Valuation of Life Insurance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2001 CSO Mortality Table may be used in the application of </w:t>
      </w:r>
      <w:hyperlink r:id="rId17">
        <w:r>
          <w:rPr>
            <w:rStyle w:val="Hyperlink"/>
            <w:rFonts w:ascii="Times New Roman" w:hAnsi="Times New Roman"/>
            <w:b w:val="false"/>
            <w:i w:val="false"/>
            <w:color w:val="000000"/>
            <w:sz w:val="22"/>
          </w:rPr>
          <w:t>191—Chapter 47</w:t>
        </w:r>
      </w:hyperlink>
      <w:r>
        <w:rPr>
          <w:rFonts w:ascii="Times New Roman" w:hAnsi="Times New Roman"/>
          <w:b w:val="false"/>
          <w:i w:val="false"/>
          <w:color w:val="000000"/>
          <w:sz w:val="22"/>
        </w:rPr>
        <w:t xml:space="preserve"> in the following manner, subject to the transition dates for use of the 2001 CSO Mortality Table in rule </w:t>
      </w:r>
      <w:hyperlink r:id="rId18">
        <w:r>
          <w:rPr>
            <w:rStyle w:val="Hyperlink"/>
            <w:rFonts w:ascii="Times New Roman" w:hAnsi="Times New Roman"/>
            <w:b w:val="false"/>
            <w:i w:val="false"/>
            <w:color w:val="000000"/>
            <w:sz w:val="22"/>
          </w:rPr>
          <w:t>91.3</w:t>
        </w:r>
      </w:hyperlink>
      <w:r>
        <w:rPr>
          <w:rFonts w:ascii="Times New Roman" w:hAnsi="Times New Roman"/>
          <w:b w:val="false"/>
          <w:i w:val="false"/>
          <w:color w:val="000000"/>
          <w:sz w:val="22"/>
        </w:rPr>
        <w:t>(508):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19">
        <w:r>
          <w:rPr>
            <w:rStyle w:val="Hyperlink"/>
            <w:rFonts w:ascii="Times New Roman" w:hAnsi="Times New Roman"/>
            <w:b w:val="false"/>
            <w:i w:val="false"/>
            <w:color w:val="000000"/>
            <w:sz w:val="22"/>
          </w:rPr>
          <w:t>47.2(1)</w:t>
        </w:r>
      </w:hyperlink>
      <w:r>
        <w:rPr>
          <w:rFonts w:ascii="Times New Roman" w:hAnsi="Times New Roman"/>
          <w:b w:val="false"/>
          <w:i/>
          <w:color w:val="000000"/>
          <w:sz w:val="22"/>
        </w:rPr>
        <w:t>“b”</w:t>
      </w:r>
      <w:r>
        <w:rPr>
          <w:rFonts w:ascii="Times New Roman" w:hAnsi="Times New Roman"/>
          <w:b w:val="false"/>
          <w:i w:val="false"/>
          <w:color w:val="000000"/>
          <w:sz w:val="22"/>
        </w:rPr>
        <w:t>(2): The net level reserve premium is based on the ultimate mortality rates in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20">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 xml:space="preserve">(508) relating to the definition of “contract segmentation method”: All calculations are made using the 2001 CSO mortality rate, and, if elected, the optional minimum mortality standard for deficiency reserves stipulated in </w:t>
      </w:r>
      <w:hyperlink r:id="rId21">
        <w:r>
          <w:rPr>
            <w:rStyle w:val="Hyperlink"/>
            <w:rFonts w:ascii="Times New Roman" w:hAnsi="Times New Roman"/>
            <w:b w:val="false"/>
            <w:i w:val="false"/>
            <w:color w:val="000000"/>
            <w:sz w:val="22"/>
          </w:rPr>
          <w:t>91.5(1)</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value of “qx+k+t-1” is the valuation mortality rate for deficiency reserves in policy year k+t, but using the unmodified select mortality rates if modified select mortality rates are used in the computation of deficiency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2">
        <w:r>
          <w:rPr>
            <w:rStyle w:val="Hyperlink"/>
            <w:rFonts w:ascii="Times New Roman" w:hAnsi="Times New Roman"/>
            <w:b w:val="false"/>
            <w:i w:val="false"/>
            <w:color w:val="000000"/>
            <w:sz w:val="22"/>
          </w:rPr>
          <w:t>47.4(1)</w:t>
        </w:r>
      </w:hyperlink>
      <w:r>
        <w:rPr>
          <w:rFonts w:ascii="Times New Roman" w:hAnsi="Times New Roman"/>
          <w:b w:val="false"/>
          <w:i w:val="false"/>
          <w:color w:val="000000"/>
          <w:sz w:val="22"/>
        </w:rPr>
        <w:t>: The 2001 CSO Mortality Table is the minimum standard for basic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3">
        <w:r>
          <w:rPr>
            <w:rStyle w:val="Hyperlink"/>
            <w:rFonts w:ascii="Times New Roman" w:hAnsi="Times New Roman"/>
            <w:b w:val="false"/>
            <w:i w:val="false"/>
            <w:color w:val="000000"/>
            <w:sz w:val="22"/>
          </w:rPr>
          <w:t>47.4(2)</w:t>
        </w:r>
      </w:hyperlink>
      <w:r>
        <w:rPr>
          <w:rFonts w:ascii="Times New Roman" w:hAnsi="Times New Roman"/>
          <w:b w:val="false"/>
          <w:i w:val="false"/>
          <w:color w:val="000000"/>
          <w:sz w:val="22"/>
        </w:rPr>
        <w:t xml:space="preserve">: The 2001 CSO Mortality Table is the minimum standard for deficiency reserves. If select mortality rates are used, they may be multiplied by X percent for durations in the first segment, subject to the conditions specified in subparagraphs </w:t>
      </w:r>
      <w:hyperlink r:id="rId24">
        <w:r>
          <w:rPr>
            <w:rStyle w:val="Hyperlink"/>
            <w:rFonts w:ascii="Times New Roman" w:hAnsi="Times New Roman"/>
            <w:b w:val="false"/>
            <w:i w:val="false"/>
            <w:color w:val="000000"/>
            <w:sz w:val="22"/>
          </w:rPr>
          <w:t>47.4(2)</w:t>
        </w:r>
      </w:hyperlink>
      <w:r>
        <w:rPr>
          <w:rFonts w:ascii="Times New Roman" w:hAnsi="Times New Roman"/>
          <w:b w:val="false"/>
          <w:i/>
          <w:color w:val="000000"/>
          <w:sz w:val="22"/>
        </w:rPr>
        <w:t>“c”</w:t>
      </w:r>
      <w:r>
        <w:rPr>
          <w:rFonts w:ascii="Times New Roman" w:hAnsi="Times New Roman"/>
          <w:b w:val="false"/>
          <w:i w:val="false"/>
          <w:color w:val="000000"/>
          <w:sz w:val="22"/>
        </w:rPr>
        <w:t>(1) to (9). In demonstrating compliance with those conditions, the demonstrations may not combine the results of tests that utilize the 1980 CSO Mortality Table with those tests that utilize the 2001 CSO Mortality Table, unless the combination is explicitly required by rule or necessary to be in compliance with relevant actuarial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5">
        <w:r>
          <w:rPr>
            <w:rStyle w:val="Hyperlink"/>
            <w:rFonts w:ascii="Times New Roman" w:hAnsi="Times New Roman"/>
            <w:b w:val="false"/>
            <w:i w:val="false"/>
            <w:color w:val="000000"/>
            <w:sz w:val="22"/>
          </w:rPr>
          <w:t>47.5(3)</w:t>
        </w:r>
      </w:hyperlink>
      <w:r>
        <w:rPr>
          <w:rFonts w:ascii="Times New Roman" w:hAnsi="Times New Roman"/>
          <w:b w:val="false"/>
          <w:i w:val="false"/>
          <w:color w:val="000000"/>
          <w:sz w:val="22"/>
        </w:rPr>
        <w:t>: The valuation mortality table used in determining the tabular cost of insurance shall be the ultimate mortality rates in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6">
        <w:r>
          <w:rPr>
            <w:rStyle w:val="Hyperlink"/>
            <w:rFonts w:ascii="Times New Roman" w:hAnsi="Times New Roman"/>
            <w:b w:val="false"/>
            <w:i w:val="false"/>
            <w:color w:val="000000"/>
            <w:sz w:val="22"/>
          </w:rPr>
          <w:t>47.5(5)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calculations specified in subrule </w:t>
      </w:r>
      <w:hyperlink r:id="rId27">
        <w:r>
          <w:rPr>
            <w:rStyle w:val="Hyperlink"/>
            <w:rFonts w:ascii="Times New Roman" w:hAnsi="Times New Roman"/>
            <w:b w:val="false"/>
            <w:i w:val="false"/>
            <w:color w:val="000000"/>
            <w:sz w:val="22"/>
          </w:rPr>
          <w:t>47.5(5)</w:t>
        </w:r>
      </w:hyperlink>
      <w:r>
        <w:rPr>
          <w:rFonts w:ascii="Times New Roman" w:hAnsi="Times New Roman"/>
          <w:b w:val="false"/>
          <w:i w:val="false"/>
          <w:color w:val="000000"/>
          <w:sz w:val="22"/>
        </w:rPr>
        <w:t xml:space="preserve"> shall use the ultimate mortality rates in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28">
        <w:r>
          <w:rPr>
            <w:rStyle w:val="Hyperlink"/>
            <w:rFonts w:ascii="Times New Roman" w:hAnsi="Times New Roman"/>
            <w:b w:val="false"/>
            <w:i w:val="false"/>
            <w:color w:val="000000"/>
            <w:sz w:val="22"/>
          </w:rPr>
          <w:t>47.5(6)</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calculations specified in subrule </w:t>
      </w:r>
      <w:hyperlink r:id="rId29">
        <w:r>
          <w:rPr>
            <w:rStyle w:val="Hyperlink"/>
            <w:rFonts w:ascii="Times New Roman" w:hAnsi="Times New Roman"/>
            <w:b w:val="false"/>
            <w:i w:val="false"/>
            <w:color w:val="000000"/>
            <w:sz w:val="22"/>
          </w:rPr>
          <w:t>47.5(6)</w:t>
        </w:r>
      </w:hyperlink>
      <w:r>
        <w:rPr>
          <w:rFonts w:ascii="Times New Roman" w:hAnsi="Times New Roman"/>
          <w:b w:val="false"/>
          <w:i w:val="false"/>
          <w:color w:val="000000"/>
          <w:sz w:val="22"/>
        </w:rPr>
        <w:t xml:space="preserve"> shall use the ultimate mortality rates in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30">
        <w:r>
          <w:rPr>
            <w:rStyle w:val="Hyperlink"/>
            <w:rFonts w:ascii="Times New Roman" w:hAnsi="Times New Roman"/>
            <w:b w:val="false"/>
            <w:i w:val="false"/>
            <w:color w:val="000000"/>
            <w:sz w:val="22"/>
          </w:rPr>
          <w:t>47.5(7)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calculations specified in subrule </w:t>
      </w:r>
      <w:hyperlink r:id="rId31">
        <w:r>
          <w:rPr>
            <w:rStyle w:val="Hyperlink"/>
            <w:rFonts w:ascii="Times New Roman" w:hAnsi="Times New Roman"/>
            <w:b w:val="false"/>
            <w:i w:val="false"/>
            <w:color w:val="000000"/>
            <w:sz w:val="22"/>
          </w:rPr>
          <w:t>47.5(7)</w:t>
        </w:r>
      </w:hyperlink>
      <w:r>
        <w:rPr>
          <w:rFonts w:ascii="Times New Roman" w:hAnsi="Times New Roman"/>
          <w:b w:val="false"/>
          <w:i w:val="false"/>
          <w:color w:val="000000"/>
          <w:sz w:val="22"/>
        </w:rPr>
        <w:t xml:space="preserve"> shall use the ultimate mortality rates in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Subparagraph </w:t>
      </w:r>
      <w:hyperlink r:id="rId32">
        <w:r>
          <w:rPr>
            <w:rStyle w:val="Hyperlink"/>
            <w:rFonts w:ascii="Times New Roman" w:hAnsi="Times New Roman"/>
            <w:b w:val="false"/>
            <w:i w:val="false"/>
            <w:color w:val="000000"/>
            <w:sz w:val="22"/>
          </w:rPr>
          <w:t>47.6(1)</w:t>
        </w:r>
      </w:hyperlink>
      <w:r>
        <w:rPr>
          <w:rFonts w:ascii="Times New Roman" w:hAnsi="Times New Roman"/>
          <w:b w:val="false"/>
          <w:i/>
          <w:color w:val="000000"/>
          <w:sz w:val="22"/>
        </w:rPr>
        <w:t>“a”</w:t>
      </w:r>
      <w:r>
        <w:rPr>
          <w:rFonts w:ascii="Times New Roman" w:hAnsi="Times New Roman"/>
          <w:b w:val="false"/>
          <w:i w:val="false"/>
          <w:color w:val="000000"/>
          <w:sz w:val="22"/>
        </w:rPr>
        <w:t>(2): The one-year valuation premium shall be calculated using the ultimate mortality rates in the 2001 CSO Mortality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shall be construed to expand the applicability of </w:t>
      </w:r>
      <w:hyperlink r:id="rId33">
        <w:r>
          <w:rPr>
            <w:rStyle w:val="Hyperlink"/>
            <w:rFonts w:ascii="Times New Roman" w:hAnsi="Times New Roman"/>
            <w:b w:val="false"/>
            <w:i w:val="false"/>
            <w:color w:val="000000"/>
            <w:sz w:val="22"/>
          </w:rPr>
          <w:t>191—Chapter 47</w:t>
        </w:r>
      </w:hyperlink>
      <w:r>
        <w:rPr>
          <w:rFonts w:ascii="Times New Roman" w:hAnsi="Times New Roman"/>
          <w:b w:val="false"/>
          <w:i w:val="false"/>
          <w:color w:val="000000"/>
          <w:sz w:val="22"/>
        </w:rPr>
        <w:t xml:space="preserve"> to include life insurance policies exempted under </w:t>
      </w:r>
      <w:hyperlink r:id="rId34">
        <w:r>
          <w:rPr>
            <w:rStyle w:val="Hyperlink"/>
            <w:rFonts w:ascii="Times New Roman" w:hAnsi="Times New Roman"/>
            <w:b w:val="false"/>
            <w:i w:val="false"/>
            <w:color w:val="000000"/>
            <w:sz w:val="22"/>
          </w:rPr>
          <w:t>191—subrule 47.2(1)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191—91.6</w:t>
      </w:r>
      <w:r>
        <w:rPr>
          <w:rFonts w:ascii="Times New Roman" w:hAnsi="Times New Roman"/>
          <w:b/>
          <w:i w:val="false"/>
          <w:color w:val="000000"/>
          <w:sz w:val="22"/>
        </w:rPr>
        <w:t xml:space="preserve">(508) </w:t>
      </w:r>
      <w:r>
        <w:rPr>
          <w:rFonts w:ascii="Times New Roman" w:hAnsi="Times New Roman"/>
          <w:b/>
          <w:i w:val="false"/>
          <w:color w:val="000000"/>
          <w:sz w:val="22"/>
        </w:rPr>
        <w:t xml:space="preserve">Gender-blended table.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val="false"/>
          <w:color w:val="000000"/>
          <w:sz w:val="22"/>
        </w:rPr>
        <w:t>For any ordinary life insurance policy delivered or issued for delivery in this state on and after January 1, 2004, that utilizes the same premium rates and charges for male and female lives or is issued in circumstances where applicable law does not permit distinctions on the basis of gender, a mortality table that is a blend of the 2001 CSO Mortality Table (M) and the 2001 CSO Mortality Table (F) may, at the option of the company for each plan of insurance, be substituted for the 2001 CSO Mortality Table for use in determining minimum cash surrender values and amounts of paid-up nonforfeiture benefits. No change in minimum valuation standards is implied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val="false"/>
          <w:color w:val="000000"/>
          <w:sz w:val="22"/>
        </w:rPr>
        <w:t>The company may choose from among the blended tables developed by the American Academy of Actuaries CSO Task Force and adopted by the National Association of Insurance Commissioners in December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91.6(3)</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not, in and of itself, be a violation of Iowa Code chapter </w:t>
      </w:r>
      <w:hyperlink r:id="rId3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for an insurer to issue the same kind of policy of life insurance on both a sex-distinct and sex-neutral basis.</w:t>
      </w:r>
    </w:p>
    <w:p>
      <w:pPr>
        <w:spacing w:before="210" w:after="0"/>
        <w:ind w:left="120"/>
        <w:jc w:val="both"/>
      </w:pPr>
      <w:r>
        <w:rPr>
          <w:rFonts w:ascii="Times New Roman" w:hAnsi="Times New Roman"/>
          <w:b/>
          <w:i w:val="false"/>
          <w:color w:val="000000"/>
          <w:sz w:val="22"/>
        </w:rPr>
        <w:t>191—91.7</w:t>
      </w:r>
      <w:r>
        <w:rPr>
          <w:rFonts w:ascii="Times New Roman" w:hAnsi="Times New Roman"/>
          <w:b/>
          <w:i w:val="false"/>
          <w:color w:val="000000"/>
          <w:sz w:val="22"/>
        </w:rPr>
        <w:t xml:space="preserve">(508) </w:t>
      </w:r>
      <w:r>
        <w:rPr>
          <w:rFonts w:ascii="Times New Roman" w:hAnsi="Times New Roman"/>
          <w:b/>
          <w:i w:val="false"/>
          <w:color w:val="000000"/>
          <w:sz w:val="22"/>
        </w:rPr>
        <w:t xml:space="preserve">Separability. </w:t>
      </w:r>
      <w:r>
        <w:rPr>
          <w:rFonts w:ascii="Times New Roman" w:hAnsi="Times New Roman"/>
          <w:b w:val="false"/>
          <w:i w:val="false"/>
          <w:color w:val="000000"/>
          <w:sz w:val="22"/>
        </w:rPr>
        <w:t>If any provision of this chapter or the application thereof to any person or circumstances is for any reason held to be invalid, the remainder of this chapter and the application of such provision to other persons or circumstances shall not be affected thereby.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12/4/03 after Notice 10/1/03—published 12/24/03, effective 1/1/04]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8.36.pdf" Type="http://schemas.openxmlformats.org/officeDocument/2006/relationships/hyperlink" Id="rId5"/>
    <Relationship TargetMode="External" Target="https://www.legis.iowa.gov/docs/ico/chapter/508.37.pdf" Type="http://schemas.openxmlformats.org/officeDocument/2006/relationships/hyperlink" Id="rId6"/>
    <Relationship TargetMode="External" Target="https://www.legis.iowa.gov/docs/iac/chapter/191.47.pdf" Type="http://schemas.openxmlformats.org/officeDocument/2006/relationships/hyperlink" Id="rId7"/>
    <Relationship TargetMode="External" Target="https://www.legis.iowa.gov/docs/iac/rule/191.91.3.pdf" Type="http://schemas.openxmlformats.org/officeDocument/2006/relationships/hyperlink" Id="rId8"/>
    <Relationship TargetMode="External" Target="https://www.legis.iowa.gov/docs/ico/chapter/508.36.pdf" Type="http://schemas.openxmlformats.org/officeDocument/2006/relationships/hyperlink" Id="rId9"/>
    <Relationship TargetMode="External" Target="https://www.legis.iowa.gov/docs/ico/chapter/508.37.pdf" Type="http://schemas.openxmlformats.org/officeDocument/2006/relationships/hyperlink" Id="rId10"/>
    <Relationship TargetMode="External" Target="https://www.legis.iowa.gov/docs/iac/chapter/191.47.pdf" Type="http://schemas.openxmlformats.org/officeDocument/2006/relationships/hyperlink" Id="rId11"/>
    <Relationship TargetMode="External" Target="https://www.legis.iowa.gov/docs/ico/chapter/508.36.pdf" Type="http://schemas.openxmlformats.org/officeDocument/2006/relationships/hyperlink" Id="rId12"/>
    <Relationship TargetMode="External" Target="https://www.legis.iowa.gov/docs/ico/chapter/508.37.pdf" Type="http://schemas.openxmlformats.org/officeDocument/2006/relationships/hyperlink" Id="rId13"/>
    <Relationship TargetMode="External" Target="https://www.legis.iowa.gov/docs/ico/chapter/508.36.pdf" Type="http://schemas.openxmlformats.org/officeDocument/2006/relationships/hyperlink" Id="rId14"/>
    <Relationship TargetMode="External" Target="https://www.legis.iowa.gov/docs/iac/rule/191.91.5.pdf" Type="http://schemas.openxmlformats.org/officeDocument/2006/relationships/hyperlink" Id="rId15"/>
    <Relationship TargetMode="External" Target="https://www.legis.iowa.gov/docs/iac/rule/191.5.34.pdf" Type="http://schemas.openxmlformats.org/officeDocument/2006/relationships/hyperlink" Id="rId16"/>
    <Relationship TargetMode="External" Target="https://www.legis.iowa.gov/docs/iac/chapter/191.47.pdf" Type="http://schemas.openxmlformats.org/officeDocument/2006/relationships/hyperlink" Id="rId17"/>
    <Relationship TargetMode="External" Target="https://www.legis.iowa.gov/docs/iac/rule/191.91.3.pdf" Type="http://schemas.openxmlformats.org/officeDocument/2006/relationships/hyperlink" Id="rId18"/>
    <Relationship TargetMode="External" Target="https://www.legis.iowa.gov/docs/iac/rule/191.47.2.pdf" Type="http://schemas.openxmlformats.org/officeDocument/2006/relationships/hyperlink" Id="rId19"/>
    <Relationship TargetMode="External" Target="https://www.legis.iowa.gov/docs/iac/rule/191.47.3.pdf" Type="http://schemas.openxmlformats.org/officeDocument/2006/relationships/hyperlink" Id="rId20"/>
    <Relationship TargetMode="External" Target="https://www.legis.iowa.gov/docs/iac/rule/191.91.5.pdf" Type="http://schemas.openxmlformats.org/officeDocument/2006/relationships/hyperlink" Id="rId21"/>
    <Relationship TargetMode="External" Target="https://www.legis.iowa.gov/docs/iac/rule/191.47.4.pdf" Type="http://schemas.openxmlformats.org/officeDocument/2006/relationships/hyperlink" Id="rId22"/>
    <Relationship TargetMode="External" Target="https://www.legis.iowa.gov/docs/iac/rule/191.47.4.pdf" Type="http://schemas.openxmlformats.org/officeDocument/2006/relationships/hyperlink" Id="rId23"/>
    <Relationship TargetMode="External" Target="https://www.legis.iowa.gov/docs/iac/rule/191.47.4.pdf" Type="http://schemas.openxmlformats.org/officeDocument/2006/relationships/hyperlink" Id="rId24"/>
    <Relationship TargetMode="External" Target="https://www.legis.iowa.gov/docs/iac/rule/191.47.5.pdf" Type="http://schemas.openxmlformats.org/officeDocument/2006/relationships/hyperlink" Id="rId25"/>
    <Relationship TargetMode="External" Target="https://www.legis.iowa.gov/docs/iac/rule/191.47.5.pdf" Type="http://schemas.openxmlformats.org/officeDocument/2006/relationships/hyperlink" Id="rId26"/>
    <Relationship TargetMode="External" Target="https://www.legis.iowa.gov/docs/iac/rule/191.47.5.pdf" Type="http://schemas.openxmlformats.org/officeDocument/2006/relationships/hyperlink" Id="rId27"/>
    <Relationship TargetMode="External" Target="https://www.legis.iowa.gov/docs/iac/rule/191.47.5.pdf" Type="http://schemas.openxmlformats.org/officeDocument/2006/relationships/hyperlink" Id="rId28"/>
    <Relationship TargetMode="External" Target="https://www.legis.iowa.gov/docs/iac/rule/191.47.5.pdf" Type="http://schemas.openxmlformats.org/officeDocument/2006/relationships/hyperlink" Id="rId29"/>
    <Relationship TargetMode="External" Target="https://www.legis.iowa.gov/docs/iac/rule/191.47.5.pdf" Type="http://schemas.openxmlformats.org/officeDocument/2006/relationships/hyperlink" Id="rId30"/>
    <Relationship TargetMode="External" Target="https://www.legis.iowa.gov/docs/iac/rule/191.47.5.pdf" Type="http://schemas.openxmlformats.org/officeDocument/2006/relationships/hyperlink" Id="rId31"/>
    <Relationship TargetMode="External" Target="https://www.legis.iowa.gov/docs/iac/rule/191.47.6.pdf" Type="http://schemas.openxmlformats.org/officeDocument/2006/relationships/hyperlink" Id="rId32"/>
    <Relationship TargetMode="External" Target="https://www.legis.iowa.gov/docs/iac/chapter/191.47.pdf" Type="http://schemas.openxmlformats.org/officeDocument/2006/relationships/hyperlink" Id="rId33"/>
    <Relationship TargetMode="External" Target="https://www.legis.iowa.gov/docs/iac/rule/191.47.2.pdf" Type="http://schemas.openxmlformats.org/officeDocument/2006/relationships/hyperlink" Id="rId34"/>
    <Relationship TargetMode="External" Target="https://www.legis.iowa.gov/docs/ico/chapter/507B.pdf" Type="http://schemas.openxmlformats.org/officeDocument/2006/relationships/hyperlink" Id="rId35"/>
    <Relationship TargetMode="External" Target="https://www.legis.iowa.gov/docs/ico/chapter/508.36.pdf" Type="http://schemas.openxmlformats.org/officeDocument/2006/relationships/hyperlink" Id="rId36"/>
    <Relationship TargetMode="External" Target="https://www.legis.iowa.gov/docs/ico/chapter/508.37.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