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w:t>
      </w:r>
    </w:p>
    <w:p>
      <w:pPr>
        <w:spacing w:before="0" w:after="0"/>
        <w:ind w:left="120"/>
        <w:jc w:val="center"/>
      </w:pPr>
      <w:r>
        <w:rPr>
          <w:rFonts w:ascii="Times New Roman" w:hAnsi="Times New Roman"/>
          <w:b w:val="false"/>
          <w:i w:val="false"/>
          <w:color w:val="000000"/>
          <w:sz w:val="21"/>
        </w:rPr>
        <w:t>FINANCIAL AND HEALTH INFORMATION REGULATION</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191—90.1</w:t>
      </w:r>
      <w:r>
        <w:rPr>
          <w:rFonts w:ascii="Times New Roman" w:hAnsi="Times New Roman"/>
          <w:b/>
          <w:i w:val="false"/>
          <w:color w:val="000000"/>
          <w:sz w:val="22"/>
        </w:rPr>
        <w:t xml:space="preserve">(505) </w:t>
      </w:r>
      <w:r>
        <w:rPr>
          <w:rFonts w:ascii="Times New Roman" w:hAnsi="Times New Roman"/>
          <w:b/>
          <w:i w:val="false"/>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w:t>
      </w:r>
      <w:r>
        <w:rPr>
          <w:rFonts w:ascii="Times New Roman" w:hAnsi="Times New Roman"/>
          <w:b w:val="false"/>
          <w:i w:val="false"/>
          <w:color w:val="000000"/>
          <w:sz w:val="22"/>
        </w:rPr>
        <w:t> </w:t>
      </w:r>
      <w:r>
        <w:rPr>
          <w:rFonts w:ascii="Times New Roman" w:hAnsi="Times New Roman"/>
          <w:b w:val="false"/>
          <w:i w:val="false"/>
          <w:color w:val="000000"/>
          <w:sz w:val="22"/>
        </w:rPr>
        <w:t>This chapter governs the treatment of nonpublic personal financial information and nonpublic personal health information about individuals by all licensees of the insurance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w:t>
      </w:r>
      <w:r>
        <w:rPr>
          <w:rFonts w:ascii="Times New Roman" w:hAnsi="Times New Roman"/>
          <w:b w:val="false"/>
          <w:i w:val="false"/>
          <w:color w:val="000000"/>
          <w:sz w:val="22"/>
        </w:rPr>
        <w:t> </w:t>
      </w:r>
      <w:r>
        <w:rPr>
          <w:rFonts w:ascii="Times New Roman" w:hAnsi="Times New Roman"/>
          <w:b w:val="false"/>
          <w:i w:val="false"/>
          <w:color w:val="000000"/>
          <w:sz w:val="22"/>
        </w:rPr>
        <w:t>This chapter also applies to nonpublic personal financial information and nonpublic personal health information about individuals who obtain or are claimants or beneficiaries of products or services primarily for personal, family or household purposes from licensees. This chapter does not apply to information about individuals or companies that obtain products or services for business, commercial or agricultural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w:t>
      </w:r>
      <w:r>
        <w:rPr>
          <w:rFonts w:ascii="Times New Roman" w:hAnsi="Times New Roman"/>
          <w:b w:val="false"/>
          <w:i w:val="false"/>
          <w:color w:val="000000"/>
          <w:sz w:val="22"/>
        </w:rPr>
        <w:t> </w:t>
      </w:r>
      <w:r>
        <w:rPr>
          <w:rFonts w:ascii="Times New Roman" w:hAnsi="Times New Roman"/>
          <w:b w:val="false"/>
          <w:i w:val="false"/>
          <w:color w:val="000000"/>
          <w:sz w:val="22"/>
        </w:rPr>
        <w:t>A licensee domiciled in this state that is in compliance with this chapter shall be deemed to be in compliance with Title V of P.L.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106-102 in a state that has not enacted laws or regulations that meet the requirements of Title V.</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191—90.2</w:t>
      </w:r>
      <w:r>
        <w:rPr>
          <w:rFonts w:ascii="Times New Roman" w:hAnsi="Times New Roman"/>
          <w:b/>
          <w:i w:val="false"/>
          <w:color w:val="000000"/>
          <w:sz w:val="22"/>
        </w:rPr>
        <w:t xml:space="preserve">(505)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 </w:t>
      </w:r>
      <w:r>
        <w:rPr>
          <w:rFonts w:ascii="Times New Roman" w:hAnsi="Times New Roman"/>
          <w:b w:val="false"/>
          <w:i w:val="false"/>
          <w:color w:val="000000"/>
          <w:sz w:val="22"/>
        </w:rPr>
        <w:t>means any company that controls, is controlled by or is under common control with another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“Clear and conspicuous” </w:t>
      </w:r>
      <w:r>
        <w:rPr>
          <w:rFonts w:ascii="Times New Roman" w:hAnsi="Times New Roman"/>
          <w:b w:val="false"/>
          <w:i w:val="false"/>
          <w:color w:val="000000"/>
          <w:sz w:val="22"/>
        </w:rPr>
        <w:t>means that a notice is reasonably understandable and designed to call attention to the nature and significance of the information in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“Collect” </w:t>
      </w:r>
      <w:r>
        <w:rPr>
          <w:rFonts w:ascii="Times New Roman" w:hAnsi="Times New Roman"/>
          <w:b w:val="false"/>
          <w:i w:val="false"/>
          <w:color w:val="000000"/>
          <w:sz w:val="22"/>
        </w:rPr>
        <w:t>means to obtain information that the licensee organizes or can retrieve by the name of an individual or by identifying number, symbol or other identifying article assigned to the individual, irrespective of the source of the underlying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insurance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“Company” </w:t>
      </w:r>
      <w:r>
        <w:rPr>
          <w:rFonts w:ascii="Times New Roman" w:hAnsi="Times New Roman"/>
          <w:b w:val="false"/>
          <w:i w:val="false"/>
          <w:color w:val="000000"/>
          <w:sz w:val="22"/>
        </w:rPr>
        <w:t>means a corporation, limited liability company, business trust, general or limited partnership, association, sole proprietorship or similar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w:t>
      </w:r>
      <w:r>
        <w:rPr>
          <w:rFonts w:ascii="Times New Roman" w:hAnsi="Times New Roman"/>
          <w:b w:val="false"/>
          <w:i w:val="false"/>
          <w:color w:val="000000"/>
          <w:sz w:val="22"/>
        </w:rPr>
        <w:t>means an individual, or that individual’s legal representative, who seeks to obtain, obtains or has obtained from a licensee an insurance product or service that is to be used primarily for personal, family or household purposes and about whom the licensee has nonpublic personal information. “Consumer” includes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individual who provides nonpublic personal information to a licensee in connection with obtaining or seeking to obtain financial, investment or economic advisory services relating to an insurance product or service is a consumer regardless of whether the licensee establishes an ongoing advisory relationship.</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applicant for insurance prior to the inception of insurance coverage is a licensee’s consumer.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individual is a licensee’s consumer if: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individual is a beneficiary of a life insurance policy underwritten by the licensee;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individual is a claimant under an insurance policy issued by the licensee;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individual is an insured or an annuitant under an insurance policy or an annuity, respectively, issued by the licensee;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individual is a mortgagor of a mortgage covered under a mortgage insurance policy;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licensee discloses nonpublic personal financial information about the individual to a nonaffiliated third party other than as permitted under rules 191—</w:t>
      </w:r>
      <w:hyperlink r:id="rId5">
        <w:r>
          <w:rPr>
            <w:rStyle w:val="Hyperlink"/>
            <w:rFonts w:ascii="Times New Roman" w:hAnsi="Times New Roman"/>
            <w:b w:val="false"/>
            <w:i w:val="false"/>
            <w:color w:val="000000"/>
            <w:sz w:val="22"/>
          </w:rPr>
          <w:t>90.12</w:t>
        </w:r>
      </w:hyperlink>
      <w:r>
        <w:rPr>
          <w:rFonts w:ascii="Times New Roman" w:hAnsi="Times New Roman"/>
          <w:b w:val="false"/>
          <w:i w:val="false"/>
          <w:color w:val="000000"/>
          <w:sz w:val="22"/>
        </w:rPr>
        <w:t>(505), 191—</w:t>
      </w:r>
      <w:hyperlink r:id="rId6">
        <w:r>
          <w:rPr>
            <w:rStyle w:val="Hyperlink"/>
            <w:rFonts w:ascii="Times New Roman" w:hAnsi="Times New Roman"/>
            <w:b w:val="false"/>
            <w:i w:val="false"/>
            <w:color w:val="000000"/>
            <w:sz w:val="22"/>
          </w:rPr>
          <w:t>90.13</w:t>
        </w:r>
      </w:hyperlink>
      <w:r>
        <w:rPr>
          <w:rFonts w:ascii="Times New Roman" w:hAnsi="Times New Roman"/>
          <w:b w:val="false"/>
          <w:i w:val="false"/>
          <w:color w:val="000000"/>
          <w:sz w:val="22"/>
        </w:rPr>
        <w:t>(505) and 191—</w:t>
      </w:r>
      <w:hyperlink r:id="rId7">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(505) of this chapter.</w:t>
      </w:r>
    </w:p>
    <w:p>
      <w:pPr>
        <w:spacing w:before="0" w:after="0"/>
        <w:ind w:left="120"/>
        <w:jc w:val="both"/>
      </w:pPr>
      <w:r>
        <w:rPr>
          <w:rFonts w:ascii="Times New Roman" w:hAnsi="Times New Roman"/>
          <w:b w:val="false"/>
          <w:i w:val="false"/>
          <w:color w:val="000000"/>
          <w:sz w:val="22"/>
        </w:rPr>
        <w:t>An individual who is a consumer of another financial institution is not a licensee’s consumer solely because the licensee is acting as agent for, or provides processing or other services to, that financial institution.</w:t>
      </w:r>
    </w:p>
    <w:p>
      <w:pPr>
        <w:spacing w:before="0" w:after="0"/>
        <w:ind w:left="120"/>
        <w:jc w:val="both"/>
      </w:pPr>
      <w:r>
        <w:rPr>
          <w:rFonts w:ascii="Times New Roman" w:hAnsi="Times New Roman"/>
          <w:b w:val="false"/>
          <w:i w:val="false"/>
          <w:color w:val="000000"/>
          <w:sz w:val="22"/>
        </w:rPr>
        <w:t>An individual is not the consumer of the licensee provided that the licensee provides the initial, annual and revised notices required under rules 191—</w:t>
      </w:r>
      <w:hyperlink r:id="rId8">
        <w:r>
          <w:rPr>
            <w:rStyle w:val="Hyperlink"/>
            <w:rFonts w:ascii="Times New Roman" w:hAnsi="Times New Roman"/>
            <w:b w:val="false"/>
            <w:i w:val="false"/>
            <w:color w:val="000000"/>
            <w:sz w:val="22"/>
          </w:rPr>
          <w:t>90.3</w:t>
        </w:r>
      </w:hyperlink>
      <w:r>
        <w:rPr>
          <w:rFonts w:ascii="Times New Roman" w:hAnsi="Times New Roman"/>
          <w:b w:val="false"/>
          <w:i w:val="false"/>
          <w:color w:val="000000"/>
          <w:sz w:val="22"/>
        </w:rPr>
        <w:t>(505), 191—</w:t>
      </w:r>
      <w:hyperlink r:id="rId9">
        <w:r>
          <w:rPr>
            <w:rStyle w:val="Hyperlink"/>
            <w:rFonts w:ascii="Times New Roman" w:hAnsi="Times New Roman"/>
            <w:b w:val="false"/>
            <w:i w:val="false"/>
            <w:color w:val="000000"/>
            <w:sz w:val="22"/>
          </w:rPr>
          <w:t>90.4</w:t>
        </w:r>
      </w:hyperlink>
      <w:r>
        <w:rPr>
          <w:rFonts w:ascii="Times New Roman" w:hAnsi="Times New Roman"/>
          <w:b w:val="false"/>
          <w:i w:val="false"/>
          <w:color w:val="000000"/>
          <w:sz w:val="22"/>
        </w:rPr>
        <w:t>(505), and 191—</w:t>
      </w:r>
      <w:hyperlink r:id="rId10">
        <w:r>
          <w:rPr>
            <w:rStyle w:val="Hyperlink"/>
            <w:rFonts w:ascii="Times New Roman" w:hAnsi="Times New Roman"/>
            <w:b w:val="false"/>
            <w:i w:val="false"/>
            <w:color w:val="000000"/>
            <w:sz w:val="22"/>
          </w:rPr>
          <w:t>90.7</w:t>
        </w:r>
      </w:hyperlink>
      <w:r>
        <w:rPr>
          <w:rFonts w:ascii="Times New Roman" w:hAnsi="Times New Roman"/>
          <w:b w:val="false"/>
          <w:i w:val="false"/>
          <w:color w:val="000000"/>
          <w:sz w:val="22"/>
        </w:rPr>
        <w:t>(505) to the plan sponsor, group or blanket insurance policyholder or group annuity contract holder, workers’ compensation plan participant, or further, provided that the licensee does not disclose to a nonaffiliated third party nonpublic personal financial information about such an individual other than as permitted under rules 191—</w:t>
      </w:r>
      <w:hyperlink r:id="rId11">
        <w:r>
          <w:rPr>
            <w:rStyle w:val="Hyperlink"/>
            <w:rFonts w:ascii="Times New Roman" w:hAnsi="Times New Roman"/>
            <w:b w:val="false"/>
            <w:i w:val="false"/>
            <w:color w:val="000000"/>
            <w:sz w:val="22"/>
          </w:rPr>
          <w:t>90.12</w:t>
        </w:r>
      </w:hyperlink>
      <w:r>
        <w:rPr>
          <w:rFonts w:ascii="Times New Roman" w:hAnsi="Times New Roman"/>
          <w:b w:val="false"/>
          <w:i w:val="false"/>
          <w:color w:val="000000"/>
          <w:sz w:val="22"/>
        </w:rPr>
        <w:t>(505), 191—</w:t>
      </w:r>
      <w:hyperlink r:id="rId12">
        <w:r>
          <w:rPr>
            <w:rStyle w:val="Hyperlink"/>
            <w:rFonts w:ascii="Times New Roman" w:hAnsi="Times New Roman"/>
            <w:b w:val="false"/>
            <w:i w:val="false"/>
            <w:color w:val="000000"/>
            <w:sz w:val="22"/>
          </w:rPr>
          <w:t>90.13</w:t>
        </w:r>
      </w:hyperlink>
      <w:r>
        <w:rPr>
          <w:rFonts w:ascii="Times New Roman" w:hAnsi="Times New Roman"/>
          <w:b w:val="false"/>
          <w:i w:val="false"/>
          <w:color w:val="000000"/>
          <w:sz w:val="22"/>
        </w:rPr>
        <w:t>(505), and 191—</w:t>
      </w:r>
      <w:hyperlink r:id="rId13">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(505) and solely due to any of the following:</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The consumer is a participant in or a beneficiary of an employee benefit plan that the licensee administers or sponsors or for which the licensee acts as a trustee, insurer or fiduciary,</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The consumer is covered under a group or blanket insurance policy or group annuity contract issued by the licensee, or</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The consumer is a beneficiary in a workers’ compensation plan.</w:t>
      </w:r>
    </w:p>
    <w:p>
      <w:pPr>
        <w:spacing w:before="0" w:after="0"/>
        <w:ind w:left="120"/>
        <w:jc w:val="both"/>
      </w:pPr>
      <w:r>
        <w:rPr>
          <w:rFonts w:ascii="Times New Roman" w:hAnsi="Times New Roman"/>
          <w:b w:val="false"/>
          <w:i w:val="false"/>
          <w:color w:val="000000"/>
          <w:sz w:val="22"/>
        </w:rPr>
        <w:t xml:space="preserve">However, an individual described in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is a consumer of a licensee if the licensee does not meet all the above conditions. In no event shall an individual solely by virtue of the status described in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above be deemed a customer for purposes of this chapter.</w:t>
      </w:r>
    </w:p>
    <w:p>
      <w:pPr>
        <w:spacing w:before="0" w:after="0"/>
        <w:ind w:left="120"/>
        <w:jc w:val="both"/>
      </w:pPr>
      <w:r>
        <w:rPr>
          <w:rFonts w:ascii="Times New Roman" w:hAnsi="Times New Roman"/>
          <w:b w:val="false"/>
          <w:i w:val="false"/>
          <w:color w:val="000000"/>
          <w:sz w:val="22"/>
        </w:rPr>
        <w:t>An individual is not a licensee’s consumer solely because the individual is a beneficiary of a trust for which the licensee is a trustee or because the individual has designated the licensee as trustee for a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reporting agency” </w:t>
      </w:r>
      <w:r>
        <w:rPr>
          <w:rFonts w:ascii="Times New Roman" w:hAnsi="Times New Roman"/>
          <w:b w:val="false"/>
          <w:i w:val="false"/>
          <w:color w:val="000000"/>
          <w:sz w:val="22"/>
        </w:rPr>
        <w:t>means “consumer reporting agency” as defined in Section 603(f) of the federal Fair Credit Reporting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Ownership, control or power to vote 25 percent or more of the outstanding shares of any class of voting security of the company, directly or indirectly, or acting through one or more other persons;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Control in any manner over the election of a majority of the directors, trustees or general partners or individuals exercising similar functions of the company;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power to exercise, directly or indirectly, a controlling influence over the management or policies of the company, as the commissioner determines.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w:t>
      </w:r>
      <w:r>
        <w:rPr>
          <w:rFonts w:ascii="Times New Roman" w:hAnsi="Times New Roman"/>
          <w:b w:val="false"/>
          <w:i w:val="false"/>
          <w:color w:val="000000"/>
          <w:sz w:val="22"/>
        </w:rPr>
        <w:t>means a consumer who has a customer relationship with a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information” </w:t>
      </w:r>
      <w:r>
        <w:rPr>
          <w:rFonts w:ascii="Times New Roman" w:hAnsi="Times New Roman"/>
          <w:b w:val="false"/>
          <w:i w:val="false"/>
          <w:color w:val="000000"/>
          <w:sz w:val="22"/>
        </w:rPr>
        <w:t>means nonpublic personal information about a customer, whether the information is in paper, electronic or other form, that is maintained by or on behalf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information systems” </w:t>
      </w:r>
      <w:r>
        <w:rPr>
          <w:rFonts w:ascii="Times New Roman" w:hAnsi="Times New Roman"/>
          <w:b w:val="false"/>
          <w:i w:val="false"/>
          <w:color w:val="000000"/>
          <w:sz w:val="22"/>
        </w:rPr>
        <w:t>means the electronic or physical methods used to access, collect, store, use, transmit, protect or dispose of customer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relationship” </w:t>
      </w:r>
      <w:r>
        <w:rPr>
          <w:rFonts w:ascii="Times New Roman" w:hAnsi="Times New Roman"/>
          <w:b w:val="false"/>
          <w:i w:val="false"/>
          <w:color w:val="000000"/>
          <w:sz w:val="22"/>
        </w:rPr>
        <w:t>means a continuing relationship between a consumer and a licensee under which the licensee provides to the consumer one or more insurance products or services that are to be used primarily for personal, family or household purposes.</w:t>
      </w:r>
    </w:p>
    <w:p>
      <w:pPr>
        <w:spacing w:before="0" w:after="0"/>
        <w:ind w:left="120"/>
        <w:jc w:val="both"/>
      </w:pPr>
      <w:r>
        <w:rPr>
          <w:rFonts w:ascii="Times New Roman" w:hAnsi="Times New Roman"/>
          <w:b w:val="false"/>
          <w:i w:val="false"/>
          <w:color w:val="000000"/>
          <w:sz w:val="22"/>
        </w:rPr>
        <w:t>A consumer has a continuing relationship with a licensee if the consumer is a current policyholder of an insurance product issued by or through the licensee or if the consumer obtains financial, investment or economic advisory services relating to an insurance product or service from the licensee for a fee.</w:t>
      </w:r>
    </w:p>
    <w:p>
      <w:pPr>
        <w:spacing w:before="0" w:after="0"/>
        <w:ind w:left="120"/>
        <w:jc w:val="both"/>
      </w:pPr>
      <w:r>
        <w:rPr>
          <w:rFonts w:ascii="Times New Roman" w:hAnsi="Times New Roman"/>
          <w:b w:val="false"/>
          <w:i w:val="false"/>
          <w:color w:val="000000"/>
          <w:sz w:val="22"/>
        </w:rPr>
        <w:t>A consumer does not have a continuing relationship with a licensee under the following examples: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consumer applies for insurance but does not purchase the insurance;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licensee sells the consumer airline travel insurance in an isolated transaction;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individual is no longer a current policyholder of an insurance product or no longer obtains insurance services with or through the licensee;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consumer is a beneficiary or claimant under a policy and has submitted a claim under a policy choosing a settlement option involving an ongoing relationship with the licensee;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consumer is a beneficiary or a claimant under a policy and has submitted a claim under that policy choosing a lump sum settlement option;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customer’s policy is lapsed, expired, or otherwise inactive or dormant under the licensee’s business practices and the licensee has not communicated with the customer about the relationship for a period of 12 consecutive months, other than annual privacy notices, material required by law or regulation, communication at the direction of a state or federal authority, or promotional materials;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individual is an insured or an annuitant under an insurance policy or annuity, respectively, but is not the policyholder or owner of the insurance policy or annuity; or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For the purposes of these rules, the individual’s last-known address according to the licensee’s record is deemed invalid. An address of record is deemed invalid if mail sent to that address by the licensee has been returned by the postal authorities as undeliverable and if subsequent attempts by the licensee to obtain a current valid address for the individual have been unsuccessful.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“Designed to call attention” </w:t>
      </w:r>
      <w:r>
        <w:rPr>
          <w:rFonts w:ascii="Times New Roman" w:hAnsi="Times New Roman"/>
          <w:b w:val="false"/>
          <w:i w:val="false"/>
          <w:color w:val="000000"/>
          <w:sz w:val="22"/>
        </w:rPr>
        <w:t>means a licensee designs its notice to call attention to the nature and significance of the information in a notice if the licensee does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Uses a plain-language heading to call attention to the notice;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Uses a typeface and type size that are easy to read;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Provides wide margins and ample line spacing;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Uses boldface or italics for key words;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Uses a form that combines the licensee’s notice with other information and uses distinctive type size, style, and graphic devices, such as shading or sidebars.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institution” </w:t>
      </w:r>
      <w:r>
        <w:rPr>
          <w:rFonts w:ascii="Times New Roman" w:hAnsi="Times New Roman"/>
          <w:b w:val="false"/>
          <w:i w:val="false"/>
          <w:color w:val="000000"/>
          <w:sz w:val="22"/>
        </w:rPr>
        <w:t>means any institution the business of which is engaging in activities that are financial in nature or incidental to the financial activities described in Section 4(k) of the Bank Holding Company Act of 1956. “Financial institution” does not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person or entity with respect to any financial activity that is subject to the jurisdiction of the commodity futures trading commissioner under the Commodity Exchange Act.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Federal Agricultural Mortgage Corporation or any entity charged and operating under the Farm Credit Act of 1971.</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Institutions chartered by Congress specifically to engage in securitizations, secondary market sales including sales of servicing rights, or similar transactions related to a transaction of a consumer as long as the institutions do not sell or transfer nonpublic personal information to a nonaffiliated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product or service” </w:t>
      </w:r>
      <w:r>
        <w:rPr>
          <w:rFonts w:ascii="Times New Roman" w:hAnsi="Times New Roman"/>
          <w:b w:val="false"/>
          <w:i w:val="false"/>
          <w:color w:val="000000"/>
          <w:sz w:val="22"/>
        </w:rPr>
        <w:t>means any product or service that a financial holding company could offer by engaging in an activity that is financial in nature or incidental to such a financial activity under Section 4(k) of the Bank Holding Company Act of 1956. Financial service includes a financial institution’s evaluation or brokerage of information that the financial institution collects in connection with a request or an application from a consumer for a financial product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w:t>
      </w:r>
      <w:r>
        <w:rPr>
          <w:rFonts w:ascii="Times New Roman" w:hAnsi="Times New Roman"/>
          <w:b w:val="false"/>
          <w:i w:val="false"/>
          <w:color w:val="000000"/>
          <w:sz w:val="22"/>
        </w:rPr>
        <w:t>means preventive, diagnostic, therapeutic, rehabilitative, maintenance or palliative care, services, procedures, tests or counseling that relates to the physical, mental or behavioral condition of an individual or affects the structure or function of the human body or any part of the human body including the banking of blood, sperm, organs or any other tissues. “Health care” also means prescribing, dispensing or furnishing to an individual drugs or biologicals, or medical devices or health care equipment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 </w:t>
      </w:r>
      <w:r>
        <w:rPr>
          <w:rFonts w:ascii="Times New Roman" w:hAnsi="Times New Roman"/>
          <w:b w:val="false"/>
          <w:i w:val="false"/>
          <w:color w:val="000000"/>
          <w:sz w:val="22"/>
        </w:rPr>
        <w:t>means a physician or health care practitioner licensed, accredited or certified to perform specified health services consistent with state law, or a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information” </w:t>
      </w:r>
      <w:r>
        <w:rPr>
          <w:rFonts w:ascii="Times New Roman" w:hAnsi="Times New Roman"/>
          <w:b w:val="false"/>
          <w:i w:val="false"/>
          <w:color w:val="000000"/>
          <w:sz w:val="22"/>
        </w:rPr>
        <w:t>means any information or data except age, gender or nonmedical identifying information, whether oral or recorded in any form or medium, created by or derived from a health care provider or the consumer that relates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past, present or future physical, mental or behavioral health or condition of an individual;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provision of health care to an individual;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Payment for the provision of health care to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“Insurance product or service” </w:t>
      </w:r>
      <w:r>
        <w:rPr>
          <w:rFonts w:ascii="Times New Roman" w:hAnsi="Times New Roman"/>
          <w:b w:val="false"/>
          <w:i w:val="false"/>
          <w:color w:val="000000"/>
          <w:sz w:val="22"/>
        </w:rPr>
        <w:t>means any product or service that is offered by a licensee pursuant to the insurance laws of Iowa. “Insurance service” includes a licensee’s evaluation, brokerage or distribution of information that the licensee collects in connection with a request or an application from a consumer for an insurance product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all licensed carriers, producers and other persons licensed or required to be licensed, or authorized or required to be authorized, or registered or required to be registered pursuant to the insurance laws of the state or by the department of health and human services. “Licensee” shall also include an unauthorized insurer that accepts business placed through a licensed excess lines broker but only in regard to the excess lines placements pursuant to state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“Nonaffiliated third party” </w:t>
      </w:r>
      <w:r>
        <w:rPr>
          <w:rFonts w:ascii="Times New Roman" w:hAnsi="Times New Roman"/>
          <w:b w:val="false"/>
          <w:i w:val="false"/>
          <w:color w:val="000000"/>
          <w:sz w:val="22"/>
        </w:rPr>
        <w:t>means any person except a licensee’s affiliate or a person employed jointly by a licensee and any company that is not a licensee’s affiliate. “Nonaffiliated third party” includes any company that is an affiliate solely by virtue of the direct or indirect ownership or control of the company by the licensee or its affiliate in conducting merchant banking or investment banking activities of the type described in Section 4(k)(4)(H) of the federal Bank Holding Company Act or insurance company investment activities of the type described in Section 4(k)(4)(I) of the federal Bank Holding Company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“Nonpublic personal health information” </w:t>
      </w:r>
      <w:r>
        <w:rPr>
          <w:rFonts w:ascii="Times New Roman" w:hAnsi="Times New Roman"/>
          <w:b w:val="false"/>
          <w:i w:val="false"/>
          <w:color w:val="000000"/>
          <w:sz w:val="22"/>
        </w:rPr>
        <w:t>means health information that identifies an individual who is the subject of the information or with respect to which there is a reasonable basis to believe that the information could be used to identify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“Nonpublic personal information”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“nonpublic personal financial information” </w:t>
      </w:r>
      <w:r>
        <w:rPr>
          <w:rFonts w:ascii="Times New Roman" w:hAnsi="Times New Roman"/>
          <w:b w:val="false"/>
          <w:i w:val="false"/>
          <w:color w:val="000000"/>
          <w:sz w:val="22"/>
        </w:rPr>
        <w:t>means personally identifiable financial information and any list, description or other groupings of consumers and publicly available information pertaining to them that is derived using any personally identifiable financial information that is not publicly available.</w:t>
      </w:r>
    </w:p>
    <w:p>
      <w:pPr>
        <w:spacing w:before="0" w:after="0"/>
        <w:ind w:left="120"/>
        <w:jc w:val="both"/>
      </w:pPr>
      <w:r>
        <w:rPr>
          <w:rFonts w:ascii="Times New Roman" w:hAnsi="Times New Roman"/>
          <w:b w:val="false"/>
          <w:i w:val="false"/>
          <w:color w:val="000000"/>
          <w:sz w:val="22"/>
        </w:rPr>
        <w:t>“Nonpublic personal financial information” does not include health information, publicly available information, except as included on a list as described above or any list or description pertaining to consumers that is derived without using any personally identifiable financial information that is not publicly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“Opt out” </w:t>
      </w:r>
      <w:r>
        <w:rPr>
          <w:rFonts w:ascii="Times New Roman" w:hAnsi="Times New Roman"/>
          <w:b w:val="false"/>
          <w:i w:val="false"/>
          <w:color w:val="000000"/>
          <w:sz w:val="22"/>
        </w:rPr>
        <w:t>means a direction by the consumer that the licensee not disclose nonpublic personal financial information about the consumer to a nonaffiliated third party other than as permitted by rules 191—</w:t>
      </w:r>
      <w:hyperlink r:id="rId14">
        <w:r>
          <w:rPr>
            <w:rStyle w:val="Hyperlink"/>
            <w:rFonts w:ascii="Times New Roman" w:hAnsi="Times New Roman"/>
            <w:b w:val="false"/>
            <w:i w:val="false"/>
            <w:color w:val="000000"/>
            <w:sz w:val="22"/>
          </w:rPr>
          <w:t>90.12</w:t>
        </w:r>
      </w:hyperlink>
      <w:r>
        <w:rPr>
          <w:rFonts w:ascii="Times New Roman" w:hAnsi="Times New Roman"/>
          <w:b w:val="false"/>
          <w:i w:val="false"/>
          <w:color w:val="000000"/>
          <w:sz w:val="22"/>
        </w:rPr>
        <w:t>(505), 191—</w:t>
      </w:r>
      <w:hyperlink r:id="rId15">
        <w:r>
          <w:rPr>
            <w:rStyle w:val="Hyperlink"/>
            <w:rFonts w:ascii="Times New Roman" w:hAnsi="Times New Roman"/>
            <w:b w:val="false"/>
            <w:i w:val="false"/>
            <w:color w:val="000000"/>
            <w:sz w:val="22"/>
          </w:rPr>
          <w:t>90.13</w:t>
        </w:r>
      </w:hyperlink>
      <w:r>
        <w:rPr>
          <w:rFonts w:ascii="Times New Roman" w:hAnsi="Times New Roman"/>
          <w:b w:val="false"/>
          <w:i w:val="false"/>
          <w:color w:val="000000"/>
          <w:sz w:val="22"/>
        </w:rPr>
        <w:t>(505), and 191—</w:t>
      </w:r>
      <w:hyperlink r:id="rId16">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(505).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financial information” </w:t>
      </w:r>
      <w:r>
        <w:rPr>
          <w:rFonts w:ascii="Times New Roman" w:hAnsi="Times New Roman"/>
          <w:b w:val="false"/>
          <w:i w:val="false"/>
          <w:color w:val="000000"/>
          <w:sz w:val="22"/>
        </w:rPr>
        <w:t>means any information a consumer provides to a licensee to obtain an insurance product or service from the licensee, information about a consumer resulting from a transaction involving an insurance product or service between a licensee and a consumer, or information the licensee otherwise obtains about a consumer in connection with providing an insurance product or service to that consumer.</w:t>
      </w:r>
    </w:p>
    <w:p>
      <w:pPr>
        <w:spacing w:before="0" w:after="0"/>
        <w:ind w:left="120"/>
        <w:jc w:val="both"/>
      </w:pPr>
      <w:r>
        <w:rPr>
          <w:rFonts w:ascii="Times New Roman" w:hAnsi="Times New Roman"/>
          <w:b w:val="false"/>
          <w:i w:val="false"/>
          <w:color w:val="000000"/>
          <w:sz w:val="22"/>
        </w:rPr>
        <w:t>Examples of “personally identifiable financial information”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Information a consumer provides to a licensee on an application to obtain an insurance product or service;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Account balance information and payment history;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fact that an individual is or has been one of the licensee’s customers or has obtained an insurance product or service from the licensee;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information about the licensee’s consumer if it is disclosed in a manner that indicates that the individual is or has been the licensee’s consumer;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information that a consumer provides to a licensee or that the licensee or its agent otherwise obtains in connection with collecting on a loan or servicing a loan;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information the licensee collects through an Internet cookie (an information-collecting device from a web server);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Information from a consumer report.</w:t>
      </w:r>
    </w:p>
    <w:p>
      <w:pPr>
        <w:spacing w:before="0" w:after="0"/>
        <w:ind w:left="120"/>
        <w:jc w:val="both"/>
      </w:pPr>
      <w:r>
        <w:rPr>
          <w:rFonts w:ascii="Times New Roman" w:hAnsi="Times New Roman"/>
          <w:b w:val="false"/>
          <w:i w:val="false"/>
          <w:color w:val="000000"/>
          <w:sz w:val="22"/>
        </w:rPr>
        <w:t>“Personally identifiable financial information” does not include health information, a list of names and addresses of customers of an entity that is not a financial institution and information that does not identify a consumer, such as aggregate information or blind data that does not contain personal identifiers such as account numbers, names, and addresses.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“Publicly available information” </w:t>
      </w:r>
      <w:r>
        <w:rPr>
          <w:rFonts w:ascii="Times New Roman" w:hAnsi="Times New Roman"/>
          <w:b w:val="false"/>
          <w:i w:val="false"/>
          <w:color w:val="000000"/>
          <w:sz w:val="22"/>
        </w:rPr>
        <w:t>means any information that a licensee has a reasonable basis to believe is lawfully made available to the general public from federal, state, or local government records; widely distributed media sources; or disclosures to the general public that are required to be made by federal, state or local law.</w:t>
      </w:r>
    </w:p>
    <w:p>
      <w:pPr>
        <w:spacing w:before="0" w:after="0"/>
        <w:ind w:left="120"/>
        <w:jc w:val="both"/>
      </w:pPr>
      <w:r>
        <w:rPr>
          <w:rFonts w:ascii="Times New Roman" w:hAnsi="Times New Roman"/>
          <w:b w:val="false"/>
          <w:i w:val="false"/>
          <w:color w:val="000000"/>
          <w:sz w:val="22"/>
        </w:rPr>
        <w:t>A licensee has a reasonable basis to believe that information is lawfully made available to the general public if the licensee has taken steps to determine that the information is the type that is available to the general public and whether an individual can direct that the information not be made available to the general public and, if so, that the licensee’s consumer has not done so.</w:t>
      </w:r>
    </w:p>
    <w:p>
      <w:pPr>
        <w:spacing w:before="0" w:after="0"/>
        <w:ind w:left="120"/>
        <w:jc w:val="both"/>
      </w:pPr>
      <w:r>
        <w:rPr>
          <w:rFonts w:ascii="Times New Roman" w:hAnsi="Times New Roman"/>
          <w:b w:val="false"/>
          <w:i w:val="false"/>
          <w:color w:val="000000"/>
          <w:sz w:val="22"/>
        </w:rPr>
        <w:t>Examples of “publicly available information”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Publicly available information in government records, which includes information in government real estate records and security interest filings.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Publicly available information from widely distributed media, which includes information from a telephone book, a television or radio program, a newspaper or a website that is available to the general public on an unrestricted basis. A website is not restricted merely because an Internet service provider or a site operator requires a fee or a password, so long as access is available to the general public.</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licensee has a reasonable basis to believe that mortgage information is lawfully made available to the general public if the licensee has determined that the information is of the type included on the public record in the jurisdiction where the mortgage would be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“Reasonably understandable” </w:t>
      </w:r>
      <w:r>
        <w:rPr>
          <w:rFonts w:ascii="Times New Roman" w:hAnsi="Times New Roman"/>
          <w:b w:val="false"/>
          <w:i w:val="false"/>
          <w:color w:val="000000"/>
          <w:sz w:val="22"/>
        </w:rPr>
        <w:t>means the licensee’s notice is reasonably understandable if it: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Uses clear, concise sentences, paragraphs, and sections;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Uses short explanatory sentences or bullet lists whenever possible;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Uses definite, concrete, plain language and active voice whenever possible;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Avoids multiple negatives;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Avoids legal or highly technical business terminology whenever possible;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Avoids explanations that are imprecise and readily subject to different interpretations.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provider” </w:t>
      </w:r>
      <w:r>
        <w:rPr>
          <w:rFonts w:ascii="Times New Roman" w:hAnsi="Times New Roman"/>
          <w:b w:val="false"/>
          <w:i w:val="false"/>
          <w:color w:val="000000"/>
          <w:sz w:val="22"/>
        </w:rPr>
        <w:t>means a person who maintains, processes or otherwise is permitted access to customer information through the person’s provision of services directly to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RULES FOR FINANCIAL INFORMATION</w:t>
      </w:r>
    </w:p>
    <w:p>
      <w:pPr>
        <w:spacing w:before="0" w:after="0"/>
        <w:ind w:left="120"/>
        <w:jc w:val="both"/>
      </w:pPr>
      <w:r>
        <w:rPr>
          <w:rFonts w:ascii="Times New Roman" w:hAnsi="Times New Roman"/>
          <w:b/>
          <w:i w:val="false"/>
          <w:color w:val="000000"/>
          <w:sz w:val="22"/>
        </w:rPr>
        <w:t>191—90.3</w:t>
      </w:r>
      <w:r>
        <w:rPr>
          <w:rFonts w:ascii="Times New Roman" w:hAnsi="Times New Roman"/>
          <w:b/>
          <w:i w:val="false"/>
          <w:color w:val="000000"/>
          <w:sz w:val="22"/>
        </w:rPr>
        <w:t xml:space="preserve">(505) </w:t>
      </w:r>
      <w:r>
        <w:rPr>
          <w:rFonts w:ascii="Times New Roman" w:hAnsi="Times New Roman"/>
          <w:b/>
          <w:i w:val="false"/>
          <w:color w:val="000000"/>
          <w:sz w:val="22"/>
        </w:rPr>
        <w:t xml:space="preserve">Initial privacy notice to consumers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90.3(1)</w:t>
      </w:r>
      <w:r>
        <w:rPr>
          <w:rFonts w:ascii="Times New Roman" w:hAnsi="Times New Roman"/>
          <w:b w:val="false"/>
          <w:i w:val="false"/>
          <w:color w:val="000000"/>
          <w:sz w:val="22"/>
        </w:rPr>
        <w:t> </w:t>
      </w:r>
      <w:r>
        <w:rPr>
          <w:rFonts w:ascii="Times New Roman" w:hAnsi="Times New Roman"/>
          <w:b w:val="false"/>
          <w:i w:val="false"/>
          <w:color w:val="000000"/>
          <w:sz w:val="22"/>
        </w:rPr>
        <w:t>A licensee shall provide a clear and conspicuous notice that accurately reflects its privacy policies and practices to the following persons and at the following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becomes the licensee’s customer, not later than when the licensee establishes a customer relationship, except as provided in subrule </w:t>
      </w:r>
      <w:hyperlink r:id="rId17">
        <w:r>
          <w:rPr>
            <w:rStyle w:val="Hyperlink"/>
            <w:rFonts w:ascii="Times New Roman" w:hAnsi="Times New Roman"/>
            <w:b w:val="false"/>
            <w:i w:val="false"/>
            <w:color w:val="000000"/>
            <w:sz w:val="22"/>
          </w:rPr>
          <w:t>90.3(5)</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consumer, before the licensee discloses any nonpublic personal financial information about the consumer to any nonaffiliated third party, if the licensee makes a disclosure other than as authorized by rules 191—</w:t>
      </w:r>
      <w:hyperlink r:id="rId18">
        <w:r>
          <w:rPr>
            <w:rStyle w:val="Hyperlink"/>
            <w:rFonts w:ascii="Times New Roman" w:hAnsi="Times New Roman"/>
            <w:b w:val="false"/>
            <w:i w:val="false"/>
            <w:color w:val="000000"/>
            <w:sz w:val="22"/>
          </w:rPr>
          <w:t>90.13</w:t>
        </w:r>
      </w:hyperlink>
      <w:r>
        <w:rPr>
          <w:rFonts w:ascii="Times New Roman" w:hAnsi="Times New Roman"/>
          <w:b w:val="false"/>
          <w:i w:val="false"/>
          <w:color w:val="000000"/>
          <w:sz w:val="22"/>
        </w:rPr>
        <w:t>(505) and 191—</w:t>
      </w:r>
      <w:hyperlink r:id="rId19">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(505).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is not required to provide an initial notice to a consumer under subrule </w:t>
      </w:r>
      <w:hyperlink r:id="rId20">
        <w:r>
          <w:rPr>
            <w:rStyle w:val="Hyperlink"/>
            <w:rFonts w:ascii="Times New Roman" w:hAnsi="Times New Roman"/>
            <w:b w:val="false"/>
            <w:i w:val="false"/>
            <w:color w:val="000000"/>
            <w:sz w:val="22"/>
          </w:rPr>
          <w:t>90.3(1)</w:t>
        </w:r>
      </w:hyperlink>
      <w:r>
        <w:rPr>
          <w:rFonts w:ascii="Times New Roman" w:hAnsi="Times New Roman"/>
          <w:b w:val="false"/>
          <w:i w:val="false"/>
          <w:color w:val="000000"/>
          <w:sz w:val="22"/>
        </w:rPr>
        <w:t xml:space="preserv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does not disclose any nonpublic personal financial information about the consumer to any nonaffiliated third party other than as authorized by rules 191—</w:t>
      </w:r>
      <w:hyperlink r:id="rId21">
        <w:r>
          <w:rPr>
            <w:rStyle w:val="Hyperlink"/>
            <w:rFonts w:ascii="Times New Roman" w:hAnsi="Times New Roman"/>
            <w:b w:val="false"/>
            <w:i w:val="false"/>
            <w:color w:val="000000"/>
            <w:sz w:val="22"/>
          </w:rPr>
          <w:t>90.13</w:t>
        </w:r>
      </w:hyperlink>
      <w:r>
        <w:rPr>
          <w:rFonts w:ascii="Times New Roman" w:hAnsi="Times New Roman"/>
          <w:b w:val="false"/>
          <w:i w:val="false"/>
          <w:color w:val="000000"/>
          <w:sz w:val="22"/>
        </w:rPr>
        <w:t>(505) and 191—</w:t>
      </w:r>
      <w:hyperlink r:id="rId22">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(505) and the licensee does not have a customer relationship with the consumer;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notice has been provided by an affiliated licensee, as long as the notice clearly identifies all licensees to whom the notice applies and is accurate with respect to the licensee and the other institutions;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has a customer relationship with the consumer and the consumer consents to the licensee’s searching for insurance coverage to replace existing coverage or the licensee is selling the agency expiration lists or the agency contract is canceled and the licensee is required to move the existing coverage to a new carrier.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90.3(3)</w:t>
      </w:r>
      <w:r>
        <w:rPr>
          <w:rFonts w:ascii="Times New Roman" w:hAnsi="Times New Roman"/>
          <w:b w:val="false"/>
          <w:i w:val="false"/>
          <w:color w:val="000000"/>
          <w:sz w:val="22"/>
        </w:rPr>
        <w:t> </w:t>
      </w:r>
      <w:r>
        <w:rPr>
          <w:rFonts w:ascii="Times New Roman" w:hAnsi="Times New Roman"/>
          <w:b w:val="false"/>
          <w:i w:val="false"/>
          <w:color w:val="000000"/>
          <w:sz w:val="22"/>
        </w:rPr>
        <w:t>A licensee establishes a customer relationship at the time the licensee and the consumer enter into a continuing relationship. A licensee establishes a customer relationship when the consumer does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Becomes a policyholder of a licensee that is an insurer when the insurer delivers an insurance policy or contract to the consumer or, in the case of a licensee that is an insurance producer or insurance broker, obtains insurance through that licensee;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Agrees to obtain financial, economic or investment advisory services relating to insurance products or services for a fee from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existing customer obtains a new insurance product or service from a licensee that is to be used primarily for personal, family or household purposes, the licensee satisfies the initial notice requirements of subrule </w:t>
      </w:r>
      <w:hyperlink r:id="rId23">
        <w:r>
          <w:rPr>
            <w:rStyle w:val="Hyperlink"/>
            <w:rFonts w:ascii="Times New Roman" w:hAnsi="Times New Roman"/>
            <w:b w:val="false"/>
            <w:i w:val="false"/>
            <w:color w:val="000000"/>
            <w:sz w:val="22"/>
          </w:rPr>
          <w:t>90.3(1)</w:t>
        </w:r>
      </w:hyperlink>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provides a revised policy notice under rule 191—</w:t>
      </w:r>
      <w:hyperlink r:id="rId24">
        <w:r>
          <w:rPr>
            <w:rStyle w:val="Hyperlink"/>
            <w:rFonts w:ascii="Times New Roman" w:hAnsi="Times New Roman"/>
            <w:b w:val="false"/>
            <w:i w:val="false"/>
            <w:color w:val="000000"/>
            <w:sz w:val="22"/>
          </w:rPr>
          <w:t>90.7</w:t>
        </w:r>
      </w:hyperlink>
      <w:r>
        <w:rPr>
          <w:rFonts w:ascii="Times New Roman" w:hAnsi="Times New Roman"/>
          <w:b w:val="false"/>
          <w:i w:val="false"/>
          <w:color w:val="000000"/>
          <w:sz w:val="22"/>
        </w:rPr>
        <w:t>(505) that covers the customer’s new insurance product or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initial, revised or annual notice that the licensee most recently provided to that customer was accurate with respect to the new insurance product or service, the licensee does not need to provide a new privacy notice under subrule </w:t>
      </w:r>
      <w:hyperlink r:id="rId25">
        <w:r>
          <w:rPr>
            <w:rStyle w:val="Hyperlink"/>
            <w:rFonts w:ascii="Times New Roman" w:hAnsi="Times New Roman"/>
            <w:b w:val="false"/>
            <w:i w:val="false"/>
            <w:color w:val="000000"/>
            <w:sz w:val="22"/>
          </w:rPr>
          <w:t>90.3(1)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90.3(5)</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provide the initial notice required by paragraph </w:t>
      </w:r>
      <w:hyperlink r:id="rId26">
        <w:r>
          <w:rPr>
            <w:rStyle w:val="Hyperlink"/>
            <w:rFonts w:ascii="Times New Roman" w:hAnsi="Times New Roman"/>
            <w:b w:val="false"/>
            <w:i w:val="false"/>
            <w:color w:val="000000"/>
            <w:sz w:val="22"/>
          </w:rPr>
          <w:t>90.3(1)</w:t>
        </w:r>
      </w:hyperlink>
      <w:r>
        <w:rPr>
          <w:rFonts w:ascii="Times New Roman" w:hAnsi="Times New Roman"/>
          <w:b w:val="false"/>
          <w:i/>
          <w:color w:val="000000"/>
          <w:sz w:val="22"/>
        </w:rPr>
        <w:t>“a”</w:t>
      </w:r>
      <w:r>
        <w:rPr>
          <w:rFonts w:ascii="Times New Roman" w:hAnsi="Times New Roman"/>
          <w:b w:val="false"/>
          <w:i w:val="false"/>
          <w:color w:val="000000"/>
          <w:sz w:val="22"/>
        </w:rPr>
        <w:t xml:space="preserve"> within a reasonable time after the licensee establishes a customer relationship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Establishing the customer relationship is not at the customer’s election;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notice not later than when the licensee establishes a customer relationship would substantially delay the customer’s transaction and the customer agrees to receive the notice at a later time.</w:t>
      </w:r>
    </w:p>
    <w:p>
      <w:pPr>
        <w:spacing w:before="0" w:after="0"/>
        <w:ind w:left="120"/>
        <w:jc w:val="both"/>
      </w:pPr>
      <w:r>
        <w:rPr>
          <w:rFonts w:ascii="Times New Roman" w:hAnsi="Times New Roman"/>
          <w:b w:val="false"/>
          <w:i w:val="false"/>
          <w:color w:val="000000"/>
          <w:sz w:val="22"/>
        </w:rPr>
        <w:t>Examples of notice within a reasonable time are as follows: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establishment of the customer relationship is not at the customer’s election. Establishing the customer relationship is not at the customer’s election if a licensee acquires or is assigned a customer’s policy from another financial institution or residual market mechanism and the customer does not have a choice about the licensee’s acquisition or assignment.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There is substantial delay in the customer’s transaction. Providing notice not later than when a licensee establishes a customer relationship would substantially delay the customer’s transaction when the licensee and the individual agree over the telephone to enter into a customer relationship involving prompt delivery of the insurance product or service.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Providing notice not later than when a licensee establishes a customer relationship would not substantially delay the customer’s transaction when the relationship is initiated in person at the licensee’s office or through other means by which the customer may view the notice, such as on a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90.3(6)</w:t>
      </w:r>
      <w:r>
        <w:rPr>
          <w:rFonts w:ascii="Times New Roman" w:hAnsi="Times New Roman"/>
          <w:b w:val="false"/>
          <w:i w:val="false"/>
          <w:color w:val="000000"/>
          <w:sz w:val="22"/>
        </w:rPr>
        <w:t> </w:t>
      </w:r>
      <w:r>
        <w:rPr>
          <w:rFonts w:ascii="Times New Roman" w:hAnsi="Times New Roman"/>
          <w:b w:val="false"/>
          <w:i w:val="false"/>
          <w:color w:val="000000"/>
          <w:sz w:val="22"/>
        </w:rPr>
        <w:t>When a licensee is required by this rule to deliver an initial privacy notice, the licensee shall deliver it according to rule 191—</w:t>
      </w:r>
      <w:hyperlink r:id="rId27">
        <w:r>
          <w:rPr>
            <w:rStyle w:val="Hyperlink"/>
            <w:rFonts w:ascii="Times New Roman" w:hAnsi="Times New Roman"/>
            <w:b w:val="false"/>
            <w:i w:val="false"/>
            <w:color w:val="000000"/>
            <w:sz w:val="22"/>
          </w:rPr>
          <w:t>90.8</w:t>
        </w:r>
      </w:hyperlink>
      <w:r>
        <w:rPr>
          <w:rFonts w:ascii="Times New Roman" w:hAnsi="Times New Roman"/>
          <w:b w:val="false"/>
          <w:i w:val="false"/>
          <w:color w:val="000000"/>
          <w:sz w:val="22"/>
        </w:rPr>
        <w:t xml:space="preserve">(505). If the licensee uses a short-form initial notice for noncustomers according to subrule </w:t>
      </w:r>
      <w:hyperlink r:id="rId28">
        <w:r>
          <w:rPr>
            <w:rStyle w:val="Hyperlink"/>
            <w:rFonts w:ascii="Times New Roman" w:hAnsi="Times New Roman"/>
            <w:b w:val="false"/>
            <w:i w:val="false"/>
            <w:color w:val="000000"/>
            <w:sz w:val="22"/>
          </w:rPr>
          <w:t>90.5(6)</w:t>
        </w:r>
      </w:hyperlink>
      <w:r>
        <w:rPr>
          <w:rFonts w:ascii="Times New Roman" w:hAnsi="Times New Roman"/>
          <w:b w:val="false"/>
          <w:i w:val="false"/>
          <w:color w:val="000000"/>
          <w:sz w:val="22"/>
        </w:rPr>
        <w:t xml:space="preserve">, the licensee may deliver its privacy notice according to subrule </w:t>
      </w:r>
      <w:hyperlink r:id="rId29">
        <w:r>
          <w:rPr>
            <w:rStyle w:val="Hyperlink"/>
            <w:rFonts w:ascii="Times New Roman" w:hAnsi="Times New Roman"/>
            <w:b w:val="false"/>
            <w:i w:val="false"/>
            <w:color w:val="000000"/>
            <w:sz w:val="22"/>
          </w:rPr>
          <w:t>90.5(6)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191—90.4</w:t>
      </w:r>
      <w:r>
        <w:rPr>
          <w:rFonts w:ascii="Times New Roman" w:hAnsi="Times New Roman"/>
          <w:b/>
          <w:i w:val="false"/>
          <w:color w:val="000000"/>
          <w:sz w:val="22"/>
        </w:rPr>
        <w:t xml:space="preserve">(505) </w:t>
      </w:r>
      <w:r>
        <w:rPr>
          <w:rFonts w:ascii="Times New Roman" w:hAnsi="Times New Roman"/>
          <w:b/>
          <w:i w:val="false"/>
          <w:color w:val="000000"/>
          <w:sz w:val="22"/>
        </w:rPr>
        <w:t xml:space="preserve">Annual privacy notice to customers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90.4(1)</w:t>
      </w:r>
      <w:r>
        <w:rPr>
          <w:rFonts w:ascii="Times New Roman" w:hAnsi="Times New Roman"/>
          <w:b w:val="false"/>
          <w:i w:val="false"/>
          <w:color w:val="000000"/>
          <w:sz w:val="22"/>
        </w:rPr>
        <w:t> </w:t>
      </w:r>
      <w:r>
        <w:rPr>
          <w:rFonts w:ascii="Times New Roman" w:hAnsi="Times New Roman"/>
          <w:b w:val="false"/>
          <w:i w:val="false"/>
          <w:color w:val="000000"/>
          <w:sz w:val="22"/>
        </w:rPr>
        <w:t>A licensee shall provide a clear and conspicuous notice to customers that accurately reflects its privacy policies and practices not less than annually during the continuation of the customer relationship. “Annually” means at least once in any period of 12 consecutive months during which that relationship exists. A licensee may define the 12-consecutive-month period, but the licensee shall apply it to the customer on a consistent basis.</w:t>
      </w:r>
    </w:p>
    <w:p>
      <w:pPr>
        <w:spacing w:before="0" w:after="0"/>
        <w:ind w:left="120"/>
        <w:jc w:val="both"/>
      </w:pPr>
      <w:r>
        <w:rPr>
          <w:rFonts w:ascii="Times New Roman" w:hAnsi="Times New Roman"/>
          <w:b w:val="false"/>
          <w:i w:val="false"/>
          <w:color w:val="000000"/>
          <w:sz w:val="22"/>
        </w:rPr>
        <w:t>A licensee provides a notice annually if it defines the 12-consecutive-month period as a calendar year and provides the annual notice to the customer once in each calendar year following the calendar year in which the licensee provided the initial notice. For example, if a customer opens an account on any day of year 1, the licensee shall provide an annual notice to that customer by December 31 of year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90.4(2)</w:t>
      </w:r>
      <w:r>
        <w:rPr>
          <w:rFonts w:ascii="Times New Roman" w:hAnsi="Times New Roman"/>
          <w:b w:val="false"/>
          <w:i w:val="false"/>
          <w:color w:val="000000"/>
          <w:sz w:val="22"/>
        </w:rPr>
        <w:t> </w:t>
      </w:r>
      <w:r>
        <w:rPr>
          <w:rFonts w:ascii="Times New Roman" w:hAnsi="Times New Roman"/>
          <w:b w:val="false"/>
          <w:i w:val="false"/>
          <w:color w:val="000000"/>
          <w:sz w:val="22"/>
        </w:rPr>
        <w:t>A licensee is not required to provide an annual notice to a former customer. A former customer is an individual with whom a licensee no longer has a continuing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no longer has a continuing relationship with an individual if the individual no longer is a current policyholder of an insurance product or no longer obtains insurance services with or through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no longer has a continuing relationship with an individual if the individual’s policy lapsed, expired or is otherwise inactive or dormant under the licensee’s business practices, and the licensee has not communicated with the customer about the relationship for a period of 12 consecutive months, other than to provide annual notices, material required by law or regulation, or promotional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a licensee no longer has a continuing relationship with an individual if the individual’s last-known address according to the licensee’s records is deemed invalid. An address of record is deemed invalid if mail sent to that address by the licensee has been returned by the postal authorities as undeliverable and if subsequent attempts by the licensee to obtain a current valid address for the individual have been unsuccessful.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no longer has a continuing relationship with a customer in the case of providing real estate settlement services at the time the customer completes execution of all documents related to the real estate closing, payment for those services has been received, or the licensee has completed all of its responsibilities with respect to the settlement, including filing documents on the public record,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w:t>
      </w:r>
      <w:r>
        <w:rPr>
          <w:rFonts w:ascii="Times New Roman" w:hAnsi="Times New Roman"/>
          <w:b w:val="false"/>
          <w:i w:val="false"/>
          <w:color w:val="000000"/>
          <w:sz w:val="22"/>
        </w:rPr>
        <w:t> </w:t>
      </w:r>
      <w:r>
        <w:rPr>
          <w:rFonts w:ascii="Times New Roman" w:hAnsi="Times New Roman"/>
          <w:b w:val="false"/>
          <w:i w:val="false"/>
          <w:color w:val="000000"/>
          <w:sz w:val="22"/>
        </w:rPr>
        <w:t>When a licensee is required by this rule to deliver an annual privacy notice, the licensee shall deliver it according to rule 191—</w:t>
      </w:r>
      <w:hyperlink r:id="rId30">
        <w:r>
          <w:rPr>
            <w:rStyle w:val="Hyperlink"/>
            <w:rFonts w:ascii="Times New Roman" w:hAnsi="Times New Roman"/>
            <w:b w:val="false"/>
            <w:i w:val="false"/>
            <w:color w:val="000000"/>
            <w:sz w:val="22"/>
          </w:rPr>
          <w:t>90.8</w:t>
        </w:r>
      </w:hyperlink>
      <w:r>
        <w:rPr>
          <w:rFonts w:ascii="Times New Roman" w:hAnsi="Times New Roman"/>
          <w:b w:val="false"/>
          <w:i w:val="false"/>
          <w:color w:val="000000"/>
          <w:sz w:val="22"/>
        </w:rPr>
        <w:t>(505).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90.4(4)</w:t>
      </w:r>
      <w:r>
        <w:rPr>
          <w:rFonts w:ascii="Times New Roman" w:hAnsi="Times New Roman"/>
          <w:b w:val="false"/>
          <w:i w:val="false"/>
          <w:color w:val="000000"/>
          <w:sz w:val="22"/>
        </w:rPr>
        <w:t> </w:t>
      </w:r>
      <w:r>
        <w:rPr>
          <w:rFonts w:ascii="Times New Roman" w:hAnsi="Times New Roman"/>
          <w:b w:val="false"/>
          <w:i w:val="false"/>
          <w:color w:val="000000"/>
          <w:sz w:val="22"/>
        </w:rPr>
        <w:t>A licensee is not required to provide an annual privacy notice if both of the following are true: the licensee has not changed the privacy policies and practices that the licensee disclosed to the consumer in the privacy notice that the licensee most recently delivered to the consumer in accordance with rule 191—</w:t>
      </w:r>
      <w:hyperlink r:id="rId31">
        <w:r>
          <w:rPr>
            <w:rStyle w:val="Hyperlink"/>
            <w:rFonts w:ascii="Times New Roman" w:hAnsi="Times New Roman"/>
            <w:b w:val="false"/>
            <w:i w:val="false"/>
            <w:color w:val="000000"/>
            <w:sz w:val="22"/>
          </w:rPr>
          <w:t>90.3</w:t>
        </w:r>
      </w:hyperlink>
      <w:r>
        <w:rPr>
          <w:rFonts w:ascii="Times New Roman" w:hAnsi="Times New Roman"/>
          <w:b w:val="false"/>
          <w:i w:val="false"/>
          <w:color w:val="000000"/>
          <w:sz w:val="22"/>
        </w:rPr>
        <w:t>(505) or this rule; and the licensee does not disclose any nonpublic personal information about the consumer to any nonaffiliated third party except as authorized by rules 191—</w:t>
      </w:r>
      <w:hyperlink r:id="rId32">
        <w:r>
          <w:rPr>
            <w:rStyle w:val="Hyperlink"/>
            <w:rFonts w:ascii="Times New Roman" w:hAnsi="Times New Roman"/>
            <w:b w:val="false"/>
            <w:i w:val="false"/>
            <w:color w:val="000000"/>
            <w:sz w:val="22"/>
          </w:rPr>
          <w:t>90.12</w:t>
        </w:r>
      </w:hyperlink>
      <w:r>
        <w:rPr>
          <w:rFonts w:ascii="Times New Roman" w:hAnsi="Times New Roman"/>
          <w:b w:val="false"/>
          <w:i w:val="false"/>
          <w:color w:val="000000"/>
          <w:sz w:val="22"/>
        </w:rPr>
        <w:t>(505), 191—</w:t>
      </w:r>
      <w:hyperlink r:id="rId33">
        <w:r>
          <w:rPr>
            <w:rStyle w:val="Hyperlink"/>
            <w:rFonts w:ascii="Times New Roman" w:hAnsi="Times New Roman"/>
            <w:b w:val="false"/>
            <w:i w:val="false"/>
            <w:color w:val="000000"/>
            <w:sz w:val="22"/>
          </w:rPr>
          <w:t>90.13</w:t>
        </w:r>
      </w:hyperlink>
      <w:r>
        <w:rPr>
          <w:rFonts w:ascii="Times New Roman" w:hAnsi="Times New Roman"/>
          <w:b w:val="false"/>
          <w:i w:val="false"/>
          <w:color w:val="000000"/>
          <w:sz w:val="22"/>
        </w:rPr>
        <w:t>(505) and 191—</w:t>
      </w:r>
      <w:hyperlink r:id="rId34">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(505). If a licensee at any time fails to comply with the criteria of this subrule, the licensee shall immediately provide to the consumer the annual privacy notice required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191—90.5</w:t>
      </w:r>
      <w:r>
        <w:rPr>
          <w:rFonts w:ascii="Times New Roman" w:hAnsi="Times New Roman"/>
          <w:b/>
          <w:i w:val="false"/>
          <w:color w:val="000000"/>
          <w:sz w:val="22"/>
        </w:rPr>
        <w:t xml:space="preserve">(505) </w:t>
      </w:r>
      <w:r>
        <w:rPr>
          <w:rFonts w:ascii="Times New Roman" w:hAnsi="Times New Roman"/>
          <w:b/>
          <w:i w:val="false"/>
          <w:color w:val="000000"/>
          <w:sz w:val="22"/>
        </w:rPr>
        <w:t xml:space="preserve">Information to be included in privacy notices.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90.5(1)</w:t>
      </w:r>
      <w:r>
        <w:rPr>
          <w:rFonts w:ascii="Times New Roman" w:hAnsi="Times New Roman"/>
          <w:b w:val="false"/>
          <w:i w:val="false"/>
          <w:color w:val="000000"/>
          <w:sz w:val="22"/>
        </w:rPr>
        <w:t> </w:t>
      </w:r>
      <w:r>
        <w:rPr>
          <w:rFonts w:ascii="Times New Roman" w:hAnsi="Times New Roman"/>
          <w:b w:val="false"/>
          <w:i w:val="false"/>
          <w:color w:val="000000"/>
          <w:sz w:val="22"/>
        </w:rPr>
        <w:t>The initial annual and revised privacy notices that a licensee provides under rules 191—</w:t>
      </w:r>
      <w:hyperlink r:id="rId35">
        <w:r>
          <w:rPr>
            <w:rStyle w:val="Hyperlink"/>
            <w:rFonts w:ascii="Times New Roman" w:hAnsi="Times New Roman"/>
            <w:b w:val="false"/>
            <w:i w:val="false"/>
            <w:color w:val="000000"/>
            <w:sz w:val="22"/>
          </w:rPr>
          <w:t>90.3</w:t>
        </w:r>
      </w:hyperlink>
      <w:r>
        <w:rPr>
          <w:rFonts w:ascii="Times New Roman" w:hAnsi="Times New Roman"/>
          <w:b w:val="false"/>
          <w:i w:val="false"/>
          <w:color w:val="000000"/>
          <w:sz w:val="22"/>
        </w:rPr>
        <w:t>(505), 191—</w:t>
      </w:r>
      <w:hyperlink r:id="rId36">
        <w:r>
          <w:rPr>
            <w:rStyle w:val="Hyperlink"/>
            <w:rFonts w:ascii="Times New Roman" w:hAnsi="Times New Roman"/>
            <w:b w:val="false"/>
            <w:i w:val="false"/>
            <w:color w:val="000000"/>
            <w:sz w:val="22"/>
          </w:rPr>
          <w:t>90.4</w:t>
        </w:r>
      </w:hyperlink>
      <w:r>
        <w:rPr>
          <w:rFonts w:ascii="Times New Roman" w:hAnsi="Times New Roman"/>
          <w:b w:val="false"/>
          <w:i w:val="false"/>
          <w:color w:val="000000"/>
          <w:sz w:val="22"/>
        </w:rPr>
        <w:t>(505) and 191—</w:t>
      </w:r>
      <w:hyperlink r:id="rId37">
        <w:r>
          <w:rPr>
            <w:rStyle w:val="Hyperlink"/>
            <w:rFonts w:ascii="Times New Roman" w:hAnsi="Times New Roman"/>
            <w:b w:val="false"/>
            <w:i w:val="false"/>
            <w:color w:val="000000"/>
            <w:sz w:val="22"/>
          </w:rPr>
          <w:t>90.7</w:t>
        </w:r>
      </w:hyperlink>
      <w:r>
        <w:rPr>
          <w:rFonts w:ascii="Times New Roman" w:hAnsi="Times New Roman"/>
          <w:b w:val="false"/>
          <w:i w:val="false"/>
          <w:color w:val="000000"/>
          <w:sz w:val="22"/>
        </w:rPr>
        <w:t>(505) shall include each of the following items of information in addition to any other information the licensee wants to provide and that apply to the licensee and to the consumers to whom the licensee sends its privacy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categories of nonpublic personal financial information that the licensee collects;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categories of nonpublic personal financial information that the licensee discloses;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categories of affiliates and nonaffiliated third parties to which the licensee discloses nonpublic personal financial information, other than those parties to which the licensee discloses information under rules 191—</w:t>
      </w:r>
      <w:hyperlink r:id="rId38">
        <w:r>
          <w:rPr>
            <w:rStyle w:val="Hyperlink"/>
            <w:rFonts w:ascii="Times New Roman" w:hAnsi="Times New Roman"/>
            <w:b w:val="false"/>
            <w:i w:val="false"/>
            <w:color w:val="000000"/>
            <w:sz w:val="22"/>
          </w:rPr>
          <w:t>90.13</w:t>
        </w:r>
      </w:hyperlink>
      <w:r>
        <w:rPr>
          <w:rFonts w:ascii="Times New Roman" w:hAnsi="Times New Roman"/>
          <w:b w:val="false"/>
          <w:i w:val="false"/>
          <w:color w:val="000000"/>
          <w:sz w:val="22"/>
        </w:rPr>
        <w:t>(505) and 191—</w:t>
      </w:r>
      <w:hyperlink r:id="rId39">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(505);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categories of nonpublic personal financial information about the licensee’s former customers that the licensee discloses and the categories of affiliates and nonaffiliated third parties to which the licensee discloses nonpublic personal financial information about the licensee’s former customers, other than those parties to which the licensee discloses information under rules 191—</w:t>
      </w:r>
      <w:hyperlink r:id="rId40">
        <w:r>
          <w:rPr>
            <w:rStyle w:val="Hyperlink"/>
            <w:rFonts w:ascii="Times New Roman" w:hAnsi="Times New Roman"/>
            <w:b w:val="false"/>
            <w:i w:val="false"/>
            <w:color w:val="000000"/>
            <w:sz w:val="22"/>
          </w:rPr>
          <w:t>90.13</w:t>
        </w:r>
      </w:hyperlink>
      <w:r>
        <w:rPr>
          <w:rFonts w:ascii="Times New Roman" w:hAnsi="Times New Roman"/>
          <w:b w:val="false"/>
          <w:i w:val="false"/>
          <w:color w:val="000000"/>
          <w:sz w:val="22"/>
        </w:rPr>
        <w:t>(505) and 191—</w:t>
      </w:r>
      <w:hyperlink r:id="rId41">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(505);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separate description of the categories of information the licensee discloses and the categories of third parties with which the licensee has contracted if a licensee discloses nonpublic personal financial information to a nonaffiliated third party under rule 191—</w:t>
      </w:r>
      <w:hyperlink r:id="rId42">
        <w:r>
          <w:rPr>
            <w:rStyle w:val="Hyperlink"/>
            <w:rFonts w:ascii="Times New Roman" w:hAnsi="Times New Roman"/>
            <w:b w:val="false"/>
            <w:i w:val="false"/>
            <w:color w:val="000000"/>
            <w:sz w:val="22"/>
          </w:rPr>
          <w:t>90.12</w:t>
        </w:r>
      </w:hyperlink>
      <w:r>
        <w:rPr>
          <w:rFonts w:ascii="Times New Roman" w:hAnsi="Times New Roman"/>
          <w:b w:val="false"/>
          <w:i w:val="false"/>
          <w:color w:val="000000"/>
          <w:sz w:val="22"/>
        </w:rPr>
        <w:t>(505) and no other exception in rules 191—</w:t>
      </w:r>
      <w:hyperlink r:id="rId43">
        <w:r>
          <w:rPr>
            <w:rStyle w:val="Hyperlink"/>
            <w:rFonts w:ascii="Times New Roman" w:hAnsi="Times New Roman"/>
            <w:b w:val="false"/>
            <w:i w:val="false"/>
            <w:color w:val="000000"/>
            <w:sz w:val="22"/>
          </w:rPr>
          <w:t>90.13</w:t>
        </w:r>
      </w:hyperlink>
      <w:r>
        <w:rPr>
          <w:rFonts w:ascii="Times New Roman" w:hAnsi="Times New Roman"/>
          <w:b w:val="false"/>
          <w:i w:val="false"/>
          <w:color w:val="000000"/>
          <w:sz w:val="22"/>
        </w:rPr>
        <w:t>(505) and 191—</w:t>
      </w:r>
      <w:hyperlink r:id="rId44">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(505) applies to that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explanation of the consumer’s right under subrule </w:t>
      </w:r>
      <w:hyperlink r:id="rId45">
        <w:r>
          <w:rPr>
            <w:rStyle w:val="Hyperlink"/>
            <w:rFonts w:ascii="Times New Roman" w:hAnsi="Times New Roman"/>
            <w:b w:val="false"/>
            <w:i w:val="false"/>
            <w:color w:val="000000"/>
            <w:sz w:val="22"/>
          </w:rPr>
          <w:t>90.9(1)</w:t>
        </w:r>
      </w:hyperlink>
      <w:r>
        <w:rPr>
          <w:rFonts w:ascii="Times New Roman" w:hAnsi="Times New Roman"/>
          <w:b w:val="false"/>
          <w:i w:val="false"/>
          <w:color w:val="000000"/>
          <w:sz w:val="22"/>
        </w:rPr>
        <w:t xml:space="preserve"> to opt out of the disclosure of nonpublic personal financial information to nonaffiliated third parties, including the methods by which the consumer may exercise that right at that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disclosures that the licensee makes under Section 603(d)(2)(A)(iii) of the federal Fair Credit Reporting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licensee’s policies and practices with respect to protecting the confidentiality and security of nonpublic personal financial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Any disclosure that the licensee makes under subrule </w:t>
      </w:r>
      <w:hyperlink r:id="rId46">
        <w:r>
          <w:rPr>
            <w:rStyle w:val="Hyperlink"/>
            <w:rFonts w:ascii="Times New Roman" w:hAnsi="Times New Roman"/>
            <w:b w:val="false"/>
            <w:i w:val="false"/>
            <w:color w:val="000000"/>
            <w:sz w:val="22"/>
          </w:rPr>
          <w:t>90.5(2)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90.5(2)</w:t>
      </w:r>
      <w:r>
        <w:rPr>
          <w:rFonts w:ascii="Times New Roman" w:hAnsi="Times New Roman"/>
          <w:b w:val="false"/>
          <w:i w:val="false"/>
          <w:color w:val="000000"/>
          <w:sz w:val="22"/>
        </w:rPr>
        <w:t> </w:t>
      </w:r>
      <w:r>
        <w:rPr>
          <w:rFonts w:ascii="Times New Roman" w:hAnsi="Times New Roman"/>
          <w:b w:val="false"/>
          <w:i w:val="false"/>
          <w:color w:val="000000"/>
          <w:sz w:val="22"/>
        </w:rPr>
        <w:t>If a licensee discloses nonpublic personal financial information as authorized under rules 191—</w:t>
      </w:r>
      <w:hyperlink r:id="rId47">
        <w:r>
          <w:rPr>
            <w:rStyle w:val="Hyperlink"/>
            <w:rFonts w:ascii="Times New Roman" w:hAnsi="Times New Roman"/>
            <w:b w:val="false"/>
            <w:i w:val="false"/>
            <w:color w:val="000000"/>
            <w:sz w:val="22"/>
          </w:rPr>
          <w:t>90.13</w:t>
        </w:r>
      </w:hyperlink>
      <w:r>
        <w:rPr>
          <w:rFonts w:ascii="Times New Roman" w:hAnsi="Times New Roman"/>
          <w:b w:val="false"/>
          <w:i w:val="false"/>
          <w:color w:val="000000"/>
          <w:sz w:val="22"/>
        </w:rPr>
        <w:t>(505) and 191—</w:t>
      </w:r>
      <w:hyperlink r:id="rId48">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(505), the licensee is not required to list those exceptions in the initial or annual privacy notices required by rules 191—</w:t>
      </w:r>
      <w:hyperlink r:id="rId49">
        <w:r>
          <w:rPr>
            <w:rStyle w:val="Hyperlink"/>
            <w:rFonts w:ascii="Times New Roman" w:hAnsi="Times New Roman"/>
            <w:b w:val="false"/>
            <w:i w:val="false"/>
            <w:color w:val="000000"/>
            <w:sz w:val="22"/>
          </w:rPr>
          <w:t>90.3</w:t>
        </w:r>
      </w:hyperlink>
      <w:r>
        <w:rPr>
          <w:rFonts w:ascii="Times New Roman" w:hAnsi="Times New Roman"/>
          <w:b w:val="false"/>
          <w:i w:val="false"/>
          <w:color w:val="000000"/>
          <w:sz w:val="22"/>
        </w:rPr>
        <w:t>(505) and 191—</w:t>
      </w:r>
      <w:hyperlink r:id="rId50">
        <w:r>
          <w:rPr>
            <w:rStyle w:val="Hyperlink"/>
            <w:rFonts w:ascii="Times New Roman" w:hAnsi="Times New Roman"/>
            <w:b w:val="false"/>
            <w:i w:val="false"/>
            <w:color w:val="000000"/>
            <w:sz w:val="22"/>
          </w:rPr>
          <w:t>90.4</w:t>
        </w:r>
      </w:hyperlink>
      <w:r>
        <w:rPr>
          <w:rFonts w:ascii="Times New Roman" w:hAnsi="Times New Roman"/>
          <w:b w:val="false"/>
          <w:i w:val="false"/>
          <w:color w:val="000000"/>
          <w:sz w:val="22"/>
        </w:rPr>
        <w:t>(505). When describing the categories of parties to which disclosure is made, the licensee is required to state only that it makes disclosures to other affiliated or nonaffiliated third parties, as applicable and permitted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90.5(3)</w:t>
      </w:r>
      <w:r>
        <w:rPr>
          <w:rFonts w:ascii="Times New Roman" w:hAnsi="Times New Roman"/>
          <w:b w:val="false"/>
          <w:i w:val="false"/>
          <w:color w:val="000000"/>
          <w:sz w:val="22"/>
        </w:rPr>
        <w:t> </w:t>
      </w:r>
      <w:r>
        <w:rPr>
          <w:rFonts w:ascii="Times New Roman" w:hAnsi="Times New Roman"/>
          <w:b w:val="false"/>
          <w:i w:val="false"/>
          <w:color w:val="000000"/>
          <w:sz w:val="22"/>
        </w:rPr>
        <w:t>Examples of nonpublic personal financial information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Categories of nonpublic personal financial information that the licensee collects. </w:t>
      </w:r>
      <w:r>
        <w:rPr>
          <w:rFonts w:ascii="Times New Roman" w:hAnsi="Times New Roman"/>
          <w:b w:val="false"/>
          <w:i w:val="false"/>
          <w:color w:val="000000"/>
          <w:sz w:val="22"/>
        </w:rPr>
        <w:t>A licensee satisfies the requirement to categorize the nonpublic personal financial information it collects if the licensee categorizes it according to the source of the information,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from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about the consumer’s transactions with the licensee or its affiliates;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about the consumer’s transactions with nonaffiliated third parties;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from a consumer reporting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Categories of nonpublic personal financial information a licensee discloses. </w:t>
      </w:r>
      <w:r>
        <w:rPr>
          <w:rFonts w:ascii="Times New Roman" w:hAnsi="Times New Roman"/>
          <w:b w:val="false"/>
          <w:i w:val="false"/>
          <w:color w:val="000000"/>
          <w:sz w:val="22"/>
        </w:rPr>
        <w:t xml:space="preserve">A licensee satisfies the requirement to categorize nonpublic personal financial information it discloses if the licensee categorizes the information according to source, as described in paragraph </w:t>
      </w:r>
      <w:hyperlink r:id="rId51">
        <w:r>
          <w:rPr>
            <w:rStyle w:val="Hyperlink"/>
            <w:rFonts w:ascii="Times New Roman" w:hAnsi="Times New Roman"/>
            <w:b w:val="false"/>
            <w:i w:val="false"/>
            <w:color w:val="000000"/>
            <w:sz w:val="22"/>
          </w:rPr>
          <w:t>90.5(3)</w:t>
        </w:r>
      </w:hyperlink>
      <w:r>
        <w:rPr>
          <w:rFonts w:ascii="Times New Roman" w:hAnsi="Times New Roman"/>
          <w:b w:val="false"/>
          <w:i/>
          <w:color w:val="000000"/>
          <w:sz w:val="22"/>
        </w:rPr>
        <w:t>“a,”</w:t>
      </w:r>
      <w:r>
        <w:rPr>
          <w:rFonts w:ascii="Times New Roman" w:hAnsi="Times New Roman"/>
          <w:b w:val="false"/>
          <w:i w:val="false"/>
          <w:color w:val="000000"/>
          <w:sz w:val="22"/>
        </w:rPr>
        <w:t xml:space="preserve"> as applicable, and provides examples to illustrate the types of information in each category. These might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from the consumer, including application information, such as assets and income and identifying information such as name, address and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Transaction information, such as information about balances, payment history and parties to the transaction;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from consumer reports, such as a consumer’s creditworthiness and credit history.</w:t>
      </w:r>
    </w:p>
    <w:p>
      <w:pPr>
        <w:spacing w:before="0" w:after="0"/>
        <w:ind w:left="120"/>
        <w:jc w:val="both"/>
      </w:pPr>
      <w:r>
        <w:rPr>
          <w:rFonts w:ascii="Times New Roman" w:hAnsi="Times New Roman"/>
          <w:b w:val="false"/>
          <w:i w:val="false"/>
          <w:color w:val="000000"/>
          <w:sz w:val="22"/>
        </w:rPr>
        <w:t>A licensee does not adequately categorize the information that it discloses if the licensee uses only general terms, such as transaction information about the consumer.</w:t>
      </w:r>
    </w:p>
    <w:p>
      <w:pPr>
        <w:spacing w:before="0" w:after="0"/>
        <w:ind w:left="120"/>
        <w:jc w:val="both"/>
      </w:pPr>
      <w:r>
        <w:rPr>
          <w:rFonts w:ascii="Times New Roman" w:hAnsi="Times New Roman"/>
          <w:b w:val="false"/>
          <w:i w:val="false"/>
          <w:color w:val="000000"/>
          <w:sz w:val="22"/>
        </w:rPr>
        <w:t>If a licensee reserves the right to disclose all of the nonpublic personal financial information about consumers that it collects, the licensee may simply state that fact without describing the categories or examples of nonpublic personal information that the licensee discloses.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Categories of affiliates and nonaffiliated third parties to which the licensee discloses. </w:t>
      </w:r>
      <w:r>
        <w:rPr>
          <w:rFonts w:ascii="Times New Roman" w:hAnsi="Times New Roman"/>
          <w:b w:val="false"/>
          <w:i w:val="false"/>
          <w:color w:val="000000"/>
          <w:sz w:val="22"/>
        </w:rPr>
        <w:t>A licensee satisfies the requirement to categorize the affiliates and nonaffiliated third parties to which the licensee discloses nonpublic personal financial information about consumers if the licensee identifies the types of businesses in which the affiliate and nonaffiliated third parties engage.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Types of businesses may be described by general terms only if the licensee uses a few illustrative examples of significant lines of business. For example, a licensee may use the term “financial products or services” if it includes appropriate examples of significant lines of business, such as life insurer, automobile insurer, consumer banking or securities brokerage.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licensee also may categorize the affiliates and nonaffiliated third parties to which it discloses nonpublic personal financial information about consumers using more detailed categories.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90.5(4)</w:t>
      </w:r>
      <w:r>
        <w:rPr>
          <w:rFonts w:ascii="Times New Roman" w:hAnsi="Times New Roman"/>
          <w:b w:val="false"/>
          <w:i w:val="false"/>
          <w:color w:val="000000"/>
          <w:sz w:val="22"/>
        </w:rPr>
        <w:t> </w:t>
      </w:r>
      <w:r>
        <w:rPr>
          <w:rFonts w:ascii="Times New Roman" w:hAnsi="Times New Roman"/>
          <w:b w:val="false"/>
          <w:i w:val="false"/>
          <w:color w:val="000000"/>
          <w:sz w:val="22"/>
        </w:rPr>
        <w:t>If a licensee discloses nonpublic personal financial information under the exception in rule 191—</w:t>
      </w:r>
      <w:hyperlink r:id="rId52">
        <w:r>
          <w:rPr>
            <w:rStyle w:val="Hyperlink"/>
            <w:rFonts w:ascii="Times New Roman" w:hAnsi="Times New Roman"/>
            <w:b w:val="false"/>
            <w:i w:val="false"/>
            <w:color w:val="000000"/>
            <w:sz w:val="22"/>
          </w:rPr>
          <w:t>90.12</w:t>
        </w:r>
      </w:hyperlink>
      <w:r>
        <w:rPr>
          <w:rFonts w:ascii="Times New Roman" w:hAnsi="Times New Roman"/>
          <w:b w:val="false"/>
          <w:i w:val="false"/>
          <w:color w:val="000000"/>
          <w:sz w:val="22"/>
        </w:rPr>
        <w:t xml:space="preserve">(505) to a nonaffiliated third party to market products or services that it offers alone or jointly with another financial institution, the licensee satisfies the disclosure requirement of paragraph </w:t>
      </w:r>
      <w:hyperlink r:id="rId53">
        <w:r>
          <w:rPr>
            <w:rStyle w:val="Hyperlink"/>
            <w:rFonts w:ascii="Times New Roman" w:hAnsi="Times New Roman"/>
            <w:b w:val="false"/>
            <w:i w:val="false"/>
            <w:color w:val="000000"/>
            <w:sz w:val="22"/>
          </w:rPr>
          <w:t>90.5(1)</w:t>
        </w:r>
      </w:hyperlink>
      <w:r>
        <w:rPr>
          <w:rFonts w:ascii="Times New Roman" w:hAnsi="Times New Roman"/>
          <w:b w:val="false"/>
          <w:i/>
          <w:color w:val="000000"/>
          <w:sz w:val="22"/>
        </w:rPr>
        <w:t>“e”</w:t>
      </w:r>
      <w:r>
        <w:rPr>
          <w:rFonts w:ascii="Times New Roman" w:hAnsi="Times New Roman"/>
          <w:b w:val="false"/>
          <w:i w:val="false"/>
          <w:color w:val="000000"/>
          <w:sz w:val="22"/>
        </w:rPr>
        <w:t xml:space="preserve"> if it does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Lists the categories of nonpublic personal financial information it discloses using the same categories and examples the licensee used to meet the requirements of paragraph </w:t>
      </w:r>
      <w:hyperlink r:id="rId54">
        <w:r>
          <w:rPr>
            <w:rStyle w:val="Hyperlink"/>
            <w:rFonts w:ascii="Times New Roman" w:hAnsi="Times New Roman"/>
            <w:b w:val="false"/>
            <w:i w:val="false"/>
            <w:color w:val="000000"/>
            <w:sz w:val="22"/>
          </w:rPr>
          <w:t>90.5(1)</w:t>
        </w:r>
      </w:hyperlink>
      <w:r>
        <w:rPr>
          <w:rFonts w:ascii="Times New Roman" w:hAnsi="Times New Roman"/>
          <w:b w:val="false"/>
          <w:i/>
          <w:color w:val="000000"/>
          <w:sz w:val="22"/>
        </w:rPr>
        <w:t>“b”</w:t>
      </w:r>
      <w:r>
        <w:rPr>
          <w:rFonts w:ascii="Times New Roman" w:hAnsi="Times New Roman"/>
          <w:b w:val="false"/>
          <w:i w:val="false"/>
          <w:color w:val="000000"/>
          <w:sz w:val="22"/>
        </w:rPr>
        <w:t xml:space="preserve"> as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States whether the third party is a service provider that performs marketing services on the licensee’s behalf or on behalf of the licensee and another financial institution or a financial institution with which the licensee has a joint marketing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90.5(5)</w:t>
      </w:r>
      <w:r>
        <w:rPr>
          <w:rFonts w:ascii="Times New Roman" w:hAnsi="Times New Roman"/>
          <w:b w:val="false"/>
          <w:i w:val="false"/>
          <w:color w:val="000000"/>
          <w:sz w:val="22"/>
        </w:rPr>
        <w:t> </w:t>
      </w:r>
      <w:r>
        <w:rPr>
          <w:rFonts w:ascii="Times New Roman" w:hAnsi="Times New Roman"/>
          <w:b w:val="false"/>
          <w:i w:val="false"/>
          <w:color w:val="000000"/>
          <w:sz w:val="22"/>
        </w:rPr>
        <w:t>If a licensee does not disclose and does not wish to reserve the right to disclose nonpublic personal financial information about customers or former customers to affiliates or nonaffiliated third parties except as authorized under rules 191—</w:t>
      </w:r>
      <w:hyperlink r:id="rId55">
        <w:r>
          <w:rPr>
            <w:rStyle w:val="Hyperlink"/>
            <w:rFonts w:ascii="Times New Roman" w:hAnsi="Times New Roman"/>
            <w:b w:val="false"/>
            <w:i w:val="false"/>
            <w:color w:val="000000"/>
            <w:sz w:val="22"/>
          </w:rPr>
          <w:t>90.13</w:t>
        </w:r>
      </w:hyperlink>
      <w:r>
        <w:rPr>
          <w:rFonts w:ascii="Times New Roman" w:hAnsi="Times New Roman"/>
          <w:b w:val="false"/>
          <w:i w:val="false"/>
          <w:color w:val="000000"/>
          <w:sz w:val="22"/>
        </w:rPr>
        <w:t>(505) and 191—</w:t>
      </w:r>
      <w:hyperlink r:id="rId56">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 xml:space="preserve">(505), the licensee may simply state that fact, in addition to the information it shall provide under paragraphs </w:t>
      </w:r>
      <w:hyperlink r:id="rId57">
        <w:r>
          <w:rPr>
            <w:rStyle w:val="Hyperlink"/>
            <w:rFonts w:ascii="Times New Roman" w:hAnsi="Times New Roman"/>
            <w:b w:val="false"/>
            <w:i w:val="false"/>
            <w:color w:val="000000"/>
            <w:sz w:val="22"/>
          </w:rPr>
          <w:t>90.5(1)</w:t>
        </w:r>
      </w:hyperlink>
      <w:r>
        <w:rPr>
          <w:rFonts w:ascii="Times New Roman" w:hAnsi="Times New Roman"/>
          <w:b w:val="false"/>
          <w:i/>
          <w:color w:val="000000"/>
          <w:sz w:val="22"/>
        </w:rPr>
        <w:t>“a,” “h,”</w:t>
      </w:r>
      <w:r>
        <w:rPr>
          <w:rFonts w:ascii="Times New Roman" w:hAnsi="Times New Roman"/>
          <w:b w:val="false"/>
          <w:i w:val="false"/>
          <w:color w:val="000000"/>
          <w:sz w:val="22"/>
        </w:rPr>
        <w:t xml:space="preserve"> and </w:t>
      </w:r>
      <w:r>
        <w:rPr>
          <w:rFonts w:ascii="Times New Roman" w:hAnsi="Times New Roman"/>
          <w:b w:val="false"/>
          <w:i/>
          <w:color w:val="000000"/>
          <w:sz w:val="22"/>
        </w:rPr>
        <w:t>“i”</w:t>
      </w:r>
      <w:r>
        <w:rPr>
          <w:rFonts w:ascii="Times New Roman" w:hAnsi="Times New Roman"/>
          <w:b w:val="false"/>
          <w:i w:val="false"/>
          <w:color w:val="000000"/>
          <w:sz w:val="22"/>
        </w:rPr>
        <w:t xml:space="preserve"> and subrule </w:t>
      </w:r>
      <w:hyperlink r:id="rId58">
        <w:r>
          <w:rPr>
            <w:rStyle w:val="Hyperlink"/>
            <w:rFonts w:ascii="Times New Roman" w:hAnsi="Times New Roman"/>
            <w:b w:val="false"/>
            <w:i w:val="false"/>
            <w:color w:val="000000"/>
            <w:sz w:val="22"/>
          </w:rPr>
          <w:t>90.5(2)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90.5(6)</w:t>
      </w:r>
      <w:r>
        <w:rPr>
          <w:rFonts w:ascii="Times New Roman" w:hAnsi="Times New Roman"/>
          <w:b w:val="false"/>
          <w:i w:val="false"/>
          <w:color w:val="000000"/>
          <w:sz w:val="22"/>
        </w:rPr>
        <w:t> </w:t>
      </w:r>
      <w:r>
        <w:rPr>
          <w:rFonts w:ascii="Times New Roman" w:hAnsi="Times New Roman"/>
          <w:b w:val="false"/>
          <w:i w:val="false"/>
          <w:color w:val="000000"/>
          <w:sz w:val="22"/>
        </w:rPr>
        <w:t>A licensee shall describe its policies and practices with respect to protecting the confidentiality and security of nonpublic personal financial information if it does both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Describes in general terms who is authorized to have access to the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States whether the licensee has security practices and procedures in place to ensure the confidentiality of the information in accordance with the licensee’s policy. The licensee is not required to describe technical information about the safeguards it 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90.5(7)</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satisfy the initial notice requirements in paragraph </w:t>
      </w:r>
      <w:hyperlink r:id="rId59">
        <w:r>
          <w:rPr>
            <w:rStyle w:val="Hyperlink"/>
            <w:rFonts w:ascii="Times New Roman" w:hAnsi="Times New Roman"/>
            <w:b w:val="false"/>
            <w:i w:val="false"/>
            <w:color w:val="000000"/>
            <w:sz w:val="22"/>
          </w:rPr>
          <w:t>90.3(1)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subrule </w:t>
      </w:r>
      <w:hyperlink r:id="rId60">
        <w:r>
          <w:rPr>
            <w:rStyle w:val="Hyperlink"/>
            <w:rFonts w:ascii="Times New Roman" w:hAnsi="Times New Roman"/>
            <w:b w:val="false"/>
            <w:i w:val="false"/>
            <w:color w:val="000000"/>
            <w:sz w:val="22"/>
          </w:rPr>
          <w:t>90.6(4)</w:t>
        </w:r>
      </w:hyperlink>
      <w:r>
        <w:rPr>
          <w:rFonts w:ascii="Times New Roman" w:hAnsi="Times New Roman"/>
          <w:b w:val="false"/>
          <w:i w:val="false"/>
          <w:color w:val="000000"/>
          <w:sz w:val="22"/>
        </w:rPr>
        <w:t xml:space="preserve"> for a consumer who is not a customer by providing a short-form initial notice at the same time as the licensee delivers an opt-out notice as required in rule 191—</w:t>
      </w:r>
      <w:hyperlink r:id="rId61">
        <w:r>
          <w:rPr>
            <w:rStyle w:val="Hyperlink"/>
            <w:rFonts w:ascii="Times New Roman" w:hAnsi="Times New Roman"/>
            <w:b w:val="false"/>
            <w:i w:val="false"/>
            <w:color w:val="000000"/>
            <w:sz w:val="22"/>
          </w:rPr>
          <w:t>90.6</w:t>
        </w:r>
      </w:hyperlink>
      <w:r>
        <w:rPr>
          <w:rFonts w:ascii="Times New Roman" w:hAnsi="Times New Roman"/>
          <w:b w:val="false"/>
          <w:i w:val="false"/>
          <w:color w:val="000000"/>
          <w:sz w:val="22"/>
        </w:rPr>
        <w:t>(505).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short-form initial notice shall be clear and conspicuous, state that the licensee’s privacy notice is available upon request and explain a reasonable means by which the consumer may obtain that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deliver its short-form initial notice according to rule 191—</w:t>
      </w:r>
      <w:hyperlink r:id="rId62">
        <w:r>
          <w:rPr>
            <w:rStyle w:val="Hyperlink"/>
            <w:rFonts w:ascii="Times New Roman" w:hAnsi="Times New Roman"/>
            <w:b w:val="false"/>
            <w:i w:val="false"/>
            <w:color w:val="000000"/>
            <w:sz w:val="22"/>
          </w:rPr>
          <w:t>90.8</w:t>
        </w:r>
      </w:hyperlink>
      <w:r>
        <w:rPr>
          <w:rFonts w:ascii="Times New Roman" w:hAnsi="Times New Roman"/>
          <w:b w:val="false"/>
          <w:i w:val="false"/>
          <w:color w:val="000000"/>
          <w:sz w:val="22"/>
        </w:rPr>
        <w:t>(505). The licensee is not required to deliver its privacy notice with its short-form initial notice. The licensee instead may simply provide the consumer a reasonable means to obtain its privacy notice. If a consumer who receives the licensee’s short-form notice requests the licensee’s privacy notice, the licensee shall deliver its privacy notice according to rule 191—</w:t>
      </w:r>
      <w:hyperlink r:id="rId63">
        <w:r>
          <w:rPr>
            <w:rStyle w:val="Hyperlink"/>
            <w:rFonts w:ascii="Times New Roman" w:hAnsi="Times New Roman"/>
            <w:b w:val="false"/>
            <w:i w:val="false"/>
            <w:color w:val="000000"/>
            <w:sz w:val="22"/>
          </w:rPr>
          <w:t>90.8</w:t>
        </w:r>
      </w:hyperlink>
      <w:r>
        <w:rPr>
          <w:rFonts w:ascii="Times New Roman" w:hAnsi="Times New Roman"/>
          <w:b w:val="false"/>
          <w:i w:val="false"/>
          <w:color w:val="000000"/>
          <w:sz w:val="22"/>
        </w:rPr>
        <w:t>(505).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provides a reasonable means by which a consumer may obtain a copy of its privacy notice if the licensee provides a toll-free telephone number that the consumer may call to request the notice or, for a consumer who conducts business in person at the licensee’s office, maintains copies of the notice on hand that the licensee provides to the consumer immediately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90.5(8)</w:t>
      </w:r>
      <w:r>
        <w:rPr>
          <w:rFonts w:ascii="Times New Roman" w:hAnsi="Times New Roman"/>
          <w:b w:val="false"/>
          <w:i w:val="false"/>
          <w:color w:val="000000"/>
          <w:sz w:val="22"/>
        </w:rPr>
        <w:t> </w:t>
      </w:r>
      <w:r>
        <w:rPr>
          <w:rFonts w:ascii="Times New Roman" w:hAnsi="Times New Roman"/>
          <w:b w:val="false"/>
          <w:i w:val="false"/>
          <w:color w:val="000000"/>
          <w:sz w:val="22"/>
        </w:rPr>
        <w:t>The licensee’s notice may include categories of nonpublic personal financial information that the licensee reserves the right to disclose in the future but does not currently disclose and categories of affiliates or nonaffiliated third parties to which the licensee reserves the right in the future to disclose, but to which the licensee does not currently disclose, nonpublic personal financial information. Sample clauses are found in Appendix 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191—90.6</w:t>
      </w:r>
      <w:r>
        <w:rPr>
          <w:rFonts w:ascii="Times New Roman" w:hAnsi="Times New Roman"/>
          <w:b/>
          <w:i w:val="false"/>
          <w:color w:val="000000"/>
          <w:sz w:val="22"/>
        </w:rPr>
        <w:t xml:space="preserve">(505) </w:t>
      </w:r>
      <w:r>
        <w:rPr>
          <w:rFonts w:ascii="Times New Roman" w:hAnsi="Times New Roman"/>
          <w:b/>
          <w:i w:val="false"/>
          <w:color w:val="000000"/>
          <w:sz w:val="22"/>
        </w:rPr>
        <w:t xml:space="preserve">Form of opt-out notice to consumers and opt-out methods.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90.6(1)</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required to provide an opt-out notice under subrule </w:t>
      </w:r>
      <w:hyperlink r:id="rId64">
        <w:r>
          <w:rPr>
            <w:rStyle w:val="Hyperlink"/>
            <w:rFonts w:ascii="Times New Roman" w:hAnsi="Times New Roman"/>
            <w:b w:val="false"/>
            <w:i w:val="false"/>
            <w:color w:val="000000"/>
            <w:sz w:val="22"/>
          </w:rPr>
          <w:t>90.9(1)</w:t>
        </w:r>
      </w:hyperlink>
      <w:r>
        <w:rPr>
          <w:rFonts w:ascii="Times New Roman" w:hAnsi="Times New Roman"/>
          <w:b w:val="false"/>
          <w:i w:val="false"/>
          <w:color w:val="000000"/>
          <w:sz w:val="22"/>
        </w:rPr>
        <w:t xml:space="preserve"> shall provide a clear and conspicuous notice to each of its consumers that accurately explains the right to opt out under that rule. The notice shall state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discloses or reserves the right to disclose nonpublic personal financial information about its consumer to a nonaffiliated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consumer has the right to opt out of that disclosure;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reasonable means by which the consumer may exercise the opt-out right.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90.6(2)</w:t>
      </w:r>
      <w:r>
        <w:rPr>
          <w:rFonts w:ascii="Times New Roman" w:hAnsi="Times New Roman"/>
          <w:b w:val="false"/>
          <w:i w:val="false"/>
          <w:color w:val="000000"/>
          <w:sz w:val="22"/>
        </w:rPr>
        <w:t> </w:t>
      </w:r>
      <w:r>
        <w:rPr>
          <w:rFonts w:ascii="Times New Roman" w:hAnsi="Times New Roman"/>
          <w:b w:val="false"/>
          <w:i w:val="false"/>
          <w:color w:val="000000"/>
          <w:sz w:val="22"/>
        </w:rPr>
        <w:t>Examples of the opt-out notice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Adequate opt-out notice. </w:t>
      </w:r>
      <w:r>
        <w:rPr>
          <w:rFonts w:ascii="Times New Roman" w:hAnsi="Times New Roman"/>
          <w:b w:val="false"/>
          <w:i w:val="false"/>
          <w:color w:val="000000"/>
          <w:sz w:val="22"/>
        </w:rPr>
        <w:t>A licensee provides adequate notice that the consumer can opt out of the disclosure of nonpublic personal financial information to a nonaffiliated third party if the licensee does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Identifies all of the categories of nonpublic personal financial information that it discloses or reserves the right to disclose and all of the categories of nonaffiliated third parties to which the licensee discloses the information, as described in paragraphs </w:t>
      </w:r>
      <w:hyperlink r:id="rId65">
        <w:r>
          <w:rPr>
            <w:rStyle w:val="Hyperlink"/>
            <w:rFonts w:ascii="Times New Roman" w:hAnsi="Times New Roman"/>
            <w:b w:val="false"/>
            <w:i w:val="false"/>
            <w:color w:val="000000"/>
            <w:sz w:val="22"/>
          </w:rPr>
          <w:t>90.5(1)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and states that the consumer can opt out of the disclosure of that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Identifies the insurance products or services that the consumer obtains from the licensee, either singly or jointly, to which the opt-out direction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Reasonable opt out. </w:t>
      </w:r>
      <w:r>
        <w:rPr>
          <w:rFonts w:ascii="Times New Roman" w:hAnsi="Times New Roman"/>
          <w:b w:val="false"/>
          <w:i w:val="false"/>
          <w:color w:val="000000"/>
          <w:sz w:val="22"/>
        </w:rPr>
        <w:t>A licensee provides a reasonable means to exercise an opt-out right if it provides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Designates check-off boxes in a prominent position on the relevant forms with the opt-out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Includes a reply form together with the opt-out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Provides an electronic means to opt out, such as a form that can be sent via electronic mail or a process at the licensee’s website, if the consumer agrees to the electronic delivery of information;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Provides a toll-free telephone number that consumers may call to opt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Unreasonable opt out. </w:t>
      </w:r>
      <w:r>
        <w:rPr>
          <w:rFonts w:ascii="Times New Roman" w:hAnsi="Times New Roman"/>
          <w:b w:val="false"/>
          <w:i w:val="false"/>
          <w:color w:val="000000"/>
          <w:sz w:val="22"/>
        </w:rPr>
        <w:t>A licensee does not provide a reasonable means of opting out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only means of opting out is for the consumer to write the consumer’s own letter to exercise that opt-out right;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only means of opting out as described in any notice subsequent to the initial notice is to use a check-off box that the licensee provided with the initial notice but did not include with the subsequent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Specific opt out. </w:t>
      </w:r>
      <w:r>
        <w:rPr>
          <w:rFonts w:ascii="Times New Roman" w:hAnsi="Times New Roman"/>
          <w:b w:val="false"/>
          <w:i w:val="false"/>
          <w:color w:val="000000"/>
          <w:sz w:val="22"/>
        </w:rPr>
        <w:t>A licensee may require each consumer to opt out through a specific means as long as that means is reasonable for that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90.6(3)</w:t>
      </w:r>
      <w:r>
        <w:rPr>
          <w:rFonts w:ascii="Times New Roman" w:hAnsi="Times New Roman"/>
          <w:b w:val="false"/>
          <w:i w:val="false"/>
          <w:color w:val="000000"/>
          <w:sz w:val="22"/>
        </w:rPr>
        <w:t> </w:t>
      </w:r>
      <w:r>
        <w:rPr>
          <w:rFonts w:ascii="Times New Roman" w:hAnsi="Times New Roman"/>
          <w:b w:val="false"/>
          <w:i w:val="false"/>
          <w:color w:val="000000"/>
          <w:sz w:val="22"/>
        </w:rPr>
        <w:t>A licensee may provide the opt-out notice together with or on the same written or electronic form as the initial notice the licensee provides in accordance with rule 191—</w:t>
      </w:r>
      <w:hyperlink r:id="rId66">
        <w:r>
          <w:rPr>
            <w:rStyle w:val="Hyperlink"/>
            <w:rFonts w:ascii="Times New Roman" w:hAnsi="Times New Roman"/>
            <w:b w:val="false"/>
            <w:i w:val="false"/>
            <w:color w:val="000000"/>
            <w:sz w:val="22"/>
          </w:rPr>
          <w:t>90.3</w:t>
        </w:r>
      </w:hyperlink>
      <w:r>
        <w:rPr>
          <w:rFonts w:ascii="Times New Roman" w:hAnsi="Times New Roman"/>
          <w:b w:val="false"/>
          <w:i w:val="false"/>
          <w:color w:val="000000"/>
          <w:sz w:val="22"/>
        </w:rPr>
        <w:t>(505).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90.6(4)</w:t>
      </w:r>
      <w:r>
        <w:rPr>
          <w:rFonts w:ascii="Times New Roman" w:hAnsi="Times New Roman"/>
          <w:b w:val="false"/>
          <w:i w:val="false"/>
          <w:color w:val="000000"/>
          <w:sz w:val="22"/>
        </w:rPr>
        <w:t> </w:t>
      </w:r>
      <w:r>
        <w:rPr>
          <w:rFonts w:ascii="Times New Roman" w:hAnsi="Times New Roman"/>
          <w:b w:val="false"/>
          <w:i w:val="false"/>
          <w:color w:val="000000"/>
          <w:sz w:val="22"/>
        </w:rPr>
        <w:t>If a licensee provides the opt-out notice later than required for the initial notice in accordance with rule 191—</w:t>
      </w:r>
      <w:hyperlink r:id="rId67">
        <w:r>
          <w:rPr>
            <w:rStyle w:val="Hyperlink"/>
            <w:rFonts w:ascii="Times New Roman" w:hAnsi="Times New Roman"/>
            <w:b w:val="false"/>
            <w:i w:val="false"/>
            <w:color w:val="000000"/>
            <w:sz w:val="22"/>
          </w:rPr>
          <w:t>90.3</w:t>
        </w:r>
      </w:hyperlink>
      <w:r>
        <w:rPr>
          <w:rFonts w:ascii="Times New Roman" w:hAnsi="Times New Roman"/>
          <w:b w:val="false"/>
          <w:i w:val="false"/>
          <w:color w:val="000000"/>
          <w:sz w:val="22"/>
        </w:rPr>
        <w:t>(505), the licensee shall also include in writing or, if the consumer agrees, electronically a copy of the initial notice with the opt-out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90.6(5)</w:t>
      </w:r>
      <w:r>
        <w:rPr>
          <w:rFonts w:ascii="Times New Roman" w:hAnsi="Times New Roman"/>
          <w:b w:val="false"/>
          <w:i w:val="false"/>
          <w:color w:val="000000"/>
          <w:sz w:val="22"/>
        </w:rPr>
        <w:t> </w:t>
      </w:r>
      <w:r>
        <w:rPr>
          <w:rFonts w:ascii="Times New Roman" w:hAnsi="Times New Roman"/>
          <w:b w:val="false"/>
          <w:i w:val="false"/>
          <w:color w:val="000000"/>
          <w:sz w:val="22"/>
        </w:rPr>
        <w:t>If two or more consumers jointly obtain an insurance product or service from a licensee, the licensee may provide a single opt-out notice. The licensee’s opt-out notice shall explain how the licensee will treat an opt-out direction by a joint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of the joint consumers may exercise the right to opt out. The licensee may do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Treat an opt-out direction by a joint consumer as applying to all of the associated joint consumers;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Permit each joint consumer to opt out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permit one of the joint consumers to opt out on behalf of all the joint consumers if a licensee permits each joint consumer to opt out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may not require all joint consumers to opt out before it implements any opt-out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Examples of opt-out notice requirements for joint consumers. If John and Mary are both names of policyholders on a homeowner’s insurance policy issued by a licensee and the licensee sends policy statements to John’s address, the licensee may do any of the following, but it shall explain in its opt-out notice which of the following opt-out policies the licensee will follow: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Send a single opt-out notice to John’s address, but the licensee shall accept an opt-out direction from either John or 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Treat an opt-out direction by either John or Mary as applying to the entire policy. If the licensee does so and John opts out, the licensee may not require Mary to opt out as well before implementing John’s opt-out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Permit John and Mary to make different opt-out directions. If the licensee does so, it shall provide for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Permit John and Mary to opt out for each other;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Permit both of them to notify the licensee in a single response such as on a form or through a telephone call if both opt out;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Allow the licensee to disclose nonpublic personal financial information about one of them such as Mary but not about John if John opts out and Mary does not and not about John and Mary jointly.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90.6(6)</w:t>
      </w:r>
      <w:r>
        <w:rPr>
          <w:rFonts w:ascii="Times New Roman" w:hAnsi="Times New Roman"/>
          <w:b w:val="false"/>
          <w:i w:val="false"/>
          <w:color w:val="000000"/>
          <w:sz w:val="22"/>
        </w:rPr>
        <w:t> </w:t>
      </w:r>
      <w:r>
        <w:rPr>
          <w:rFonts w:ascii="Times New Roman" w:hAnsi="Times New Roman"/>
          <w:b w:val="false"/>
          <w:i w:val="false"/>
          <w:color w:val="000000"/>
          <w:sz w:val="22"/>
        </w:rPr>
        <w:t>A licensee shall comply with a consumer’s opt-out direction as soon as reasonably practicable after the licensee receives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90.6(7)</w:t>
      </w:r>
      <w:r>
        <w:rPr>
          <w:rFonts w:ascii="Times New Roman" w:hAnsi="Times New Roman"/>
          <w:b w:val="false"/>
          <w:i w:val="false"/>
          <w:color w:val="000000"/>
          <w:sz w:val="22"/>
        </w:rPr>
        <w:t> </w:t>
      </w:r>
      <w:r>
        <w:rPr>
          <w:rFonts w:ascii="Times New Roman" w:hAnsi="Times New Roman"/>
          <w:b w:val="false"/>
          <w:i w:val="false"/>
          <w:color w:val="000000"/>
          <w:sz w:val="22"/>
        </w:rPr>
        <w:t>A consumer may exercise the right to opt out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90.6(8)</w:t>
      </w:r>
      <w:r>
        <w:rPr>
          <w:rFonts w:ascii="Times New Roman" w:hAnsi="Times New Roman"/>
          <w:b w:val="false"/>
          <w:i w:val="false"/>
          <w:color w:val="000000"/>
          <w:sz w:val="22"/>
        </w:rPr>
        <w:t> </w:t>
      </w:r>
      <w:r>
        <w:rPr>
          <w:rFonts w:ascii="Times New Roman" w:hAnsi="Times New Roman"/>
          <w:b w:val="false"/>
          <w:i w:val="false"/>
          <w:color w:val="000000"/>
          <w:sz w:val="22"/>
        </w:rPr>
        <w:t>A consumer’s direction to opt out under this rule is effective until the consumer revokes it in writing or electronically, if the consumer agrees to revoke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90.6(9)</w:t>
      </w:r>
      <w:r>
        <w:rPr>
          <w:rFonts w:ascii="Times New Roman" w:hAnsi="Times New Roman"/>
          <w:b w:val="false"/>
          <w:i w:val="false"/>
          <w:color w:val="000000"/>
          <w:sz w:val="22"/>
        </w:rPr>
        <w:t> </w:t>
      </w:r>
      <w:r>
        <w:rPr>
          <w:rFonts w:ascii="Times New Roman" w:hAnsi="Times New Roman"/>
          <w:b w:val="false"/>
          <w:i w:val="false"/>
          <w:color w:val="000000"/>
          <w:sz w:val="22"/>
        </w:rPr>
        <w:t>When a customer relationship terminates, the customer’s opt-out direction continues to apply to the nonpublic personal financial information that the licensee collected during or related to that relationship. If the individual subsequently establishes a new customer relationship with the licensee, the opt-out direction that applied to the former relationship does not apply to the new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90.6(10)</w:t>
      </w:r>
      <w:r>
        <w:rPr>
          <w:rFonts w:ascii="Times New Roman" w:hAnsi="Times New Roman"/>
          <w:b w:val="false"/>
          <w:i w:val="false"/>
          <w:color w:val="000000"/>
          <w:sz w:val="22"/>
        </w:rPr>
        <w:t> </w:t>
      </w:r>
      <w:r>
        <w:rPr>
          <w:rFonts w:ascii="Times New Roman" w:hAnsi="Times New Roman"/>
          <w:b w:val="false"/>
          <w:i w:val="false"/>
          <w:color w:val="000000"/>
          <w:sz w:val="22"/>
        </w:rPr>
        <w:t>When a licensee is required to deliver an opt-out notice by this rule, the licensee shall deliver it according to rule 191—</w:t>
      </w:r>
      <w:hyperlink r:id="rId68">
        <w:r>
          <w:rPr>
            <w:rStyle w:val="Hyperlink"/>
            <w:rFonts w:ascii="Times New Roman" w:hAnsi="Times New Roman"/>
            <w:b w:val="false"/>
            <w:i w:val="false"/>
            <w:color w:val="000000"/>
            <w:sz w:val="22"/>
          </w:rPr>
          <w:t>90.8</w:t>
        </w:r>
      </w:hyperlink>
      <w:r>
        <w:rPr>
          <w:rFonts w:ascii="Times New Roman" w:hAnsi="Times New Roman"/>
          <w:b w:val="false"/>
          <w:i w:val="false"/>
          <w:color w:val="000000"/>
          <w:sz w:val="22"/>
        </w:rPr>
        <w:t>(505).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191—90.7</w:t>
      </w:r>
      <w:r>
        <w:rPr>
          <w:rFonts w:ascii="Times New Roman" w:hAnsi="Times New Roman"/>
          <w:b/>
          <w:i w:val="false"/>
          <w:color w:val="000000"/>
          <w:sz w:val="22"/>
        </w:rPr>
        <w:t xml:space="preserve">(505) </w:t>
      </w:r>
      <w:r>
        <w:rPr>
          <w:rFonts w:ascii="Times New Roman" w:hAnsi="Times New Roman"/>
          <w:b/>
          <w:i w:val="false"/>
          <w:color w:val="000000"/>
          <w:sz w:val="22"/>
        </w:rPr>
        <w:t xml:space="preserve">Revised privacy notices.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90.7(1)</w:t>
      </w:r>
      <w:r>
        <w:rPr>
          <w:rFonts w:ascii="Times New Roman" w:hAnsi="Times New Roman"/>
          <w:b w:val="false"/>
          <w:i w:val="false"/>
          <w:color w:val="000000"/>
          <w:sz w:val="22"/>
        </w:rPr>
        <w:t> </w:t>
      </w:r>
      <w:r>
        <w:rPr>
          <w:rFonts w:ascii="Times New Roman" w:hAnsi="Times New Roman"/>
          <w:b w:val="false"/>
          <w:i w:val="false"/>
          <w:color w:val="000000"/>
          <w:sz w:val="22"/>
        </w:rPr>
        <w:t>Except as otherwise authorized in this rule, a licensee shall not, directly or through an affiliate, disclose any nonpublic personal financial information about a consumer to a nonaffiliated third party other than as described in the initial notice that the licensee provided to that consumer under rule 191—</w:t>
      </w:r>
      <w:hyperlink r:id="rId69">
        <w:r>
          <w:rPr>
            <w:rStyle w:val="Hyperlink"/>
            <w:rFonts w:ascii="Times New Roman" w:hAnsi="Times New Roman"/>
            <w:b w:val="false"/>
            <w:i w:val="false"/>
            <w:color w:val="000000"/>
            <w:sz w:val="22"/>
          </w:rPr>
          <w:t>90.3</w:t>
        </w:r>
      </w:hyperlink>
      <w:r>
        <w:rPr>
          <w:rFonts w:ascii="Times New Roman" w:hAnsi="Times New Roman"/>
          <w:b w:val="false"/>
          <w:i w:val="false"/>
          <w:color w:val="000000"/>
          <w:sz w:val="22"/>
        </w:rPr>
        <w:t>(505) unless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has provided to the consumer a clear and conspicuous revised privacy notice that accurately describes its policies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has provided to the consumer a new opt-out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has given the consumer a reasonable opportunity, before the licensee discloses the information to the nonaffiliated third party, to opt out of the disclosure;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consumer does not opt out.</w:t>
      </w:r>
    </w:p>
    <w:p>
      <w:pPr>
        <w:spacing w:before="0" w:after="0"/>
        <w:ind w:left="120"/>
        <w:jc w:val="both"/>
      </w:pPr>
      <w:r>
        <w:rPr>
          <w:rFonts w:ascii="Times New Roman" w:hAnsi="Times New Roman"/>
          <w:b w:val="false"/>
          <w:i w:val="false"/>
          <w:color w:val="000000"/>
          <w:sz w:val="22"/>
        </w:rPr>
        <w:t>Except as permitted by rules 191—</w:t>
      </w:r>
      <w:hyperlink r:id="rId70">
        <w:r>
          <w:rPr>
            <w:rStyle w:val="Hyperlink"/>
            <w:rFonts w:ascii="Times New Roman" w:hAnsi="Times New Roman"/>
            <w:b w:val="false"/>
            <w:i w:val="false"/>
            <w:color w:val="000000"/>
            <w:sz w:val="22"/>
          </w:rPr>
          <w:t>90.12</w:t>
        </w:r>
      </w:hyperlink>
      <w:r>
        <w:rPr>
          <w:rFonts w:ascii="Times New Roman" w:hAnsi="Times New Roman"/>
          <w:b w:val="false"/>
          <w:i w:val="false"/>
          <w:color w:val="000000"/>
          <w:sz w:val="22"/>
        </w:rPr>
        <w:t>(505), 191—</w:t>
      </w:r>
      <w:hyperlink r:id="rId71">
        <w:r>
          <w:rPr>
            <w:rStyle w:val="Hyperlink"/>
            <w:rFonts w:ascii="Times New Roman" w:hAnsi="Times New Roman"/>
            <w:b w:val="false"/>
            <w:i w:val="false"/>
            <w:color w:val="000000"/>
            <w:sz w:val="22"/>
          </w:rPr>
          <w:t>90.13(505)</w:t>
        </w:r>
      </w:hyperlink>
      <w:r>
        <w:rPr>
          <w:rFonts w:ascii="Times New Roman" w:hAnsi="Times New Roman"/>
          <w:b w:val="false"/>
          <w:i w:val="false"/>
          <w:color w:val="000000"/>
          <w:sz w:val="22"/>
        </w:rPr>
        <w:t>, and 191—</w:t>
      </w:r>
      <w:hyperlink r:id="rId72">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(505), a licensee shall provide a revised notice before the licensee does any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Discloses a new category of nonpublic personal financial information to any nonaffiliated third party;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Discloses nonpublic personal financial information to a new category of nonaffiliated third party;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Discloses nonpublic personal financial information about a former customer to a nonaffiliated third party, if that former customer has not had the opportunity to exercise an opt-out right regarding that disclosure.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90.7(2)</w:t>
      </w:r>
      <w:r>
        <w:rPr>
          <w:rFonts w:ascii="Times New Roman" w:hAnsi="Times New Roman"/>
          <w:b w:val="false"/>
          <w:i w:val="false"/>
          <w:color w:val="000000"/>
          <w:sz w:val="22"/>
        </w:rPr>
        <w:t> </w:t>
      </w:r>
      <w:r>
        <w:rPr>
          <w:rFonts w:ascii="Times New Roman" w:hAnsi="Times New Roman"/>
          <w:b w:val="false"/>
          <w:i w:val="false"/>
          <w:color w:val="000000"/>
          <w:sz w:val="22"/>
        </w:rPr>
        <w:t>A revised privacy notice is not required if the licensee discloses nonpublic personal financial information to a new nonaffiliated third party that the licensee adequately described in its prior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90.7(3)</w:t>
      </w:r>
      <w:r>
        <w:rPr>
          <w:rFonts w:ascii="Times New Roman" w:hAnsi="Times New Roman"/>
          <w:b w:val="false"/>
          <w:i w:val="false"/>
          <w:color w:val="000000"/>
          <w:sz w:val="22"/>
        </w:rPr>
        <w:t> </w:t>
      </w:r>
      <w:r>
        <w:rPr>
          <w:rFonts w:ascii="Times New Roman" w:hAnsi="Times New Roman"/>
          <w:b w:val="false"/>
          <w:i w:val="false"/>
          <w:color w:val="000000"/>
          <w:sz w:val="22"/>
        </w:rPr>
        <w:t>When a licensee is required to deliver a revised privacy notice by this rule, the licensee shall deliver it according to rule 191—</w:t>
      </w:r>
      <w:hyperlink r:id="rId73">
        <w:r>
          <w:rPr>
            <w:rStyle w:val="Hyperlink"/>
            <w:rFonts w:ascii="Times New Roman" w:hAnsi="Times New Roman"/>
            <w:b w:val="false"/>
            <w:i w:val="false"/>
            <w:color w:val="000000"/>
            <w:sz w:val="22"/>
          </w:rPr>
          <w:t>90.8</w:t>
        </w:r>
      </w:hyperlink>
      <w:r>
        <w:rPr>
          <w:rFonts w:ascii="Times New Roman" w:hAnsi="Times New Roman"/>
          <w:b w:val="false"/>
          <w:i w:val="false"/>
          <w:color w:val="000000"/>
          <w:sz w:val="22"/>
        </w:rPr>
        <w:t>(505).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191—90.8</w:t>
      </w:r>
      <w:r>
        <w:rPr>
          <w:rFonts w:ascii="Times New Roman" w:hAnsi="Times New Roman"/>
          <w:b/>
          <w:i w:val="false"/>
          <w:color w:val="000000"/>
          <w:sz w:val="22"/>
        </w:rPr>
        <w:t xml:space="preserve">(505) </w:t>
      </w:r>
      <w:r>
        <w:rPr>
          <w:rFonts w:ascii="Times New Roman" w:hAnsi="Times New Roman"/>
          <w:b/>
          <w:i w:val="false"/>
          <w:color w:val="000000"/>
          <w:sz w:val="22"/>
        </w:rPr>
        <w:t xml:space="preserve">Delivery of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90.8(1)</w:t>
      </w:r>
      <w:r>
        <w:rPr>
          <w:rFonts w:ascii="Times New Roman" w:hAnsi="Times New Roman"/>
          <w:b w:val="false"/>
          <w:i w:val="false"/>
          <w:color w:val="000000"/>
          <w:sz w:val="22"/>
        </w:rPr>
        <w:t> </w:t>
      </w:r>
      <w:r>
        <w:rPr>
          <w:rFonts w:ascii="Times New Roman" w:hAnsi="Times New Roman"/>
          <w:b w:val="false"/>
          <w:i w:val="false"/>
          <w:color w:val="000000"/>
          <w:sz w:val="22"/>
        </w:rPr>
        <w:t>A licensee shall provide any notices that these rules require so that each consumer can reasonably be expected to receive actual notice in writing or, if the consumer agrees,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Examples of reasonable expectation of actual notice by a licensee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Hand delivery of a printed copy of the notice to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Mailing a printed copy of the notice to the last-known address of the consumer separately or in a policy, billing or other written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consumer who conducts transactions electronically, posting the notice on the website and requiring the consumer to acknowledge receipt of the notice as a necessary step to obtaining a particular insurance product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an isolated transaction with a consumer, such as the licensee providing an insurance quote or selling the consumer travel insurance, posting the notice and requiring the consumer to acknowledge receipt of the notice as a necessary step to obtaining the particular insurance product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Examples of unreasonable expectation of actual notice by a licensee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posting a sign in its office or generally publishing advertisements of its privacy policies and practices;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Sending the notice via electronic mail to a consumer who does not obtain an insurance product or service from the licensee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90.8(2)</w:t>
      </w:r>
      <w:r>
        <w:rPr>
          <w:rFonts w:ascii="Times New Roman" w:hAnsi="Times New Roman"/>
          <w:b w:val="false"/>
          <w:i w:val="false"/>
          <w:color w:val="000000"/>
          <w:sz w:val="22"/>
        </w:rPr>
        <w:t> </w:t>
      </w:r>
      <w:r>
        <w:rPr>
          <w:rFonts w:ascii="Times New Roman" w:hAnsi="Times New Roman"/>
          <w:b w:val="false"/>
          <w:i w:val="false"/>
          <w:color w:val="000000"/>
          <w:sz w:val="22"/>
        </w:rPr>
        <w:t>A licensee may reasonably expect that a customer will receive actual notice of the licensee’s annual privacy notice if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customer uses the licensee’s website to access insurance products and services electronically and agrees to receive notices at the website and the licensee posts its current privacy notice continuously in a clear and conspicuous manner on the website;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customer has requested that the licensee refrain from sending any information regarding the customer relationship, and the licensee’s current privacy notice remains available to the customer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90.8(3)</w:t>
      </w:r>
      <w:r>
        <w:rPr>
          <w:rFonts w:ascii="Times New Roman" w:hAnsi="Times New Roman"/>
          <w:b w:val="false"/>
          <w:i w:val="false"/>
          <w:color w:val="000000"/>
          <w:sz w:val="22"/>
        </w:rPr>
        <w:t> </w:t>
      </w:r>
      <w:r>
        <w:rPr>
          <w:rFonts w:ascii="Times New Roman" w:hAnsi="Times New Roman"/>
          <w:b w:val="false"/>
          <w:i w:val="false"/>
          <w:color w:val="000000"/>
          <w:sz w:val="22"/>
        </w:rPr>
        <w:t>A licensee may not provide any notice required by this rule solely by orally explaining the notice, either in person or over the telephone.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90.8(4)</w:t>
      </w:r>
      <w:r>
        <w:rPr>
          <w:rFonts w:ascii="Times New Roman" w:hAnsi="Times New Roman"/>
          <w:b w:val="false"/>
          <w:i w:val="false"/>
          <w:color w:val="000000"/>
          <w:sz w:val="22"/>
        </w:rPr>
        <w:t> </w:t>
      </w:r>
      <w:r>
        <w:rPr>
          <w:rFonts w:ascii="Times New Roman" w:hAnsi="Times New Roman"/>
          <w:b w:val="false"/>
          <w:i w:val="false"/>
          <w:color w:val="000000"/>
          <w:sz w:val="22"/>
        </w:rPr>
        <w:t xml:space="preserve">For customers only, a licensee shall provide the initial notice required by paragraph </w:t>
      </w:r>
      <w:hyperlink r:id="rId74">
        <w:r>
          <w:rPr>
            <w:rStyle w:val="Hyperlink"/>
            <w:rFonts w:ascii="Times New Roman" w:hAnsi="Times New Roman"/>
            <w:b w:val="false"/>
            <w:i w:val="false"/>
            <w:color w:val="000000"/>
            <w:sz w:val="22"/>
          </w:rPr>
          <w:t>90.3(1)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annual notice required by subrule </w:t>
      </w:r>
      <w:hyperlink r:id="rId75">
        <w:r>
          <w:rPr>
            <w:rStyle w:val="Hyperlink"/>
            <w:rFonts w:ascii="Times New Roman" w:hAnsi="Times New Roman"/>
            <w:b w:val="false"/>
            <w:i w:val="false"/>
            <w:color w:val="000000"/>
            <w:sz w:val="22"/>
          </w:rPr>
          <w:t>90.4(1)</w:t>
        </w:r>
      </w:hyperlink>
      <w:r>
        <w:rPr>
          <w:rFonts w:ascii="Times New Roman" w:hAnsi="Times New Roman"/>
          <w:b w:val="false"/>
          <w:i w:val="false"/>
          <w:color w:val="000000"/>
          <w:sz w:val="22"/>
        </w:rPr>
        <w:t xml:space="preserve"> and the revised notice required by rule 191—</w:t>
      </w:r>
      <w:hyperlink r:id="rId76">
        <w:r>
          <w:rPr>
            <w:rStyle w:val="Hyperlink"/>
            <w:rFonts w:ascii="Times New Roman" w:hAnsi="Times New Roman"/>
            <w:b w:val="false"/>
            <w:i w:val="false"/>
            <w:color w:val="000000"/>
            <w:sz w:val="22"/>
          </w:rPr>
          <w:t>90.7</w:t>
        </w:r>
      </w:hyperlink>
      <w:r>
        <w:rPr>
          <w:rFonts w:ascii="Times New Roman" w:hAnsi="Times New Roman"/>
          <w:b w:val="false"/>
          <w:i w:val="false"/>
          <w:color w:val="000000"/>
          <w:sz w:val="22"/>
        </w:rPr>
        <w:t>(505) so that the customer can retain them or obtain them later in writing or, if the customer agrees, electronically.</w:t>
      </w:r>
    </w:p>
    <w:p>
      <w:pPr>
        <w:spacing w:before="0" w:after="0"/>
        <w:ind w:left="120"/>
        <w:jc w:val="both"/>
      </w:pPr>
      <w:r>
        <w:rPr>
          <w:rFonts w:ascii="Times New Roman" w:hAnsi="Times New Roman"/>
          <w:b w:val="false"/>
          <w:i w:val="false"/>
          <w:color w:val="000000"/>
          <w:sz w:val="22"/>
        </w:rPr>
        <w:t>A licensee provides a privacy notice to the customer so that the customer can retain the notice or obtain the notice later if the licensee does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Hand delivers a printed copy of the notice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Mails a printed copy of the notice to the last-known address of the customer;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Makes its current privacy notice available on a website or a link to another website for the customer who obtains an insurance product or service electronically and agrees to receive the notice at the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90.8(5)</w:t>
      </w:r>
      <w:r>
        <w:rPr>
          <w:rFonts w:ascii="Times New Roman" w:hAnsi="Times New Roman"/>
          <w:b w:val="false"/>
          <w:i w:val="false"/>
          <w:color w:val="000000"/>
          <w:sz w:val="22"/>
        </w:rPr>
        <w:t> </w:t>
      </w:r>
      <w:r>
        <w:rPr>
          <w:rFonts w:ascii="Times New Roman" w:hAnsi="Times New Roman"/>
          <w:b w:val="false"/>
          <w:i w:val="false"/>
          <w:color w:val="000000"/>
          <w:sz w:val="22"/>
        </w:rPr>
        <w:t>A licensee may provide a joint notice from the licensee and one or more of its affiliates or other financial institutions, as identified in the notice, as long as the notice is accurate with respect to the licensee and the other institutions. A licensee may also provide a notice on behalf of another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90.8(6)</w:t>
      </w:r>
      <w:r>
        <w:rPr>
          <w:rFonts w:ascii="Times New Roman" w:hAnsi="Times New Roman"/>
          <w:b w:val="false"/>
          <w:i w:val="false"/>
          <w:color w:val="000000"/>
          <w:sz w:val="22"/>
        </w:rPr>
        <w:t> </w:t>
      </w:r>
      <w:r>
        <w:rPr>
          <w:rFonts w:ascii="Times New Roman" w:hAnsi="Times New Roman"/>
          <w:b w:val="false"/>
          <w:i w:val="false"/>
          <w:color w:val="000000"/>
          <w:sz w:val="22"/>
        </w:rPr>
        <w:t xml:space="preserve">If two or more consumers jointly obtain an insurance product or service from a licensee, the licensee may satisfy the initial, annual and revised notice requirements of subrules </w:t>
      </w:r>
      <w:hyperlink r:id="rId77">
        <w:r>
          <w:rPr>
            <w:rStyle w:val="Hyperlink"/>
            <w:rFonts w:ascii="Times New Roman" w:hAnsi="Times New Roman"/>
            <w:b w:val="false"/>
            <w:i w:val="false"/>
            <w:color w:val="000000"/>
            <w:sz w:val="22"/>
          </w:rPr>
          <w:t>90.3(1)</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90.4(1)</w:t>
        </w:r>
      </w:hyperlink>
      <w:r>
        <w:rPr>
          <w:rFonts w:ascii="Times New Roman" w:hAnsi="Times New Roman"/>
          <w:b w:val="false"/>
          <w:i w:val="false"/>
          <w:color w:val="000000"/>
          <w:sz w:val="22"/>
        </w:rPr>
        <w:t xml:space="preserve"> and </w:t>
      </w:r>
      <w:hyperlink r:id="rId79">
        <w:r>
          <w:rPr>
            <w:rStyle w:val="Hyperlink"/>
            <w:rFonts w:ascii="Times New Roman" w:hAnsi="Times New Roman"/>
            <w:b w:val="false"/>
            <w:i w:val="false"/>
            <w:color w:val="000000"/>
            <w:sz w:val="22"/>
          </w:rPr>
          <w:t>90.7(1)</w:t>
        </w:r>
      </w:hyperlink>
      <w:r>
        <w:rPr>
          <w:rFonts w:ascii="Times New Roman" w:hAnsi="Times New Roman"/>
          <w:b w:val="false"/>
          <w:i w:val="false"/>
          <w:color w:val="000000"/>
          <w:sz w:val="22"/>
        </w:rPr>
        <w:t>, respectively, by providing one notice to those consumers jointly.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191—90.9</w:t>
      </w:r>
      <w:r>
        <w:rPr>
          <w:rFonts w:ascii="Times New Roman" w:hAnsi="Times New Roman"/>
          <w:b/>
          <w:i w:val="false"/>
          <w:color w:val="000000"/>
          <w:sz w:val="22"/>
        </w:rPr>
        <w:t xml:space="preserve">(505) </w:t>
      </w:r>
      <w:r>
        <w:rPr>
          <w:rFonts w:ascii="Times New Roman" w:hAnsi="Times New Roman"/>
          <w:b/>
          <w:i w:val="false"/>
          <w:color w:val="000000"/>
          <w:sz w:val="22"/>
        </w:rPr>
        <w:t xml:space="preserve">Limits on disclosure of nonpublic personal financial information to nonaffiliated third parties.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90.9(1)</w:t>
      </w:r>
      <w:r>
        <w:rPr>
          <w:rFonts w:ascii="Times New Roman" w:hAnsi="Times New Roman"/>
          <w:b w:val="false"/>
          <w:i w:val="false"/>
          <w:color w:val="000000"/>
          <w:sz w:val="22"/>
        </w:rPr>
        <w:t> </w:t>
      </w:r>
      <w:r>
        <w:rPr>
          <w:rFonts w:ascii="Times New Roman" w:hAnsi="Times New Roman"/>
          <w:b w:val="false"/>
          <w:i w:val="false"/>
          <w:color w:val="000000"/>
          <w:sz w:val="22"/>
        </w:rPr>
        <w:t>A licensee may not directly or through any affiliate disclose any nonpublic personal financial information about a consumer to a nonaffiliated third party except as otherwise authorized in these rules unless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has provided to the consumer an initial notice as required under rule 191—</w:t>
      </w:r>
      <w:hyperlink r:id="rId80">
        <w:r>
          <w:rPr>
            <w:rStyle w:val="Hyperlink"/>
            <w:rFonts w:ascii="Times New Roman" w:hAnsi="Times New Roman"/>
            <w:b w:val="false"/>
            <w:i w:val="false"/>
            <w:color w:val="000000"/>
            <w:sz w:val="22"/>
          </w:rPr>
          <w:t>90.3</w:t>
        </w:r>
      </w:hyperlink>
      <w:r>
        <w:rPr>
          <w:rFonts w:ascii="Times New Roman" w:hAnsi="Times New Roman"/>
          <w:b w:val="false"/>
          <w:i w:val="false"/>
          <w:color w:val="000000"/>
          <w:sz w:val="22"/>
        </w:rPr>
        <w:t>(505);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has provided to the consumer an opt-out notice as required in rule 191—</w:t>
      </w:r>
      <w:hyperlink r:id="rId81">
        <w:r>
          <w:rPr>
            <w:rStyle w:val="Hyperlink"/>
            <w:rFonts w:ascii="Times New Roman" w:hAnsi="Times New Roman"/>
            <w:b w:val="false"/>
            <w:i w:val="false"/>
            <w:color w:val="000000"/>
            <w:sz w:val="22"/>
          </w:rPr>
          <w:t>90.6</w:t>
        </w:r>
      </w:hyperlink>
      <w:r>
        <w:rPr>
          <w:rFonts w:ascii="Times New Roman" w:hAnsi="Times New Roman"/>
          <w:b w:val="false"/>
          <w:i w:val="false"/>
          <w:color w:val="000000"/>
          <w:sz w:val="22"/>
        </w:rPr>
        <w:t>(505);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has given the consumer a reasonable opportunity to opt out of the disclosure before the licensee discloses the information to the nonaffiliated third party;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consumer does not opt out.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90.9(2)</w:t>
      </w:r>
      <w:r>
        <w:rPr>
          <w:rFonts w:ascii="Times New Roman" w:hAnsi="Times New Roman"/>
          <w:b w:val="false"/>
          <w:i w:val="false"/>
          <w:color w:val="000000"/>
          <w:sz w:val="22"/>
        </w:rPr>
        <w:t> </w:t>
      </w:r>
      <w:r>
        <w:rPr>
          <w:rFonts w:ascii="Times New Roman" w:hAnsi="Times New Roman"/>
          <w:b w:val="false"/>
          <w:i w:val="false"/>
          <w:color w:val="000000"/>
          <w:sz w:val="22"/>
        </w:rPr>
        <w:t>A licensee provides a consumer with a reasonable opportunity to opt out under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mails the notices required in subrule </w:t>
      </w:r>
      <w:hyperlink r:id="rId82">
        <w:r>
          <w:rPr>
            <w:rStyle w:val="Hyperlink"/>
            <w:rFonts w:ascii="Times New Roman" w:hAnsi="Times New Roman"/>
            <w:b w:val="false"/>
            <w:i w:val="false"/>
            <w:color w:val="000000"/>
            <w:sz w:val="22"/>
          </w:rPr>
          <w:t>90.9(1)</w:t>
        </w:r>
      </w:hyperlink>
      <w:r>
        <w:rPr>
          <w:rFonts w:ascii="Times New Roman" w:hAnsi="Times New Roman"/>
          <w:b w:val="false"/>
          <w:i w:val="false"/>
          <w:color w:val="000000"/>
          <w:sz w:val="22"/>
        </w:rPr>
        <w:t xml:space="preserve"> to the consumer and allows the consumer to opt out by mailing a form, calling a toll-free telephone number or any other reasonable means within 30 days from the date the licensee mailed the notices.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customer opens an online account with a licensee and agrees to receive the notices required in subrule </w:t>
      </w:r>
      <w:hyperlink r:id="rId83">
        <w:r>
          <w:rPr>
            <w:rStyle w:val="Hyperlink"/>
            <w:rFonts w:ascii="Times New Roman" w:hAnsi="Times New Roman"/>
            <w:b w:val="false"/>
            <w:i w:val="false"/>
            <w:color w:val="000000"/>
            <w:sz w:val="22"/>
          </w:rPr>
          <w:t>90.9(1)</w:t>
        </w:r>
      </w:hyperlink>
      <w:r>
        <w:rPr>
          <w:rFonts w:ascii="Times New Roman" w:hAnsi="Times New Roman"/>
          <w:b w:val="false"/>
          <w:i w:val="false"/>
          <w:color w:val="000000"/>
          <w:sz w:val="22"/>
        </w:rPr>
        <w:t xml:space="preserve"> electronically, and the licensee allows the customer to opt out by any reasonable means within 30 days after the date that the customer acknowledges receipt of the notices in conjunction with opening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 isolated transaction such as providing the customer with an insurance quote, a licensee provides the consumer with a reasonable opportunity to opt out if the licensee provides the notice required in subrule </w:t>
      </w:r>
      <w:hyperlink r:id="rId84">
        <w:r>
          <w:rPr>
            <w:rStyle w:val="Hyperlink"/>
            <w:rFonts w:ascii="Times New Roman" w:hAnsi="Times New Roman"/>
            <w:b w:val="false"/>
            <w:i w:val="false"/>
            <w:color w:val="000000"/>
            <w:sz w:val="22"/>
          </w:rPr>
          <w:t>90.9(1)</w:t>
        </w:r>
      </w:hyperlink>
      <w:r>
        <w:rPr>
          <w:rFonts w:ascii="Times New Roman" w:hAnsi="Times New Roman"/>
          <w:b w:val="false"/>
          <w:i w:val="false"/>
          <w:color w:val="000000"/>
          <w:sz w:val="22"/>
        </w:rPr>
        <w:t xml:space="preserve"> at the time of the transaction and requests that the consumer decide, as a necessary part of the transaction, whether to opt out before completing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90.9(3)</w:t>
      </w:r>
      <w:r>
        <w:rPr>
          <w:rFonts w:ascii="Times New Roman" w:hAnsi="Times New Roman"/>
          <w:b w:val="false"/>
          <w:i w:val="false"/>
          <w:color w:val="000000"/>
          <w:sz w:val="22"/>
        </w:rPr>
        <w:t> </w:t>
      </w:r>
      <w:r>
        <w:rPr>
          <w:rFonts w:ascii="Times New Roman" w:hAnsi="Times New Roman"/>
          <w:b w:val="false"/>
          <w:i w:val="false"/>
          <w:color w:val="000000"/>
          <w:sz w:val="22"/>
        </w:rPr>
        <w:t>A licensee shall comply with this rule regardless of whether the licensee and the consumer have established a customer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90.9(4)</w:t>
      </w:r>
      <w:r>
        <w:rPr>
          <w:rFonts w:ascii="Times New Roman" w:hAnsi="Times New Roman"/>
          <w:b w:val="false"/>
          <w:i w:val="false"/>
          <w:color w:val="000000"/>
          <w:sz w:val="22"/>
        </w:rPr>
        <w:t> </w:t>
      </w:r>
      <w:r>
        <w:rPr>
          <w:rFonts w:ascii="Times New Roman" w:hAnsi="Times New Roman"/>
          <w:b w:val="false"/>
          <w:i w:val="false"/>
          <w:color w:val="000000"/>
          <w:sz w:val="22"/>
        </w:rPr>
        <w:t>Unless a licensee complies with this rule, the licensee may not directly or through any affiliate disclose any nonpublic personal financial information about a consumer that the licensee has collected, regardless of whether the licensee collected it before or after receiving the direction to opt out from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90.9(5)</w:t>
      </w:r>
      <w:r>
        <w:rPr>
          <w:rFonts w:ascii="Times New Roman" w:hAnsi="Times New Roman"/>
          <w:b w:val="false"/>
          <w:i w:val="false"/>
          <w:color w:val="000000"/>
          <w:sz w:val="22"/>
        </w:rPr>
        <w:t> </w:t>
      </w:r>
      <w:r>
        <w:rPr>
          <w:rFonts w:ascii="Times New Roman" w:hAnsi="Times New Roman"/>
          <w:b w:val="false"/>
          <w:i w:val="false"/>
          <w:color w:val="000000"/>
          <w:sz w:val="22"/>
        </w:rPr>
        <w:t>A licensee may allow a consumer to select certain nonpublic personal financial information or certain nonaffiliated third parties with respect to which the consumer wishes to opt out.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191—90.10</w:t>
      </w:r>
      <w:r>
        <w:rPr>
          <w:rFonts w:ascii="Times New Roman" w:hAnsi="Times New Roman"/>
          <w:b/>
          <w:i w:val="false"/>
          <w:color w:val="000000"/>
          <w:sz w:val="22"/>
        </w:rPr>
        <w:t xml:space="preserve">(505) </w:t>
      </w:r>
      <w:r>
        <w:rPr>
          <w:rFonts w:ascii="Times New Roman" w:hAnsi="Times New Roman"/>
          <w:b/>
          <w:i w:val="false"/>
          <w:color w:val="000000"/>
          <w:sz w:val="22"/>
        </w:rPr>
        <w:t xml:space="preserve">Limits on redisclosure and reuse of nonpublic personal financial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90.10(1)</w:t>
      </w:r>
      <w:r>
        <w:rPr>
          <w:rFonts w:ascii="Times New Roman" w:hAnsi="Times New Roman"/>
          <w:b w:val="false"/>
          <w:i w:val="false"/>
          <w:color w:val="000000"/>
          <w:sz w:val="22"/>
        </w:rPr>
        <w:t> </w:t>
      </w:r>
      <w:r>
        <w:rPr>
          <w:rFonts w:ascii="Times New Roman" w:hAnsi="Times New Roman"/>
          <w:b w:val="false"/>
          <w:i w:val="false"/>
          <w:color w:val="000000"/>
          <w:sz w:val="22"/>
        </w:rPr>
        <w:t>In the event a licensee receives nonpublic personal financial information from a nonaffiliated financial institution under an exception to rules 191—</w:t>
      </w:r>
      <w:hyperlink r:id="rId85">
        <w:r>
          <w:rPr>
            <w:rStyle w:val="Hyperlink"/>
            <w:rFonts w:ascii="Times New Roman" w:hAnsi="Times New Roman"/>
            <w:b w:val="false"/>
            <w:i w:val="false"/>
            <w:color w:val="000000"/>
            <w:sz w:val="22"/>
          </w:rPr>
          <w:t>90.13</w:t>
        </w:r>
      </w:hyperlink>
      <w:r>
        <w:rPr>
          <w:rFonts w:ascii="Times New Roman" w:hAnsi="Times New Roman"/>
          <w:b w:val="false"/>
          <w:i w:val="false"/>
          <w:color w:val="000000"/>
          <w:sz w:val="22"/>
        </w:rPr>
        <w:t>(505) and 191—</w:t>
      </w:r>
      <w:hyperlink r:id="rId86">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(505), the licensee’s disclosure and use of that information is limited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may disclose the information to the affiliates of the financial institution from which the licensee received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may disclose the information to its affiliates, but the licensee’s affiliates may, in turn, disclose and use the information only to the extent that the licensee may disclose and use the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may disclose and use the information pursuant to an exception in rule 191—</w:t>
      </w:r>
      <w:hyperlink r:id="rId87">
        <w:r>
          <w:rPr>
            <w:rStyle w:val="Hyperlink"/>
            <w:rFonts w:ascii="Times New Roman" w:hAnsi="Times New Roman"/>
            <w:b w:val="false"/>
            <w:i w:val="false"/>
            <w:color w:val="000000"/>
            <w:sz w:val="22"/>
          </w:rPr>
          <w:t>90.13</w:t>
        </w:r>
      </w:hyperlink>
      <w:r>
        <w:rPr>
          <w:rFonts w:ascii="Times New Roman" w:hAnsi="Times New Roman"/>
          <w:b w:val="false"/>
          <w:i w:val="false"/>
          <w:color w:val="000000"/>
          <w:sz w:val="22"/>
        </w:rPr>
        <w:t>(505) or 191—</w:t>
      </w:r>
      <w:hyperlink r:id="rId88">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(505) in the ordinary course of business to carry out the activity covered by the exception under which the licensee received the information.</w:t>
      </w:r>
    </w:p>
    <w:p>
      <w:pPr>
        <w:spacing w:before="0" w:after="0"/>
        <w:ind w:left="120"/>
        <w:jc w:val="both"/>
      </w:pPr>
      <w:r>
        <w:rPr>
          <w:rFonts w:ascii="Times New Roman" w:hAnsi="Times New Roman"/>
          <w:b w:val="false"/>
          <w:i w:val="false"/>
          <w:color w:val="000000"/>
          <w:sz w:val="22"/>
        </w:rPr>
        <w:t>If a licensee receives information from a nonaffiliated financial institution for claims settlement purposes, the licensee may disclose the information for fraud prevention or in response to a properly authorized subpoena. The licensee may not disclose that information to a third party for marketing purposes or use that information for its own marketing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90.10(2)</w:t>
      </w:r>
      <w:r>
        <w:rPr>
          <w:rFonts w:ascii="Times New Roman" w:hAnsi="Times New Roman"/>
          <w:b w:val="false"/>
          <w:i w:val="false"/>
          <w:color w:val="000000"/>
          <w:sz w:val="22"/>
        </w:rPr>
        <w:t> </w:t>
      </w:r>
      <w:r>
        <w:rPr>
          <w:rFonts w:ascii="Times New Roman" w:hAnsi="Times New Roman"/>
          <w:b w:val="false"/>
          <w:i w:val="false"/>
          <w:color w:val="000000"/>
          <w:sz w:val="22"/>
        </w:rPr>
        <w:t>In the event a licensee received nonpublic personal financial information from a nonaffiliated financial institution other than under an exception in rules 191—</w:t>
      </w:r>
      <w:hyperlink r:id="rId89">
        <w:r>
          <w:rPr>
            <w:rStyle w:val="Hyperlink"/>
            <w:rFonts w:ascii="Times New Roman" w:hAnsi="Times New Roman"/>
            <w:b w:val="false"/>
            <w:i w:val="false"/>
            <w:color w:val="000000"/>
            <w:sz w:val="22"/>
          </w:rPr>
          <w:t>90.13</w:t>
        </w:r>
      </w:hyperlink>
      <w:r>
        <w:rPr>
          <w:rFonts w:ascii="Times New Roman" w:hAnsi="Times New Roman"/>
          <w:b w:val="false"/>
          <w:i w:val="false"/>
          <w:color w:val="000000"/>
          <w:sz w:val="22"/>
        </w:rPr>
        <w:t>(505) and 191—</w:t>
      </w:r>
      <w:hyperlink r:id="rId90">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(505), the licensee may disclose the information only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the affiliates of the financial institution from which the licensee received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its affiliates, but its affiliates may, in turn, disclose the information only to the extent that the licensee may disclose the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any other person, if the disclosure would be lawful if made directly to that person by the financial institution from which the licensee received the information.</w:t>
      </w:r>
    </w:p>
    <w:p>
      <w:pPr>
        <w:spacing w:before="0" w:after="0"/>
        <w:ind w:left="120"/>
        <w:jc w:val="both"/>
      </w:pPr>
      <w:r>
        <w:rPr>
          <w:rFonts w:ascii="Times New Roman" w:hAnsi="Times New Roman"/>
          <w:b w:val="false"/>
          <w:i w:val="false"/>
          <w:color w:val="000000"/>
          <w:sz w:val="22"/>
        </w:rPr>
        <w:t>In the event a licensee obtains a customer list from a nonaffiliated financial institution outside of the exceptions in rule 191—</w:t>
      </w:r>
      <w:hyperlink r:id="rId91">
        <w:r>
          <w:rPr>
            <w:rStyle w:val="Hyperlink"/>
            <w:rFonts w:ascii="Times New Roman" w:hAnsi="Times New Roman"/>
            <w:b w:val="false"/>
            <w:i w:val="false"/>
            <w:color w:val="000000"/>
            <w:sz w:val="22"/>
          </w:rPr>
          <w:t>90.13</w:t>
        </w:r>
      </w:hyperlink>
      <w:r>
        <w:rPr>
          <w:rFonts w:ascii="Times New Roman" w:hAnsi="Times New Roman"/>
          <w:b w:val="false"/>
          <w:i w:val="false"/>
          <w:color w:val="000000"/>
          <w:sz w:val="22"/>
        </w:rPr>
        <w:t>(505) or 191—</w:t>
      </w:r>
      <w:hyperlink r:id="rId92">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(505), the licensee may use that list for its own purposes and the licensee may disclose that list to another nonaffiliated third party only if the financial institution from which the licensee purchased the list could have lawfully disclosed the list to that third party.</w:t>
      </w:r>
    </w:p>
    <w:p>
      <w:pPr>
        <w:spacing w:before="0" w:after="0"/>
        <w:ind w:left="120"/>
        <w:jc w:val="both"/>
      </w:pPr>
      <w:r>
        <w:rPr>
          <w:rFonts w:ascii="Times New Roman" w:hAnsi="Times New Roman"/>
          <w:b w:val="false"/>
          <w:i w:val="false"/>
          <w:color w:val="000000"/>
          <w:sz w:val="22"/>
        </w:rPr>
        <w:t>The licensee may disclose the list in accordance with the privacy policy of the financial institution from which the licensee received the list as limited by the opt-out direction of each consumer whose nonpublic personal financial information the licensee intends to disclose, and the licensee may disclose the list in accordance with an exception in rule 191—</w:t>
      </w:r>
      <w:hyperlink r:id="rId93">
        <w:r>
          <w:rPr>
            <w:rStyle w:val="Hyperlink"/>
            <w:rFonts w:ascii="Times New Roman" w:hAnsi="Times New Roman"/>
            <w:b w:val="false"/>
            <w:i w:val="false"/>
            <w:color w:val="000000"/>
            <w:sz w:val="22"/>
          </w:rPr>
          <w:t>90.13</w:t>
        </w:r>
      </w:hyperlink>
      <w:r>
        <w:rPr>
          <w:rFonts w:ascii="Times New Roman" w:hAnsi="Times New Roman"/>
          <w:b w:val="false"/>
          <w:i w:val="false"/>
          <w:color w:val="000000"/>
          <w:sz w:val="22"/>
        </w:rPr>
        <w:t>(505) or 191—</w:t>
      </w:r>
      <w:hyperlink r:id="rId94">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(505), such as to the licensee’s attorneys or accountants.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90.10(3)</w:t>
      </w:r>
      <w:r>
        <w:rPr>
          <w:rFonts w:ascii="Times New Roman" w:hAnsi="Times New Roman"/>
          <w:b w:val="false"/>
          <w:i w:val="false"/>
          <w:color w:val="000000"/>
          <w:sz w:val="22"/>
        </w:rPr>
        <w:t> </w:t>
      </w:r>
      <w:r>
        <w:rPr>
          <w:rFonts w:ascii="Times New Roman" w:hAnsi="Times New Roman"/>
          <w:b w:val="false"/>
          <w:i w:val="false"/>
          <w:color w:val="000000"/>
          <w:sz w:val="22"/>
        </w:rPr>
        <w:t>In the event a licensee discloses nonpublic personal financial information to a nonaffiliated third party under an exception in rules 191—</w:t>
      </w:r>
      <w:hyperlink r:id="rId95">
        <w:r>
          <w:rPr>
            <w:rStyle w:val="Hyperlink"/>
            <w:rFonts w:ascii="Times New Roman" w:hAnsi="Times New Roman"/>
            <w:b w:val="false"/>
            <w:i w:val="false"/>
            <w:color w:val="000000"/>
            <w:sz w:val="22"/>
          </w:rPr>
          <w:t>90.13</w:t>
        </w:r>
      </w:hyperlink>
      <w:r>
        <w:rPr>
          <w:rFonts w:ascii="Times New Roman" w:hAnsi="Times New Roman"/>
          <w:b w:val="false"/>
          <w:i w:val="false"/>
          <w:color w:val="000000"/>
          <w:sz w:val="22"/>
        </w:rPr>
        <w:t>(505) and 191—</w:t>
      </w:r>
      <w:hyperlink r:id="rId96">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(505), the third party may disclose and use that information only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third party may disclose the information to the licensee’s affiliates;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third party may disclose the information to its affiliates, but its affiliates may, in turn, disclose and use the information only to the extent that the third party may disclose and use the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third party may disclose and use the information pursuant to an exception in rules 191—</w:t>
      </w:r>
      <w:hyperlink r:id="rId97">
        <w:r>
          <w:rPr>
            <w:rStyle w:val="Hyperlink"/>
            <w:rFonts w:ascii="Times New Roman" w:hAnsi="Times New Roman"/>
            <w:b w:val="false"/>
            <w:i w:val="false"/>
            <w:color w:val="000000"/>
            <w:sz w:val="22"/>
          </w:rPr>
          <w:t>90.13</w:t>
        </w:r>
      </w:hyperlink>
      <w:r>
        <w:rPr>
          <w:rFonts w:ascii="Times New Roman" w:hAnsi="Times New Roman"/>
          <w:b w:val="false"/>
          <w:i w:val="false"/>
          <w:color w:val="000000"/>
          <w:sz w:val="22"/>
        </w:rPr>
        <w:t>(505) and 191—</w:t>
      </w:r>
      <w:hyperlink r:id="rId98">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(505) in the ordinary course of business to carry out the activity covered by the exception under which it received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90.10(4)</w:t>
      </w:r>
      <w:r>
        <w:rPr>
          <w:rFonts w:ascii="Times New Roman" w:hAnsi="Times New Roman"/>
          <w:b w:val="false"/>
          <w:i w:val="false"/>
          <w:color w:val="000000"/>
          <w:sz w:val="22"/>
        </w:rPr>
        <w:t> </w:t>
      </w:r>
      <w:r>
        <w:rPr>
          <w:rFonts w:ascii="Times New Roman" w:hAnsi="Times New Roman"/>
          <w:b w:val="false"/>
          <w:i w:val="false"/>
          <w:color w:val="000000"/>
          <w:sz w:val="22"/>
        </w:rPr>
        <w:t>In the event a licensee discloses nonpublic personal financial information to a nonaffiliated third party other than under an exception in rules 191—</w:t>
      </w:r>
      <w:hyperlink r:id="rId99">
        <w:r>
          <w:rPr>
            <w:rStyle w:val="Hyperlink"/>
            <w:rFonts w:ascii="Times New Roman" w:hAnsi="Times New Roman"/>
            <w:b w:val="false"/>
            <w:i w:val="false"/>
            <w:color w:val="000000"/>
            <w:sz w:val="22"/>
          </w:rPr>
          <w:t>90.13</w:t>
        </w:r>
      </w:hyperlink>
      <w:r>
        <w:rPr>
          <w:rFonts w:ascii="Times New Roman" w:hAnsi="Times New Roman"/>
          <w:b w:val="false"/>
          <w:i w:val="false"/>
          <w:color w:val="000000"/>
          <w:sz w:val="22"/>
        </w:rPr>
        <w:t>(505) and 191—</w:t>
      </w:r>
      <w:hyperlink r:id="rId100">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(505), the third party may disclose the information only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licensee’s affiliates;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third party’s affiliates, but the third party’s affiliates, in turn, may disclose the information only to the extent the third party can disclose the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person, if the disclosure would be lawful if the licensee made it directly to that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191—90.11</w:t>
      </w:r>
      <w:r>
        <w:rPr>
          <w:rFonts w:ascii="Times New Roman" w:hAnsi="Times New Roman"/>
          <w:b/>
          <w:i w:val="false"/>
          <w:color w:val="000000"/>
          <w:sz w:val="22"/>
        </w:rPr>
        <w:t xml:space="preserve">(505) </w:t>
      </w:r>
      <w:r>
        <w:rPr>
          <w:rFonts w:ascii="Times New Roman" w:hAnsi="Times New Roman"/>
          <w:b/>
          <w:i w:val="false"/>
          <w:color w:val="000000"/>
          <w:sz w:val="22"/>
        </w:rPr>
        <w:t xml:space="preserve">Limits on sharing account number information for marketing purposes.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90.11(1)</w:t>
      </w:r>
      <w:r>
        <w:rPr>
          <w:rFonts w:ascii="Times New Roman" w:hAnsi="Times New Roman"/>
          <w:b w:val="false"/>
          <w:i w:val="false"/>
          <w:color w:val="000000"/>
          <w:sz w:val="22"/>
        </w:rPr>
        <w:t> </w:t>
      </w:r>
      <w:r>
        <w:rPr>
          <w:rFonts w:ascii="Times New Roman" w:hAnsi="Times New Roman"/>
          <w:b w:val="false"/>
          <w:i w:val="false"/>
          <w:color w:val="000000"/>
          <w:sz w:val="22"/>
        </w:rPr>
        <w:t>A licensee shall not directly or through an affiliate disclose, other than to a consumer reporting agency, a policy number or similar form of access number or access code for a consumer’s policy or transaction account to any nonaffiliated third party for use in telemarketing, direct-mail marketing or marketing through electronic mail to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90.11(2)</w:t>
      </w:r>
      <w:r>
        <w:rPr>
          <w:rFonts w:ascii="Times New Roman" w:hAnsi="Times New Roman"/>
          <w:b w:val="false"/>
          <w:i w:val="false"/>
          <w:color w:val="000000"/>
          <w:sz w:val="22"/>
        </w:rPr>
        <w:t> </w:t>
      </w:r>
      <w:r>
        <w:rPr>
          <w:rFonts w:ascii="Times New Roman" w:hAnsi="Times New Roman"/>
          <w:b w:val="false"/>
          <w:i w:val="false"/>
          <w:color w:val="000000"/>
          <w:sz w:val="22"/>
        </w:rPr>
        <w:t>The above subrule does not apply if a licensee discloses a policy number or similar form of access number or access code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licensee’s service provider solely in order to perform marketing for the licensee’s own products or services, as long as the service provider is not authorized to directly initiate charges to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who is a producer solely in order to perform marketing for the licensee’s own products or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participant in an affinity or similar program where the participants in the program are identified to the customer when the customer enters into the program.</w:t>
      </w:r>
    </w:p>
    <w:p>
      <w:pPr>
        <w:spacing w:before="0" w:after="0"/>
        <w:ind w:left="120"/>
        <w:jc w:val="both"/>
      </w:pPr>
      <w:r>
        <w:rPr>
          <w:rFonts w:ascii="Times New Roman" w:hAnsi="Times New Roman"/>
          <w:b w:val="false"/>
          <w:i w:val="false"/>
          <w:color w:val="000000"/>
          <w:sz w:val="22"/>
        </w:rPr>
        <w:t>A policy number or similar form of access number or access code does not include a number or code in encrypted form as long as the licensee does not provide the recipient with a means to decode the number or code.</w:t>
      </w:r>
    </w:p>
    <w:p>
      <w:pPr>
        <w:spacing w:before="0" w:after="0"/>
        <w:ind w:left="120"/>
        <w:jc w:val="both"/>
      </w:pPr>
      <w:r>
        <w:rPr>
          <w:rFonts w:ascii="Times New Roman" w:hAnsi="Times New Roman"/>
          <w:b w:val="false"/>
          <w:i w:val="false"/>
          <w:color w:val="000000"/>
          <w:sz w:val="22"/>
        </w:rPr>
        <w:t>For purposes of this subrule, a policy or transaction account is an account other than a deposit account or a credit card account. A policy or transaction account does not include an account to which third parties cannot initiate charges.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191—90.12</w:t>
      </w:r>
      <w:r>
        <w:rPr>
          <w:rFonts w:ascii="Times New Roman" w:hAnsi="Times New Roman"/>
          <w:b/>
          <w:i w:val="false"/>
          <w:color w:val="000000"/>
          <w:sz w:val="22"/>
        </w:rPr>
        <w:t xml:space="preserve">(505) </w:t>
      </w:r>
      <w:r>
        <w:rPr>
          <w:rFonts w:ascii="Times New Roman" w:hAnsi="Times New Roman"/>
          <w:b/>
          <w:i w:val="false"/>
          <w:color w:val="000000"/>
          <w:sz w:val="22"/>
        </w:rPr>
        <w:t xml:space="preserve">Exception to opt-out requirements for disclosure of nonpublic personal financial information for service providers and joint marketing.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90.12(1)</w:t>
      </w:r>
      <w:r>
        <w:rPr>
          <w:rFonts w:ascii="Times New Roman" w:hAnsi="Times New Roman"/>
          <w:b w:val="false"/>
          <w:i w:val="false"/>
          <w:color w:val="000000"/>
          <w:sz w:val="22"/>
        </w:rPr>
        <w:t> </w:t>
      </w:r>
      <w:r>
        <w:rPr>
          <w:rFonts w:ascii="Times New Roman" w:hAnsi="Times New Roman"/>
          <w:b w:val="false"/>
          <w:i w:val="false"/>
          <w:color w:val="000000"/>
          <w:sz w:val="22"/>
        </w:rPr>
        <w:t>The opt-out requirements in rules 191—</w:t>
      </w:r>
      <w:hyperlink r:id="rId101">
        <w:r>
          <w:rPr>
            <w:rStyle w:val="Hyperlink"/>
            <w:rFonts w:ascii="Times New Roman" w:hAnsi="Times New Roman"/>
            <w:b w:val="false"/>
            <w:i w:val="false"/>
            <w:color w:val="000000"/>
            <w:sz w:val="22"/>
          </w:rPr>
          <w:t>90.6</w:t>
        </w:r>
      </w:hyperlink>
      <w:r>
        <w:rPr>
          <w:rFonts w:ascii="Times New Roman" w:hAnsi="Times New Roman"/>
          <w:b w:val="false"/>
          <w:i w:val="false"/>
          <w:color w:val="000000"/>
          <w:sz w:val="22"/>
        </w:rPr>
        <w:t>(505) and 191—</w:t>
      </w:r>
      <w:hyperlink r:id="rId102">
        <w:r>
          <w:rPr>
            <w:rStyle w:val="Hyperlink"/>
            <w:rFonts w:ascii="Times New Roman" w:hAnsi="Times New Roman"/>
            <w:b w:val="false"/>
            <w:i w:val="false"/>
            <w:color w:val="000000"/>
            <w:sz w:val="22"/>
          </w:rPr>
          <w:t>90.9</w:t>
        </w:r>
      </w:hyperlink>
      <w:r>
        <w:rPr>
          <w:rFonts w:ascii="Times New Roman" w:hAnsi="Times New Roman"/>
          <w:b w:val="false"/>
          <w:i w:val="false"/>
          <w:color w:val="000000"/>
          <w:sz w:val="22"/>
        </w:rPr>
        <w:t>(505) do not apply when a licensee provides nonpublic personal financial information to a nonaffiliated third party to perform services for the licensee or functions for the licensee on the licensee’s behalf, if the licensee does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Provides the initial notice in accordance with rule 191—</w:t>
      </w:r>
      <w:hyperlink r:id="rId103">
        <w:r>
          <w:rPr>
            <w:rStyle w:val="Hyperlink"/>
            <w:rFonts w:ascii="Times New Roman" w:hAnsi="Times New Roman"/>
            <w:b w:val="false"/>
            <w:i w:val="false"/>
            <w:color w:val="000000"/>
            <w:sz w:val="22"/>
          </w:rPr>
          <w:t>90.3</w:t>
        </w:r>
      </w:hyperlink>
      <w:r>
        <w:rPr>
          <w:rFonts w:ascii="Times New Roman" w:hAnsi="Times New Roman"/>
          <w:b w:val="false"/>
          <w:i w:val="false"/>
          <w:color w:val="000000"/>
          <w:sz w:val="22"/>
        </w:rPr>
        <w:t>(505);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Enters into a contractual agreement with the third party that prohibits the third party from disclosing or using the information other than to carry out the purposes for which the licensee disclosed the information, including use under an exception in rules 191—</w:t>
      </w:r>
      <w:hyperlink r:id="rId104">
        <w:r>
          <w:rPr>
            <w:rStyle w:val="Hyperlink"/>
            <w:rFonts w:ascii="Times New Roman" w:hAnsi="Times New Roman"/>
            <w:b w:val="false"/>
            <w:i w:val="false"/>
            <w:color w:val="000000"/>
            <w:sz w:val="22"/>
          </w:rPr>
          <w:t>90.13</w:t>
        </w:r>
      </w:hyperlink>
      <w:r>
        <w:rPr>
          <w:rFonts w:ascii="Times New Roman" w:hAnsi="Times New Roman"/>
          <w:b w:val="false"/>
          <w:i w:val="false"/>
          <w:color w:val="000000"/>
          <w:sz w:val="22"/>
        </w:rPr>
        <w:t>(505) and 191—</w:t>
      </w:r>
      <w:hyperlink r:id="rId105">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(505) in the ordinary course of business to carry out those purposes.</w:t>
      </w:r>
    </w:p>
    <w:p>
      <w:pPr>
        <w:spacing w:before="0" w:after="0"/>
        <w:ind w:left="120"/>
        <w:jc w:val="both"/>
      </w:pPr>
      <w:r>
        <w:rPr>
          <w:rFonts w:ascii="Times New Roman" w:hAnsi="Times New Roman"/>
          <w:b w:val="false"/>
          <w:i w:val="false"/>
          <w:color w:val="000000"/>
          <w:sz w:val="22"/>
        </w:rPr>
        <w:t xml:space="preserve">For example, if a licensee discloses nonpublic personal financial information under this rule to a financial institution with which the licensee performs joint marketing, the licensee’s contractual agreement with that institution meets the requirements of paragraph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if it prohibits the institution from disclosing or using the nonpublic personal financial information except as necessary to carry out the joint marketing or under an exception in rules 191—</w:t>
      </w:r>
      <w:hyperlink r:id="rId106">
        <w:r>
          <w:rPr>
            <w:rStyle w:val="Hyperlink"/>
            <w:rFonts w:ascii="Times New Roman" w:hAnsi="Times New Roman"/>
            <w:b w:val="false"/>
            <w:i w:val="false"/>
            <w:color w:val="000000"/>
            <w:sz w:val="22"/>
          </w:rPr>
          <w:t>90.13</w:t>
        </w:r>
      </w:hyperlink>
      <w:r>
        <w:rPr>
          <w:rFonts w:ascii="Times New Roman" w:hAnsi="Times New Roman"/>
          <w:b w:val="false"/>
          <w:i w:val="false"/>
          <w:color w:val="000000"/>
          <w:sz w:val="22"/>
        </w:rPr>
        <w:t>(505) and 191—</w:t>
      </w:r>
      <w:hyperlink r:id="rId107">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(505) in the ordinary course of business to carry out that joint marketing.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services a nonaffiliated third party performs for a licensee under subrule </w:t>
      </w:r>
      <w:hyperlink r:id="rId108">
        <w:r>
          <w:rPr>
            <w:rStyle w:val="Hyperlink"/>
            <w:rFonts w:ascii="Times New Roman" w:hAnsi="Times New Roman"/>
            <w:b w:val="false"/>
            <w:i w:val="false"/>
            <w:color w:val="000000"/>
            <w:sz w:val="22"/>
          </w:rPr>
          <w:t>90.12(1)</w:t>
        </w:r>
      </w:hyperlink>
      <w:r>
        <w:rPr>
          <w:rFonts w:ascii="Times New Roman" w:hAnsi="Times New Roman"/>
          <w:b w:val="false"/>
          <w:i w:val="false"/>
          <w:color w:val="000000"/>
          <w:sz w:val="22"/>
        </w:rPr>
        <w:t xml:space="preserve"> may include marketing of the licensee’s own products or services or marketing of financial products or services offered pursuant to joint agreements between the licensee and one or more financial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90.12(3)</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“joint agreement” means a written contract pursuant to which a licensee and one or more financial institutions jointly offer, endorse or sponsor a financial product or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191—90.13</w:t>
      </w:r>
      <w:r>
        <w:rPr>
          <w:rFonts w:ascii="Times New Roman" w:hAnsi="Times New Roman"/>
          <w:b/>
          <w:i w:val="false"/>
          <w:color w:val="000000"/>
          <w:sz w:val="22"/>
        </w:rPr>
        <w:t xml:space="preserve">(505) </w:t>
      </w:r>
      <w:r>
        <w:rPr>
          <w:rFonts w:ascii="Times New Roman" w:hAnsi="Times New Roman"/>
          <w:b/>
          <w:i w:val="false"/>
          <w:color w:val="000000"/>
          <w:sz w:val="22"/>
        </w:rPr>
        <w:t xml:space="preserve">Exceptions to notice and opt-out requirements for disclosure of nonpublic personal financial information for processing and servicing transactions.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for initial notice in paragraph </w:t>
      </w:r>
      <w:hyperlink r:id="rId109">
        <w:r>
          <w:rPr>
            <w:rStyle w:val="Hyperlink"/>
            <w:rFonts w:ascii="Times New Roman" w:hAnsi="Times New Roman"/>
            <w:b w:val="false"/>
            <w:i w:val="false"/>
            <w:color w:val="000000"/>
            <w:sz w:val="22"/>
          </w:rPr>
          <w:t>90.3(1)</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the opt out in rules 191—</w:t>
      </w:r>
      <w:hyperlink r:id="rId110">
        <w:r>
          <w:rPr>
            <w:rStyle w:val="Hyperlink"/>
            <w:rFonts w:ascii="Times New Roman" w:hAnsi="Times New Roman"/>
            <w:b w:val="false"/>
            <w:i w:val="false"/>
            <w:color w:val="000000"/>
            <w:sz w:val="22"/>
          </w:rPr>
          <w:t>90.6</w:t>
        </w:r>
      </w:hyperlink>
      <w:r>
        <w:rPr>
          <w:rFonts w:ascii="Times New Roman" w:hAnsi="Times New Roman"/>
          <w:b w:val="false"/>
          <w:i w:val="false"/>
          <w:color w:val="000000"/>
          <w:sz w:val="22"/>
        </w:rPr>
        <w:t>(505) and 191—</w:t>
      </w:r>
      <w:hyperlink r:id="rId111">
        <w:r>
          <w:rPr>
            <w:rStyle w:val="Hyperlink"/>
            <w:rFonts w:ascii="Times New Roman" w:hAnsi="Times New Roman"/>
            <w:b w:val="false"/>
            <w:i w:val="false"/>
            <w:color w:val="000000"/>
            <w:sz w:val="22"/>
          </w:rPr>
          <w:t>90.9</w:t>
        </w:r>
      </w:hyperlink>
      <w:r>
        <w:rPr>
          <w:rFonts w:ascii="Times New Roman" w:hAnsi="Times New Roman"/>
          <w:b w:val="false"/>
          <w:i w:val="false"/>
          <w:color w:val="000000"/>
          <w:sz w:val="22"/>
        </w:rPr>
        <w:t>(505), and for service providers and joint marketing in rule 191—</w:t>
      </w:r>
      <w:hyperlink r:id="rId112">
        <w:r>
          <w:rPr>
            <w:rStyle w:val="Hyperlink"/>
            <w:rFonts w:ascii="Times New Roman" w:hAnsi="Times New Roman"/>
            <w:b w:val="false"/>
            <w:i w:val="false"/>
            <w:color w:val="000000"/>
            <w:sz w:val="22"/>
          </w:rPr>
          <w:t>90.12</w:t>
        </w:r>
      </w:hyperlink>
      <w:r>
        <w:rPr>
          <w:rFonts w:ascii="Times New Roman" w:hAnsi="Times New Roman"/>
          <w:b w:val="false"/>
          <w:i w:val="false"/>
          <w:color w:val="000000"/>
          <w:sz w:val="22"/>
        </w:rPr>
        <w:t>(505) do not apply if the licensee discloses nonpublic personal financial information as necessary to effect, administer or enforce a transaction that a consumer requests or authorizes, or in connection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Servicing or processing an insurance product or service that a consumer requests or authorizes;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Maintaining or servicing the consumer’s account with a licensee, or with another entity as part of a private-label credit card program or other extension of credit on behalf of such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proposed or actual securitization, secondary market sale including sales of servicing rights, or similar transaction related to a transaction of the consumer;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Reinsurance or stop loss or excess loss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90.13(2)</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“necessary to effect, administer or enforce a transaction” means that the disclosure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Required, or is one of the lawful or appropriate methods, to enforce the licensee’s rights or the rights of other persons engaged in carrying out the financial transaction or providing the product or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Required, or is a usual, appropriate or acceptable method, for the following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carry out the transaction or the product or service business of which the transaction is a part, and record, service or maintain the consumer’s account in the ordinary course of providing the insurance product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administer or service benefits or claims relating to the transaction or the product or service business of which it is a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provide a confirmation, statement or other record of the transaction or information on the status or value of the insurance product or service to the consumer or the consumer’s agent or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accrue or recognize incentives or bonuses associated with the transaction that are provided by a licensee or any other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 underwrite insurance at the consumer’s request or for any of the following purposes as they relate to a consumer’s insurance: account administration, reporting, investigating or preventing fraud or material misrepresentation, processing premium payments, processing insurance claims, administering insurance benefits including utilization review activities, participating in research projects or as otherwise required or specifically permitted by federal or state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 disclose in connection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authorization, settlement, billing, processing, clearing, transferring, reconciling or collection of amounts charged, debited or otherwise paid using a debit, credit or other payment card, check or account number, or by other payment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transfer of receivables, accounts or interests therein;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audit of debit, credit or other payment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191—90.14</w:t>
      </w:r>
      <w:r>
        <w:rPr>
          <w:rFonts w:ascii="Times New Roman" w:hAnsi="Times New Roman"/>
          <w:b/>
          <w:i w:val="false"/>
          <w:color w:val="000000"/>
          <w:sz w:val="22"/>
        </w:rPr>
        <w:t xml:space="preserve">(505) </w:t>
      </w:r>
      <w:r>
        <w:rPr>
          <w:rFonts w:ascii="Times New Roman" w:hAnsi="Times New Roman"/>
          <w:b/>
          <w:i w:val="false"/>
          <w:color w:val="000000"/>
          <w:sz w:val="22"/>
        </w:rPr>
        <w:t xml:space="preserve">Other exceptions to notice and opt-out requirements for disclosure of nonpublic personal financial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for initial notice to consumers in paragraph </w:t>
      </w:r>
      <w:hyperlink r:id="rId113">
        <w:r>
          <w:rPr>
            <w:rStyle w:val="Hyperlink"/>
            <w:rFonts w:ascii="Times New Roman" w:hAnsi="Times New Roman"/>
            <w:b w:val="false"/>
            <w:i w:val="false"/>
            <w:color w:val="000000"/>
            <w:sz w:val="22"/>
          </w:rPr>
          <w:t>90.3(1)</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the opt out in rules 191—</w:t>
      </w:r>
      <w:hyperlink r:id="rId114">
        <w:r>
          <w:rPr>
            <w:rStyle w:val="Hyperlink"/>
            <w:rFonts w:ascii="Times New Roman" w:hAnsi="Times New Roman"/>
            <w:b w:val="false"/>
            <w:i w:val="false"/>
            <w:color w:val="000000"/>
            <w:sz w:val="22"/>
          </w:rPr>
          <w:t>90.6</w:t>
        </w:r>
      </w:hyperlink>
      <w:r>
        <w:rPr>
          <w:rFonts w:ascii="Times New Roman" w:hAnsi="Times New Roman"/>
          <w:b w:val="false"/>
          <w:i w:val="false"/>
          <w:color w:val="000000"/>
          <w:sz w:val="22"/>
        </w:rPr>
        <w:t>(505) and 191—</w:t>
      </w:r>
      <w:hyperlink r:id="rId115">
        <w:r>
          <w:rPr>
            <w:rStyle w:val="Hyperlink"/>
            <w:rFonts w:ascii="Times New Roman" w:hAnsi="Times New Roman"/>
            <w:b w:val="false"/>
            <w:i w:val="false"/>
            <w:color w:val="000000"/>
            <w:sz w:val="22"/>
          </w:rPr>
          <w:t>90.9</w:t>
        </w:r>
      </w:hyperlink>
      <w:r>
        <w:rPr>
          <w:rFonts w:ascii="Times New Roman" w:hAnsi="Times New Roman"/>
          <w:b w:val="false"/>
          <w:i w:val="false"/>
          <w:color w:val="000000"/>
          <w:sz w:val="22"/>
        </w:rPr>
        <w:t>(505), and for service providers and joint marketing in rule 191—</w:t>
      </w:r>
      <w:hyperlink r:id="rId116">
        <w:r>
          <w:rPr>
            <w:rStyle w:val="Hyperlink"/>
            <w:rFonts w:ascii="Times New Roman" w:hAnsi="Times New Roman"/>
            <w:b w:val="false"/>
            <w:i w:val="false"/>
            <w:color w:val="000000"/>
            <w:sz w:val="22"/>
          </w:rPr>
          <w:t>90.12</w:t>
        </w:r>
      </w:hyperlink>
      <w:r>
        <w:rPr>
          <w:rFonts w:ascii="Times New Roman" w:hAnsi="Times New Roman"/>
          <w:b w:val="false"/>
          <w:i w:val="false"/>
          <w:color w:val="000000"/>
          <w:sz w:val="22"/>
        </w:rPr>
        <w:t>(505) do not apply when a licensee discloses nonpublic personal financial information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 the consent or at the direction of the consumer, provided that the consumer has not revoked the consent or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protect the confidentiality or security of a licensee’s records pertaining to the consumer, service, product, or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protect against or prevent actual or potential fraud or unauthorized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required institutional risk control or for resolving consumer disputes or inquiries;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persons holding a legal or beneficial interest relating to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persons acting in a fiduciary or representative capacity on behalf of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 provide information to insurance rate advisory organizations, guaranty funds or agencies, agencies that are rating a licensee, persons that are assessing the licensee’s compliance with industry standards, and the licensee’s attorneys, accountants and auditors;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To the extent specifically permitted or required under other provisions of law and in accordance with the federal Right to Financial Privacy Act of 1978, to law enforcement agencies including the Federal Reserve Board; Office of the Comptroller of the Currency; Federal Deposit Insurance Corporation; Office of Thrift Supervision; National Credit Union Administration; the Securities and Exchange Commission; the Secretary of the Treasury, with respect to 31 U.S.C. Chapter 53, Subchapter II, and 12 U.S.C. Chapter 21, a state insurance authority, and the Federal Trade Commission, self-regulatory organizations or for an investigation on a matter related to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To a consumer reporting agency in accordance with the federal Fair Credit Reporting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From a consumer report reported by a consumer reporting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 connection with a proposed or actual sale, merger, transfer or exchange of all or a portion of a business or operating unit if the disclosure of nonpublic personal financial information concerns solely consumers of the business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To comply with federal, state, or local laws, rules and other applicable legal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To comply with a properly authorized civil, criminal or regulatory investigation, or subpoena or summons by federal, state or local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To respond to judicial process or government regulatory authorities having jurisdiction over a licensee for examination, compliance or other purposes as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For purposes related to the replacement of a group benefit plan, a group health plan, a group welfare plan or a workers’ compensation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90.14(2)</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consumer may revoke consent by subsequently exercising the right to opt out of future disclosures of nonpublic personal financial information as permitted under subrule </w:t>
      </w:r>
      <w:hyperlink r:id="rId117">
        <w:r>
          <w:rPr>
            <w:rStyle w:val="Hyperlink"/>
            <w:rFonts w:ascii="Times New Roman" w:hAnsi="Times New Roman"/>
            <w:b w:val="false"/>
            <w:i w:val="false"/>
            <w:color w:val="000000"/>
            <w:sz w:val="22"/>
          </w:rPr>
          <w:t>90.6(7)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191—90.15</w:t>
      </w:r>
      <w:r>
        <w:rPr>
          <w:rFonts w:ascii="Times New Roman" w:hAnsi="Times New Roman"/>
          <w:b/>
          <w:i w:val="false"/>
          <w:color w:val="000000"/>
          <w:sz w:val="22"/>
        </w:rPr>
        <w:t xml:space="preserve">(505) </w:t>
      </w:r>
      <w:r>
        <w:rPr>
          <w:rFonts w:ascii="Times New Roman" w:hAnsi="Times New Roman"/>
          <w:b/>
          <w:i w:val="false"/>
          <w:color w:val="000000"/>
          <w:sz w:val="22"/>
        </w:rPr>
        <w:t xml:space="preserve">Notice through a website. </w:t>
      </w:r>
      <w:r>
        <w:rPr>
          <w:rFonts w:ascii="Times New Roman" w:hAnsi="Times New Roman"/>
          <w:b w:val="false"/>
          <w:i w:val="false"/>
          <w:color w:val="000000"/>
          <w:sz w:val="22"/>
        </w:rPr>
        <w:t>If a licensee provides a notice on a website, the licensee shall comply with the above requirements if the licensee uses text or visual cues to encourage scrolling down the page if necessary to view the entire notice and ensure that other elements on the website such as text, graphics, hyperlinks or sound do not distract attention from the notice. In addition, the licensee shall either place the notice on a screen that consumers frequently access, such as a page on which transactions are conducted, or place a link on a screen that consumers frequently access that connects directly to the notice and is labeled appropriately to convey the importance, nature and relevance of the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191—90.16</w:t>
      </w:r>
      <w:r>
        <w:rPr>
          <w:rFonts w:ascii="Times New Roman" w:hAnsi="Times New Roman"/>
          <w:b/>
          <w:i w:val="false"/>
          <w:color w:val="000000"/>
          <w:sz w:val="22"/>
        </w:rPr>
        <w:t xml:space="preserve">(505) </w:t>
      </w:r>
      <w:r>
        <w:rPr>
          <w:rFonts w:ascii="Times New Roman" w:hAnsi="Times New Roman"/>
          <w:b/>
          <w:i w:val="false"/>
          <w:color w:val="000000"/>
          <w:sz w:val="22"/>
        </w:rPr>
        <w:t xml:space="preserve">Licensee exception to notice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90.16(1)</w:t>
      </w:r>
      <w:r>
        <w:rPr>
          <w:rFonts w:ascii="Times New Roman" w:hAnsi="Times New Roman"/>
          <w:b w:val="false"/>
          <w:i w:val="false"/>
          <w:color w:val="000000"/>
          <w:sz w:val="22"/>
        </w:rPr>
        <w:t> </w:t>
      </w:r>
      <w:r>
        <w:rPr>
          <w:rFonts w:ascii="Times New Roman" w:hAnsi="Times New Roman"/>
          <w:b w:val="false"/>
          <w:i w:val="false"/>
          <w:color w:val="000000"/>
          <w:sz w:val="22"/>
        </w:rPr>
        <w:t>A licensee is not subject to the notice and opt-out requirements for nonpublic personal financial information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is an employee, agent or other representative of another licensee;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other licensee otherwise complies with, and provides the notices required by, the provisions of the rules and the licensee does not disclose any nonpublic personal financial information to any person other than the other licensee or its affiliates in a manner permitted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90.16(2)</w:t>
      </w:r>
      <w:r>
        <w:rPr>
          <w:rFonts w:ascii="Times New Roman" w:hAnsi="Times New Roman"/>
          <w:b w:val="false"/>
          <w:i w:val="false"/>
          <w:color w:val="000000"/>
          <w:sz w:val="22"/>
        </w:rPr>
        <w:t> </w:t>
      </w:r>
      <w:r>
        <w:rPr>
          <w:rFonts w:ascii="Times New Roman" w:hAnsi="Times New Roman"/>
          <w:b w:val="false"/>
          <w:i w:val="false"/>
          <w:color w:val="000000"/>
          <w:sz w:val="22"/>
        </w:rPr>
        <w:t>An excess lines broker or excess lines insurer shall be deemed to be in compliance with the notice and opt-out requirements for nonpublic personal financial information in these rules provided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broker or insurer does not disclose nonpublic personal financial information of a consumer or a customer to nonaffiliated third parties for any purpose including joint servicing or marketing under rule 191—</w:t>
      </w:r>
      <w:hyperlink r:id="rId118">
        <w:r>
          <w:rPr>
            <w:rStyle w:val="Hyperlink"/>
            <w:rFonts w:ascii="Times New Roman" w:hAnsi="Times New Roman"/>
            <w:b w:val="false"/>
            <w:i w:val="false"/>
            <w:color w:val="000000"/>
            <w:sz w:val="22"/>
          </w:rPr>
          <w:t>90.12</w:t>
        </w:r>
      </w:hyperlink>
      <w:r>
        <w:rPr>
          <w:rFonts w:ascii="Times New Roman" w:hAnsi="Times New Roman"/>
          <w:b w:val="false"/>
          <w:i w:val="false"/>
          <w:color w:val="000000"/>
          <w:sz w:val="22"/>
        </w:rPr>
        <w:t>(505) except as permitted by rule 191—</w:t>
      </w:r>
      <w:hyperlink r:id="rId119">
        <w:r>
          <w:rPr>
            <w:rStyle w:val="Hyperlink"/>
            <w:rFonts w:ascii="Times New Roman" w:hAnsi="Times New Roman"/>
            <w:b w:val="false"/>
            <w:i w:val="false"/>
            <w:color w:val="000000"/>
            <w:sz w:val="22"/>
          </w:rPr>
          <w:t>90.13</w:t>
        </w:r>
      </w:hyperlink>
      <w:r>
        <w:rPr>
          <w:rFonts w:ascii="Times New Roman" w:hAnsi="Times New Roman"/>
          <w:b w:val="false"/>
          <w:i w:val="false"/>
          <w:color w:val="000000"/>
          <w:sz w:val="22"/>
        </w:rPr>
        <w:t>(505) or 191—</w:t>
      </w:r>
      <w:hyperlink r:id="rId120">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(505);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broker or insurer delivers to the consumer at the time a customer relationship is established a notice on which the following is printed in 16-point type:</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u w:val="single"/>
        </w:rPr>
        <w:t>PRIVACY NOTICE</w:t>
      </w:r>
    </w:p>
    <w:p>
      <w:pPr>
        <w:spacing w:before="0" w:after="0"/>
        <w:ind w:left="120"/>
        <w:jc w:val="both"/>
      </w:pPr>
      <w:r>
        <w:rPr>
          <w:rFonts w:ascii="Times New Roman" w:hAnsi="Times New Roman"/>
          <w:b w:val="false"/>
          <w:i w:val="false"/>
          <w:color w:val="000000"/>
          <w:sz w:val="22"/>
        </w:rPr>
        <w:t>NEITHER THE U.S. BROKER THAT HANDLED THIS INSURANCE NOR THE INSURERS THAT HAVE UNDERWRITTEN THIS INSURANCE WILL DISCLOSE NONPUBLIC PERSONAL INFORMATION CONCERNING THE BUYER TO NONAFFILIATES OF THE BROKERS OR INSURERS EXCEPT AS PERMITTED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RULES FOR HEALTH INFORMATION</w:t>
      </w:r>
    </w:p>
    <w:p>
      <w:pPr>
        <w:spacing w:before="0" w:after="0"/>
        <w:ind w:left="120"/>
        <w:jc w:val="both"/>
      </w:pPr>
      <w:r>
        <w:rPr>
          <w:rFonts w:ascii="Times New Roman" w:hAnsi="Times New Roman"/>
          <w:b/>
          <w:i w:val="false"/>
          <w:color w:val="000000"/>
          <w:sz w:val="22"/>
        </w:rPr>
        <w:t>191—90.17</w:t>
      </w:r>
      <w:r>
        <w:rPr>
          <w:rFonts w:ascii="Times New Roman" w:hAnsi="Times New Roman"/>
          <w:b/>
          <w:i w:val="false"/>
          <w:color w:val="000000"/>
          <w:sz w:val="22"/>
        </w:rPr>
        <w:t xml:space="preserve">(505) </w:t>
      </w:r>
      <w:r>
        <w:rPr>
          <w:rFonts w:ascii="Times New Roman" w:hAnsi="Times New Roman"/>
          <w:b/>
          <w:i w:val="false"/>
          <w:color w:val="000000"/>
          <w:sz w:val="22"/>
        </w:rPr>
        <w:t xml:space="preserve">Disclosure of nonpublic personal health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90.17(1)</w:t>
      </w:r>
      <w:r>
        <w:rPr>
          <w:rFonts w:ascii="Times New Roman" w:hAnsi="Times New Roman"/>
          <w:b w:val="false"/>
          <w:i w:val="false"/>
          <w:color w:val="000000"/>
          <w:sz w:val="22"/>
        </w:rPr>
        <w:t> </w:t>
      </w:r>
      <w:r>
        <w:rPr>
          <w:rFonts w:ascii="Times New Roman" w:hAnsi="Times New Roman"/>
          <w:b w:val="false"/>
          <w:i w:val="false"/>
          <w:color w:val="000000"/>
          <w:sz w:val="22"/>
        </w:rPr>
        <w:t>A licensee shall not disclose nonpublic personal health information about a consumer or customer unless an authorization is obtained from the consumer or customer whose nonpublic personal health information is sought to be disclosed.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90.17(2)</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prohibit, restrict or require an authorization for the disclosure of nonpublic personal health information by a licensee or the licensee’s insurance affiliate for the performance of the following insurance functions by or on behalf of the licensee: claims administration; claims adjustment and management; detection, investigation or reporting of actual or potential fraud, misrepresentation or criminal activity; underwriting; policy placement or issuance; loss control; rate-making and guaranty fund functions; reinsurance and excess loss insurance; risk management; case management; disease management; quality assurance; quality improvement; performance evaluation; provider credentialing verification; utilization review; peer review activities; actuarial, scientific, medical or public policy research; grievance procedures; internal administration of compliance, managerial, and information systems; policyholder service functions; auditing; reporting; database security; administration of consumer disputes and inquiries; external accreditation standards; the replacement of a group benefit plan or workers’ compensation policy or program; activities in connection with a sale, merger, transfer or exchange of all or part of a business or operating unit; any activity that permits disclosure without authorization pursuant to the federal Health Insurance Portability and Accountability Act privacy rules promulgated by the U.S. Department of Health and Human Services; disclosure that is required, or is one of the lawful or appropriate methods, to enforce the licensee’s rights or the rights of other persons engaged in carrying out a transaction or providing a product or service that a consumer requests or authorizes; and any activity otherwise permitted by law, required pursuant to governmental reporting authority, or to comply with legal process. Additional insurance functions may be added with the approval of the commissioner to the extent they are necessary for appropriate performance of insurance functions and are fair and reasonable to the interest of consumers.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191—90.18</w:t>
      </w:r>
      <w:r>
        <w:rPr>
          <w:rFonts w:ascii="Times New Roman" w:hAnsi="Times New Roman"/>
          <w:b/>
          <w:i w:val="false"/>
          <w:color w:val="000000"/>
          <w:sz w:val="22"/>
        </w:rPr>
        <w:t xml:space="preserve">(505) </w:t>
      </w:r>
      <w:r>
        <w:rPr>
          <w:rFonts w:ascii="Times New Roman" w:hAnsi="Times New Roman"/>
          <w:b/>
          <w:i w:val="false"/>
          <w:color w:val="000000"/>
          <w:sz w:val="22"/>
        </w:rPr>
        <w:t xml:space="preserve">Authorizations.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90.18(1)</w:t>
      </w:r>
      <w:r>
        <w:rPr>
          <w:rFonts w:ascii="Times New Roman" w:hAnsi="Times New Roman"/>
          <w:b w:val="false"/>
          <w:i w:val="false"/>
          <w:color w:val="000000"/>
          <w:sz w:val="22"/>
        </w:rPr>
        <w:t> </w:t>
      </w:r>
      <w:r>
        <w:rPr>
          <w:rFonts w:ascii="Times New Roman" w:hAnsi="Times New Roman"/>
          <w:b w:val="false"/>
          <w:i w:val="false"/>
          <w:color w:val="000000"/>
          <w:sz w:val="22"/>
        </w:rPr>
        <w:t xml:space="preserve">A valid authorization to disclose nonpublic personal health information pursuant to the health information rules as required under subrule </w:t>
      </w:r>
      <w:hyperlink r:id="rId121">
        <w:r>
          <w:rPr>
            <w:rStyle w:val="Hyperlink"/>
            <w:rFonts w:ascii="Times New Roman" w:hAnsi="Times New Roman"/>
            <w:b w:val="false"/>
            <w:i w:val="false"/>
            <w:color w:val="000000"/>
            <w:sz w:val="22"/>
          </w:rPr>
          <w:t>90.17(1)</w:t>
        </w:r>
      </w:hyperlink>
      <w:r>
        <w:rPr>
          <w:rFonts w:ascii="Times New Roman" w:hAnsi="Times New Roman"/>
          <w:b w:val="false"/>
          <w:i w:val="false"/>
          <w:color w:val="000000"/>
          <w:sz w:val="22"/>
        </w:rPr>
        <w:t xml:space="preserve"> shall be in written or electronic form and shall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identity of the consumer or customer who is the subject of the nonpublic personal health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types of nonpublic personal health information to be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General descriptions of the parties to whom the licensee discloses nonpublic personal health information, the purpose of the disclosure and how the information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signature of the consumer or customer who is the subject of the nonpublic personal health information or the individual who is legally empowered to grant authority and the date signed;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length of time for which the authorization is valid, the fact that the consumer or customer may revoke the authorization at any time, and the procedure for making a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90.18(2)</w:t>
      </w:r>
      <w:r>
        <w:rPr>
          <w:rFonts w:ascii="Times New Roman" w:hAnsi="Times New Roman"/>
          <w:b w:val="false"/>
          <w:i w:val="false"/>
          <w:color w:val="000000"/>
          <w:sz w:val="22"/>
        </w:rPr>
        <w:t> </w:t>
      </w:r>
      <w:r>
        <w:rPr>
          <w:rFonts w:ascii="Times New Roman" w:hAnsi="Times New Roman"/>
          <w:b w:val="false"/>
          <w:i w:val="false"/>
          <w:color w:val="000000"/>
          <w:sz w:val="22"/>
        </w:rPr>
        <w:t>An authorization for the purposes of these health information rules shall specify a length of time for which the authorization shall remain valid, which in no event shall be for more than 24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90.18(3)</w:t>
      </w:r>
      <w:r>
        <w:rPr>
          <w:rFonts w:ascii="Times New Roman" w:hAnsi="Times New Roman"/>
          <w:b w:val="false"/>
          <w:i w:val="false"/>
          <w:color w:val="000000"/>
          <w:sz w:val="22"/>
        </w:rPr>
        <w:t> </w:t>
      </w:r>
      <w:r>
        <w:rPr>
          <w:rFonts w:ascii="Times New Roman" w:hAnsi="Times New Roman"/>
          <w:b w:val="false"/>
          <w:i w:val="false"/>
          <w:color w:val="000000"/>
          <w:sz w:val="22"/>
        </w:rPr>
        <w:t>A consumer or customer who is the subject of nonpublic personal health information may revoke an authorization provided pursuant to these health information rules at any time, subject to the rights of an individual who acted in reliance on the authorization prior to notice of the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90.18(4)</w:t>
      </w:r>
      <w:r>
        <w:rPr>
          <w:rFonts w:ascii="Times New Roman" w:hAnsi="Times New Roman"/>
          <w:b w:val="false"/>
          <w:i w:val="false"/>
          <w:color w:val="000000"/>
          <w:sz w:val="22"/>
        </w:rPr>
        <w:t> </w:t>
      </w:r>
      <w:r>
        <w:rPr>
          <w:rFonts w:ascii="Times New Roman" w:hAnsi="Times New Roman"/>
          <w:b w:val="false"/>
          <w:i w:val="false"/>
          <w:color w:val="000000"/>
          <w:sz w:val="22"/>
        </w:rPr>
        <w:t>A licensee shall retain the authorization or a copy in the record of the individual who is the subject of nonpublic personal health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191—90.19</w:t>
      </w:r>
      <w:r>
        <w:rPr>
          <w:rFonts w:ascii="Times New Roman" w:hAnsi="Times New Roman"/>
          <w:b/>
          <w:i w:val="false"/>
          <w:color w:val="000000"/>
          <w:sz w:val="22"/>
        </w:rPr>
        <w:t xml:space="preserve">(505) </w:t>
      </w:r>
      <w:r>
        <w:rPr>
          <w:rFonts w:ascii="Times New Roman" w:hAnsi="Times New Roman"/>
          <w:b/>
          <w:i w:val="false"/>
          <w:color w:val="000000"/>
          <w:sz w:val="22"/>
        </w:rPr>
        <w:t xml:space="preserve">Delivery of authorization request. </w:t>
      </w:r>
      <w:r>
        <w:rPr>
          <w:rFonts w:ascii="Times New Roman" w:hAnsi="Times New Roman"/>
          <w:b w:val="false"/>
          <w:i w:val="false"/>
          <w:color w:val="000000"/>
          <w:sz w:val="22"/>
        </w:rPr>
        <w:t>A request for authorization and an authorization form may be delivered to a consumer or a customer as part of an opt-out notice pursuant to rule 191—</w:t>
      </w:r>
      <w:hyperlink r:id="rId122">
        <w:r>
          <w:rPr>
            <w:rStyle w:val="Hyperlink"/>
            <w:rFonts w:ascii="Times New Roman" w:hAnsi="Times New Roman"/>
            <w:b w:val="false"/>
            <w:i w:val="false"/>
            <w:color w:val="000000"/>
            <w:sz w:val="22"/>
          </w:rPr>
          <w:t>90.8</w:t>
        </w:r>
      </w:hyperlink>
      <w:r>
        <w:rPr>
          <w:rFonts w:ascii="Times New Roman" w:hAnsi="Times New Roman"/>
          <w:b w:val="false"/>
          <w:i w:val="false"/>
          <w:color w:val="000000"/>
          <w:sz w:val="22"/>
        </w:rPr>
        <w:t xml:space="preserve">(505), provided that the request and the authorization form are clear and conspicuous. An authorization form is not required to be delivered to the consumer or customer or included in any other notices unless the licensee intends to disclose protected health information pursuant to subrule </w:t>
      </w:r>
      <w:hyperlink r:id="rId123">
        <w:r>
          <w:rPr>
            <w:rStyle w:val="Hyperlink"/>
            <w:rFonts w:ascii="Times New Roman" w:hAnsi="Times New Roman"/>
            <w:b w:val="false"/>
            <w:i w:val="false"/>
            <w:color w:val="000000"/>
            <w:sz w:val="22"/>
          </w:rPr>
          <w:t>90.17(1)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191—90.20</w:t>
      </w:r>
      <w:r>
        <w:rPr>
          <w:rFonts w:ascii="Times New Roman" w:hAnsi="Times New Roman"/>
          <w:b/>
          <w:i w:val="false"/>
          <w:color w:val="000000"/>
          <w:sz w:val="22"/>
        </w:rPr>
        <w:t xml:space="preserve">(505) </w:t>
      </w:r>
      <w:r>
        <w:rPr>
          <w:rFonts w:ascii="Times New Roman" w:hAnsi="Times New Roman"/>
          <w:b/>
          <w:i w:val="false"/>
          <w:color w:val="000000"/>
          <w:sz w:val="22"/>
        </w:rPr>
        <w:t xml:space="preserve">Relationship to federal rules. </w:t>
      </w:r>
      <w:r>
        <w:rPr>
          <w:rFonts w:ascii="Times New Roman" w:hAnsi="Times New Roman"/>
          <w:b w:val="false"/>
          <w:i w:val="false"/>
          <w:color w:val="000000"/>
          <w:sz w:val="22"/>
        </w:rPr>
        <w:t>Irrespective of whether a licensee is subject to the federal Health Insurance Portability and Accountability Act privacy rules promulgated by the U.S. Department of Health and Human Services, if a licensee complies with all requirements of the federal rules except for their effective date provision, the licensee shall not be subject to the provisions of these health information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191—90.21</w:t>
      </w:r>
      <w:r>
        <w:rPr>
          <w:rFonts w:ascii="Times New Roman" w:hAnsi="Times New Roman"/>
          <w:b/>
          <w:i w:val="false"/>
          <w:color w:val="000000"/>
          <w:sz w:val="22"/>
        </w:rPr>
        <w:t xml:space="preserve">(505) </w:t>
      </w:r>
      <w:r>
        <w:rPr>
          <w:rFonts w:ascii="Times New Roman" w:hAnsi="Times New Roman"/>
          <w:b/>
          <w:i w:val="false"/>
          <w:color w:val="000000"/>
          <w:sz w:val="22"/>
        </w:rPr>
        <w:t xml:space="preserve">Relationship to state laws. </w:t>
      </w:r>
      <w:r>
        <w:rPr>
          <w:rFonts w:ascii="Times New Roman" w:hAnsi="Times New Roman"/>
          <w:b w:val="false"/>
          <w:i w:val="false"/>
          <w:color w:val="000000"/>
          <w:sz w:val="22"/>
        </w:rPr>
        <w:t>Nothing in these health information rules shall preempt or supersede existing state law related to medical records, health or insurance information privacy.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191—90.22</w:t>
      </w:r>
      <w:r>
        <w:rPr>
          <w:rFonts w:ascii="Times New Roman" w:hAnsi="Times New Roman"/>
          <w:b/>
          <w:i w:val="false"/>
          <w:color w:val="000000"/>
          <w:sz w:val="22"/>
        </w:rPr>
        <w:t xml:space="preserve">(505) </w:t>
      </w:r>
      <w:r>
        <w:rPr>
          <w:rFonts w:ascii="Times New Roman" w:hAnsi="Times New Roman"/>
          <w:b/>
          <w:i w:val="false"/>
          <w:color w:val="000000"/>
          <w:sz w:val="22"/>
        </w:rPr>
        <w:t xml:space="preserve">Protection of Fair Credit Reporting Act. </w:t>
      </w:r>
      <w:r>
        <w:rPr>
          <w:rFonts w:ascii="Times New Roman" w:hAnsi="Times New Roman"/>
          <w:b w:val="false"/>
          <w:i w:val="false"/>
          <w:color w:val="000000"/>
          <w:sz w:val="22"/>
        </w:rPr>
        <w:t>Nothing in these rules shall be construed to modify, limit or supersede the operations of the federal Fair Credit Reporting Act, and no inference shall be drawn on the basis of the provisions of these rules regarding whether information is transaction or experience information under Section 603 of that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191—90.23</w:t>
      </w:r>
      <w:r>
        <w:rPr>
          <w:rFonts w:ascii="Times New Roman" w:hAnsi="Times New Roman"/>
          <w:b/>
          <w:i w:val="false"/>
          <w:color w:val="000000"/>
          <w:sz w:val="22"/>
        </w:rPr>
        <w:t xml:space="preserve">(505) </w:t>
      </w:r>
      <w:r>
        <w:rPr>
          <w:rFonts w:ascii="Times New Roman" w:hAnsi="Times New Roman"/>
          <w:b/>
          <w:i w:val="false"/>
          <w:color w:val="000000"/>
          <w:sz w:val="22"/>
        </w:rPr>
        <w:t xml:space="preserve">Nondiscrimination. </w:t>
      </w:r>
      <w:r>
        <w:rPr>
          <w:rFonts w:ascii="Times New Roman" w:hAnsi="Times New Roman"/>
          <w:b w:val="false"/>
          <w:i w:val="false"/>
          <w:color w:val="000000"/>
          <w:sz w:val="22"/>
        </w:rPr>
        <w:t>A licensee shall not unfairly discriminate against any consumer or customer because that consumer or customer has opted out from the disclosure of the consumer’s or customer’s nonpublic personal financial information pursuant to the provisions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191—90.24</w:t>
      </w:r>
      <w:r>
        <w:rPr>
          <w:rFonts w:ascii="Times New Roman" w:hAnsi="Times New Roman"/>
          <w:b/>
          <w:i w:val="false"/>
          <w:color w:val="000000"/>
          <w:sz w:val="22"/>
        </w:rPr>
        <w:t xml:space="preserve">(505) </w:t>
      </w:r>
      <w:r>
        <w:rPr>
          <w:rFonts w:ascii="Times New Roman" w:hAnsi="Times New Roman"/>
          <w:b/>
          <w:i w:val="false"/>
          <w:color w:val="000000"/>
          <w:sz w:val="22"/>
        </w:rPr>
        <w:t xml:space="preserve">Severability. </w:t>
      </w:r>
      <w:r>
        <w:rPr>
          <w:rFonts w:ascii="Times New Roman" w:hAnsi="Times New Roman"/>
          <w:b w:val="false"/>
          <w:i w:val="false"/>
          <w:color w:val="000000"/>
          <w:sz w:val="22"/>
        </w:rPr>
        <w:t>If any rule or portion of a rule of this chapter or its applicability to any person or circumstance is held invalid by a court, the remainder of the rules or the applicability of the provision to other persons or circumstances shall not be affected.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191—90.25</w:t>
      </w:r>
      <w:r>
        <w:rPr>
          <w:rFonts w:ascii="Times New Roman" w:hAnsi="Times New Roman"/>
          <w:b/>
          <w:i w:val="false"/>
          <w:color w:val="000000"/>
          <w:sz w:val="22"/>
        </w:rPr>
        <w:t xml:space="preserve">(505)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An insurer or producer or licensee that violates a requirement of these rules shall be found to have committed a violation of Iowa Code section </w:t>
      </w:r>
      <w:hyperlink r:id="rId124">
        <w:r>
          <w:rPr>
            <w:rStyle w:val="Hyperlink"/>
            <w:rFonts w:ascii="Times New Roman" w:hAnsi="Times New Roman"/>
            <w:b w:val="false"/>
            <w:i w:val="false"/>
            <w:color w:val="000000"/>
            <w:sz w:val="22"/>
          </w:rPr>
          <w:t>507B.4</w:t>
        </w:r>
      </w:hyperlink>
      <w:r>
        <w:rPr>
          <w:rFonts w:ascii="Times New Roman" w:hAnsi="Times New Roman"/>
          <w:b w:val="false"/>
          <w:i w:val="false"/>
          <w:color w:val="000000"/>
          <w:sz w:val="22"/>
        </w:rPr>
        <w:t xml:space="preserve"> in addition to any other penalties provided by the laws of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191—90.26</w:t>
      </w:r>
      <w:r>
        <w:rPr>
          <w:rFonts w:ascii="Times New Roman" w:hAnsi="Times New Roman"/>
          <w:b/>
          <w:i w:val="false"/>
          <w:color w:val="000000"/>
          <w:sz w:val="22"/>
        </w:rPr>
        <w:t xml:space="preserve">(505) </w:t>
      </w:r>
      <w:r>
        <w:rPr>
          <w:rFonts w:ascii="Times New Roman" w:hAnsi="Times New Roman"/>
          <w:b/>
          <w:i w:val="false"/>
          <w:color w:val="000000"/>
          <w:sz w:val="22"/>
        </w:rPr>
        <w:t xml:space="preserve">Effective dates.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90.26(1)</w:t>
      </w:r>
      <w:r>
        <w:rPr>
          <w:rFonts w:ascii="Times New Roman" w:hAnsi="Times New Roman"/>
          <w:b w:val="false"/>
          <w:i w:val="false"/>
          <w:color w:val="000000"/>
          <w:sz w:val="22"/>
        </w:rPr>
        <w:t> </w:t>
      </w:r>
      <w:r>
        <w:rPr>
          <w:rFonts w:ascii="Times New Roman" w:hAnsi="Times New Roman"/>
          <w:b w:val="false"/>
          <w:i w:val="false"/>
          <w:color w:val="000000"/>
          <w:sz w:val="22"/>
        </w:rPr>
        <w:t>These rules became effective November 13, 2000. However, in order to provide sufficient time for licensees to establish policies and systems to comply with the requirements of these rules, the commissioner extends the time for compliance until July 1, 2001.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90.26(2)</w:t>
      </w:r>
      <w:r>
        <w:rPr>
          <w:rFonts w:ascii="Times New Roman" w:hAnsi="Times New Roman"/>
          <w:b w:val="false"/>
          <w:i w:val="false"/>
          <w:color w:val="000000"/>
          <w:sz w:val="22"/>
        </w:rPr>
        <w:t> </w:t>
      </w:r>
      <w:r>
        <w:rPr>
          <w:rFonts w:ascii="Times New Roman" w:hAnsi="Times New Roman"/>
          <w:b w:val="false"/>
          <w:i w:val="false"/>
          <w:color w:val="000000"/>
          <w:sz w:val="22"/>
        </w:rPr>
        <w:t>A licensee shall provide by July 1, 2001, an initial notice as required by rule 191—</w:t>
      </w:r>
      <w:hyperlink r:id="rId125">
        <w:r>
          <w:rPr>
            <w:rStyle w:val="Hyperlink"/>
            <w:rFonts w:ascii="Times New Roman" w:hAnsi="Times New Roman"/>
            <w:b w:val="false"/>
            <w:i w:val="false"/>
            <w:color w:val="000000"/>
            <w:sz w:val="22"/>
          </w:rPr>
          <w:t>90.3</w:t>
        </w:r>
      </w:hyperlink>
      <w:r>
        <w:rPr>
          <w:rFonts w:ascii="Times New Roman" w:hAnsi="Times New Roman"/>
          <w:b w:val="false"/>
          <w:i w:val="false"/>
          <w:color w:val="000000"/>
          <w:sz w:val="22"/>
        </w:rPr>
        <w:t>(505) to consumers who are the licensee’s customers on July 1, 2001. A licensee provides an initial notice to consumers who are its customers on July 1, 2001, if, by that date, the licensee has established a system for providing an initial notice to all new customers and has mailed the initial notice to all the licensee’s existing customers.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90.26(3)</w:t>
      </w:r>
      <w:r>
        <w:rPr>
          <w:rFonts w:ascii="Times New Roman" w:hAnsi="Times New Roman"/>
          <w:b w:val="false"/>
          <w:i w:val="false"/>
          <w:color w:val="000000"/>
          <w:sz w:val="22"/>
        </w:rPr>
        <w:t> </w:t>
      </w:r>
      <w:r>
        <w:rPr>
          <w:rFonts w:ascii="Times New Roman" w:hAnsi="Times New Roman"/>
          <w:b w:val="false"/>
          <w:i w:val="false"/>
          <w:color w:val="000000"/>
          <w:sz w:val="22"/>
        </w:rPr>
        <w:t xml:space="preserve">Until July 1, 2002, a contract that a licensee has entered into with a nonaffiliated third party to perform services for the licensee or functions on the licensee’s behalf satisfies the provisions of paragraph </w:t>
      </w:r>
      <w:hyperlink r:id="rId126">
        <w:r>
          <w:rPr>
            <w:rStyle w:val="Hyperlink"/>
            <w:rFonts w:ascii="Times New Roman" w:hAnsi="Times New Roman"/>
            <w:b w:val="false"/>
            <w:i w:val="false"/>
            <w:color w:val="000000"/>
            <w:sz w:val="22"/>
          </w:rPr>
          <w:t>90.12(1)</w:t>
        </w:r>
      </w:hyperlink>
      <w:r>
        <w:rPr>
          <w:rFonts w:ascii="Times New Roman" w:hAnsi="Times New Roman"/>
          <w:b w:val="false"/>
          <w:i/>
          <w:color w:val="000000"/>
          <w:sz w:val="22"/>
        </w:rPr>
        <w:t>“a,”</w:t>
      </w:r>
      <w:r>
        <w:rPr>
          <w:rFonts w:ascii="Times New Roman" w:hAnsi="Times New Roman"/>
          <w:b w:val="false"/>
          <w:i w:val="false"/>
          <w:color w:val="000000"/>
          <w:sz w:val="22"/>
        </w:rPr>
        <w:t xml:space="preserve"> even if the contract does not include a requirement that the third party maintain confidentiality of nonpublic personal financial information, provided that the licensee entered into the agreement on or before July 1, 2001.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90.26(4)</w:t>
      </w:r>
      <w:r>
        <w:rPr>
          <w:rFonts w:ascii="Times New Roman" w:hAnsi="Times New Roman"/>
          <w:b w:val="false"/>
          <w:i w:val="false"/>
          <w:color w:val="000000"/>
          <w:sz w:val="22"/>
        </w:rPr>
        <w:t> </w:t>
      </w:r>
      <w:r>
        <w:rPr>
          <w:rFonts w:ascii="Times New Roman" w:hAnsi="Times New Roman"/>
          <w:b w:val="false"/>
          <w:i w:val="false"/>
          <w:color w:val="000000"/>
          <w:sz w:val="22"/>
        </w:rPr>
        <w:t>The rules regarding health information are effective January 2, 2002, and no administrative action against noncompliance shall be taken until January 2, 2002.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191—90.27</w:t>
      </w:r>
      <w:r>
        <w:rPr>
          <w:rFonts w:ascii="Times New Roman" w:hAnsi="Times New Roman"/>
          <w:b w:val="false"/>
          <w:i w:val="false"/>
          <w:color w:val="000000"/>
          <w:sz w:val="22"/>
        </w:rPr>
        <w:t xml:space="preserve"> to </w:t>
      </w:r>
      <w:r>
        <w:rPr>
          <w:rFonts w:ascii="Times New Roman" w:hAnsi="Times New Roman"/>
          <w:b/>
          <w:i w:val="false"/>
          <w:color w:val="000000"/>
          <w:sz w:val="22"/>
        </w:rPr>
        <w:t>90.36</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SAFEGUARDING CUSTOMER INFORMATION</w:t>
      </w:r>
    </w:p>
    <w:p>
      <w:pPr>
        <w:spacing w:before="0" w:after="0"/>
        <w:ind w:left="120"/>
        <w:jc w:val="both"/>
      </w:pPr>
      <w:r>
        <w:rPr>
          <w:rFonts w:ascii="Times New Roman" w:hAnsi="Times New Roman"/>
          <w:b/>
          <w:i w:val="false"/>
          <w:color w:val="000000"/>
          <w:sz w:val="22"/>
        </w:rPr>
        <w:t>191—90.37</w:t>
      </w:r>
      <w:r>
        <w:rPr>
          <w:rFonts w:ascii="Times New Roman" w:hAnsi="Times New Roman"/>
          <w:b/>
          <w:i w:val="false"/>
          <w:color w:val="000000"/>
          <w:sz w:val="22"/>
        </w:rPr>
        <w:t xml:space="preserve">(505) </w:t>
      </w:r>
      <w:r>
        <w:rPr>
          <w:rFonts w:ascii="Times New Roman" w:hAnsi="Times New Roman"/>
          <w:b/>
          <w:i w:val="false"/>
          <w:color w:val="000000"/>
          <w:sz w:val="22"/>
        </w:rPr>
        <w:t xml:space="preserve">Information security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90.37(1)</w:t>
      </w:r>
      <w:r>
        <w:rPr>
          <w:rFonts w:ascii="Times New Roman" w:hAnsi="Times New Roman"/>
          <w:b w:val="false"/>
          <w:i w:val="false"/>
          <w:color w:val="000000"/>
          <w:sz w:val="22"/>
        </w:rPr>
        <w:t> </w:t>
      </w:r>
      <w:r>
        <w:rPr>
          <w:rFonts w:ascii="Times New Roman" w:hAnsi="Times New Roman"/>
          <w:b w:val="false"/>
          <w:i w:val="false"/>
          <w:color w:val="000000"/>
          <w:sz w:val="22"/>
        </w:rPr>
        <w:t>Each licensee shall implement a comprehensive written information security program that includes administrative, technical and physical safeguards for the protection of customer information. The administrative, technical and physical safeguards included in the information security program shall be appropriate to the size and complexity of the licensee and the nature and scope of the licensee’s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90.37(2)</w:t>
      </w:r>
      <w:r>
        <w:rPr>
          <w:rFonts w:ascii="Times New Roman" w:hAnsi="Times New Roman"/>
          <w:b w:val="false"/>
          <w:i w:val="false"/>
          <w:color w:val="000000"/>
          <w:sz w:val="22"/>
        </w:rPr>
        <w:t> </w:t>
      </w:r>
      <w:r>
        <w:rPr>
          <w:rFonts w:ascii="Times New Roman" w:hAnsi="Times New Roman"/>
          <w:b w:val="false"/>
          <w:i w:val="false"/>
          <w:color w:val="000000"/>
          <w:sz w:val="22"/>
        </w:rPr>
        <w:t>A licensee’s information security program shall be designed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the security and confidentiality of customer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Protect against any anticipated threats or hazards to the security or integrity of the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Protect against unauthorized access to or use of the information that could result in substantial harm or inconvenience to any customer.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191—90.38</w:t>
      </w:r>
      <w:r>
        <w:rPr>
          <w:rFonts w:ascii="Times New Roman" w:hAnsi="Times New Roman"/>
          <w:b/>
          <w:i w:val="false"/>
          <w:color w:val="000000"/>
          <w:sz w:val="22"/>
        </w:rPr>
        <w:t xml:space="preserve">(505) </w:t>
      </w:r>
      <w:r>
        <w:rPr>
          <w:rFonts w:ascii="Times New Roman" w:hAnsi="Times New Roman"/>
          <w:b/>
          <w:i w:val="false"/>
          <w:color w:val="000000"/>
          <w:sz w:val="22"/>
        </w:rPr>
        <w:t xml:space="preserve">Examples of methods of development and implementation. </w:t>
      </w:r>
      <w:r>
        <w:rPr>
          <w:rFonts w:ascii="Times New Roman" w:hAnsi="Times New Roman"/>
          <w:b w:val="false"/>
          <w:i w:val="false"/>
          <w:color w:val="000000"/>
          <w:sz w:val="22"/>
        </w:rPr>
        <w:t xml:space="preserve">The actions and procedures that follow are examples of methods a licensee may use to implement the requirements of rule </w:t>
      </w:r>
      <w:hyperlink r:id="rId127">
        <w:r>
          <w:rPr>
            <w:rStyle w:val="Hyperlink"/>
            <w:rFonts w:ascii="Times New Roman" w:hAnsi="Times New Roman"/>
            <w:b w:val="false"/>
            <w:i w:val="false"/>
            <w:color w:val="000000"/>
            <w:sz w:val="22"/>
          </w:rPr>
          <w:t>191—90.37</w:t>
        </w:r>
      </w:hyperlink>
      <w:r>
        <w:rPr>
          <w:rFonts w:ascii="Times New Roman" w:hAnsi="Times New Roman"/>
          <w:b w:val="false"/>
          <w:i w:val="false"/>
          <w:color w:val="000000"/>
          <w:sz w:val="22"/>
        </w:rPr>
        <w:t>(505) to assess, manage and control risks of disclosure: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Identify reasonably foreseeable internal or external threats that could result in unauthorized disclosure, misuse, alteration or destruction of customer information or customer information systems.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Assess the likelihood and potential damage of these threats, taking into consideration the sensitivity of customer information.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Assess the sufficiency of policies, procedures, customer information systems and other safeguards in place to control risks.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Design an information security program to control the identified risks, commensurate with the sensitivity of the information as well as the complexity and scope of the licensee’s activities.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Train staff, as appropriate, to implement the licensee’s information security program.</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Regularly test or otherwise regularly monitor the key controls, systems and procedures of the information security program. The frequency and nature of these tests or other monitoring practices are determined by the licensee’s risk assessment.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Exercise appropriate due diligence in selecting service providers.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Require service providers to implement appropriate measures designed to meet the objectives of rule </w:t>
      </w:r>
      <w:hyperlink r:id="rId128">
        <w:r>
          <w:rPr>
            <w:rStyle w:val="Hyperlink"/>
            <w:rFonts w:ascii="Times New Roman" w:hAnsi="Times New Roman"/>
            <w:b w:val="false"/>
            <w:i w:val="false"/>
            <w:color w:val="000000"/>
            <w:sz w:val="22"/>
          </w:rPr>
          <w:t>191—90.37</w:t>
        </w:r>
      </w:hyperlink>
      <w:r>
        <w:rPr>
          <w:rFonts w:ascii="Times New Roman" w:hAnsi="Times New Roman"/>
          <w:b w:val="false"/>
          <w:i w:val="false"/>
          <w:color w:val="000000"/>
          <w:sz w:val="22"/>
        </w:rPr>
        <w:t>(505) and, when indicated by the licensee’s risk assessment, take appropriate steps to confirm that service providers have satisfied these obligations.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Monitor, evaluate and adjust, as appropriate, the information security program in light of any relevant changes in technology, the sensitivity of customer information, internal or external threats to information, and the licensee’s own changing business arrangements, such as mergers and acquisitions, alliances and joint ventures, outsourcing arrangements and changes to customer information systems.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191—90.39</w:t>
      </w:r>
      <w:r>
        <w:rPr>
          <w:rFonts w:ascii="Times New Roman" w:hAnsi="Times New Roman"/>
          <w:b/>
          <w:i w:val="false"/>
          <w:color w:val="000000"/>
          <w:sz w:val="22"/>
        </w:rPr>
        <w:t xml:space="preserve">(505)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An insurer, producer or licensee that violates a requirement of these rules shall be subject to the penalties imposed under Iowa Code chapter </w:t>
      </w:r>
      <w:hyperlink r:id="rId129">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in addition to any other penalties provided by the laws of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191—90.40</w:t>
      </w:r>
      <w:r>
        <w:rPr>
          <w:rFonts w:ascii="Times New Roman" w:hAnsi="Times New Roman"/>
          <w:b/>
          <w:i w:val="false"/>
          <w:color w:val="000000"/>
          <w:sz w:val="22"/>
        </w:rPr>
        <w:t xml:space="preserve">(505) </w:t>
      </w:r>
      <w:r>
        <w:rPr>
          <w:rFonts w:ascii="Times New Roman" w:hAnsi="Times New Roman"/>
          <w:b/>
          <w:i w:val="false"/>
          <w:color w:val="000000"/>
          <w:sz w:val="22"/>
        </w:rPr>
        <w:t xml:space="preserve">Effective date. </w:t>
      </w:r>
      <w:r>
        <w:rPr>
          <w:rFonts w:ascii="Times New Roman" w:hAnsi="Times New Roman"/>
          <w:b w:val="false"/>
          <w:i w:val="false"/>
          <w:color w:val="000000"/>
          <w:sz w:val="22"/>
        </w:rPr>
        <w:t>Each licensee shall establish and implement an information security program, including appropriate policies and systems, by June 30, 2003.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0">
        <w:r>
          <w:rPr>
            <w:rStyle w:val="Hyperlink"/>
            <w:rFonts w:ascii="Times New Roman" w:hAnsi="Times New Roman"/>
            <w:b w:val="false"/>
            <w:i w:val="false"/>
            <w:color w:val="000000"/>
            <w:sz w:val="22"/>
          </w:rPr>
          <w:t>505.8(6)</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P.L.</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106-102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2"/>
        </w:rPr>
        <w:t>APPENDIX A</w:t>
      </w:r>
    </w:p>
    <w:p>
      <w:pPr>
        <w:spacing w:before="0" w:after="0"/>
        <w:ind w:left="120"/>
        <w:jc w:val="center"/>
      </w:pPr>
      <w:r>
        <w:rPr>
          <w:rFonts w:ascii="Times New Roman" w:hAnsi="Times New Roman"/>
          <w:b w:val="false"/>
          <w:i w:val="false"/>
          <w:color w:val="000000"/>
          <w:sz w:val="22"/>
        </w:rPr>
        <w:t>SAMPLE CLAUSES</w:t>
      </w:r>
    </w:p>
    <w:p>
      <w:pPr>
        <w:spacing w:before="0" w:after="0"/>
        <w:ind w:left="120"/>
        <w:jc w:val="both"/>
      </w:pPr>
      <w:r>
        <w:rPr>
          <w:rFonts w:ascii="Times New Roman" w:hAnsi="Times New Roman"/>
          <w:b w:val="false"/>
          <w:i w:val="false"/>
          <w:color w:val="000000"/>
          <w:sz w:val="22"/>
        </w:rPr>
        <w:t>Licensees, including a group of financial holding company affiliates that use a common privacy notice, may use the following sample clauses, if the clause is accurate for each institution that uses the notice. (Note that disclosure of certain information, such as assets, income and information from a consumer reporting agency, may give rise to obligations under the federal Fair Credit Reporting Act, such as a requirement to permit a consumer to opt out of disclosures to affiliates or designation as a consumer reporting agency if disclosures are made to nonaffiliated third parties.)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A-1 Categories of information a licensee collects (all institutions)</w:t>
      </w:r>
    </w:p>
    <w:p>
      <w:pPr>
        <w:spacing w:before="0" w:after="0"/>
        <w:ind w:left="120"/>
        <w:jc w:val="both"/>
      </w:pPr>
      <w:r>
        <w:rPr>
          <w:rFonts w:ascii="Times New Roman" w:hAnsi="Times New Roman"/>
          <w:b w:val="false"/>
          <w:i w:val="false"/>
          <w:color w:val="000000"/>
          <w:sz w:val="22"/>
        </w:rPr>
        <w:t xml:space="preserve">A licensee may use this clause, as applicable, to meet the requirements of paragraph </w:t>
      </w:r>
      <w:hyperlink r:id="rId131">
        <w:r>
          <w:rPr>
            <w:rStyle w:val="Hyperlink"/>
            <w:rFonts w:ascii="Times New Roman" w:hAnsi="Times New Roman"/>
            <w:b w:val="false"/>
            <w:i w:val="false"/>
            <w:color w:val="000000"/>
            <w:sz w:val="22"/>
          </w:rPr>
          <w:t>90.5(1)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describe the categories of nonpublic personal financial information the licensee collects.</w:t>
      </w:r>
    </w:p>
    <w:p>
      <w:pPr>
        <w:spacing w:before="0" w:after="0"/>
        <w:ind w:left="120"/>
        <w:jc w:val="both"/>
      </w:pPr>
      <w:r>
        <w:rPr>
          <w:rFonts w:ascii="Times New Roman" w:hAnsi="Times New Roman"/>
          <w:b w:val="false"/>
          <w:i w:val="false"/>
          <w:color w:val="000000"/>
          <w:sz w:val="22"/>
        </w:rPr>
        <w:t>Sample Clause A-1:</w:t>
      </w:r>
    </w:p>
    <w:p>
      <w:pPr>
        <w:spacing w:before="0" w:after="0"/>
        <w:ind w:left="120"/>
        <w:jc w:val="both"/>
      </w:pPr>
      <w:r>
        <w:rPr>
          <w:rFonts w:ascii="Times New Roman" w:hAnsi="Times New Roman"/>
          <w:b w:val="false"/>
          <w:i w:val="false"/>
          <w:color w:val="000000"/>
          <w:sz w:val="22"/>
        </w:rPr>
        <w:t>We collect nonpublic personal information about you from the following sources: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Information we receive from you on applications or other forms;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Information about your transactions with us, our affiliates or others; and</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Information we receive from a consumer reporting agency.</w:t>
      </w:r>
      <w:r>
        <w:br/>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A-2 Categories of information that a licensee discloses (institutions that disclose outside of the exceptions)</w:t>
      </w:r>
    </w:p>
    <w:p>
      <w:pPr>
        <w:spacing w:before="0" w:after="0"/>
        <w:ind w:left="120"/>
        <w:jc w:val="both"/>
      </w:pPr>
      <w:r>
        <w:rPr>
          <w:rFonts w:ascii="Times New Roman" w:hAnsi="Times New Roman"/>
          <w:b w:val="false"/>
          <w:i w:val="false"/>
          <w:color w:val="000000"/>
          <w:sz w:val="22"/>
        </w:rPr>
        <w:t xml:space="preserve">A licensee may use one of these clauses, as applicable, to meet the requirements of paragraph </w:t>
      </w:r>
      <w:hyperlink r:id="rId132">
        <w:r>
          <w:rPr>
            <w:rStyle w:val="Hyperlink"/>
            <w:rFonts w:ascii="Times New Roman" w:hAnsi="Times New Roman"/>
            <w:b w:val="false"/>
            <w:i w:val="false"/>
            <w:color w:val="000000"/>
            <w:sz w:val="22"/>
          </w:rPr>
          <w:t>90.5(1)</w:t>
        </w:r>
      </w:hyperlink>
      <w:r>
        <w:rPr>
          <w:rFonts w:ascii="Times New Roman" w:hAnsi="Times New Roman"/>
          <w:b w:val="false"/>
          <w:i/>
          <w:color w:val="000000"/>
          <w:sz w:val="22"/>
        </w:rPr>
        <w:t>“b”</w:t>
      </w:r>
      <w:r>
        <w:rPr>
          <w:rFonts w:ascii="Times New Roman" w:hAnsi="Times New Roman"/>
          <w:b w:val="false"/>
          <w:i w:val="false"/>
          <w:color w:val="000000"/>
          <w:sz w:val="22"/>
        </w:rPr>
        <w:t xml:space="preserve"> to describe the categories of nonpublic personal information the licensee discloses. The licensee may use these clauses if it discloses nonpublic personal information other than as permitted by the exceptions in rules 191—</w:t>
      </w:r>
      <w:hyperlink r:id="rId133">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(505), 191—</w:t>
      </w:r>
      <w:hyperlink r:id="rId134">
        <w:r>
          <w:rPr>
            <w:rStyle w:val="Hyperlink"/>
            <w:rFonts w:ascii="Times New Roman" w:hAnsi="Times New Roman"/>
            <w:b w:val="false"/>
            <w:i w:val="false"/>
            <w:color w:val="000000"/>
            <w:sz w:val="22"/>
          </w:rPr>
          <w:t>90.15</w:t>
        </w:r>
      </w:hyperlink>
      <w:r>
        <w:rPr>
          <w:rFonts w:ascii="Times New Roman" w:hAnsi="Times New Roman"/>
          <w:b w:val="false"/>
          <w:i w:val="false"/>
          <w:color w:val="000000"/>
          <w:sz w:val="22"/>
        </w:rPr>
        <w:t>(505), and 191—</w:t>
      </w:r>
      <w:hyperlink r:id="rId135">
        <w:r>
          <w:rPr>
            <w:rStyle w:val="Hyperlink"/>
            <w:rFonts w:ascii="Times New Roman" w:hAnsi="Times New Roman"/>
            <w:b w:val="false"/>
            <w:i w:val="false"/>
            <w:color w:val="000000"/>
            <w:sz w:val="22"/>
          </w:rPr>
          <w:t>90.16</w:t>
        </w:r>
      </w:hyperlink>
      <w:r>
        <w:rPr>
          <w:rFonts w:ascii="Times New Roman" w:hAnsi="Times New Roman"/>
          <w:b w:val="false"/>
          <w:i w:val="false"/>
          <w:color w:val="000000"/>
          <w:sz w:val="22"/>
        </w:rPr>
        <w:t>(505).</w:t>
      </w:r>
    </w:p>
    <w:p>
      <w:pPr>
        <w:spacing w:before="0" w:after="0"/>
        <w:ind w:left="120"/>
        <w:jc w:val="both"/>
      </w:pPr>
      <w:r>
        <w:rPr>
          <w:rFonts w:ascii="Times New Roman" w:hAnsi="Times New Roman"/>
          <w:b w:val="false"/>
          <w:i w:val="false"/>
          <w:color w:val="000000"/>
          <w:sz w:val="22"/>
        </w:rPr>
        <w:t>Sample Clause A-2, Alternative 1:</w:t>
      </w:r>
    </w:p>
    <w:p>
      <w:pPr>
        <w:spacing w:before="0" w:after="0"/>
        <w:ind w:left="120"/>
        <w:jc w:val="both"/>
      </w:pPr>
      <w:r>
        <w:rPr>
          <w:rFonts w:ascii="Times New Roman" w:hAnsi="Times New Roman"/>
          <w:b w:val="false"/>
          <w:i w:val="false"/>
          <w:color w:val="000000"/>
          <w:sz w:val="22"/>
        </w:rPr>
        <w:t>We may disclose the following kinds of nonpublic personal information about you:</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Information we receive from you on applications or other forms, such as (provide illustrative examples, such as “your name, address, social security number, assets, income, and beneficiaries”);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Information about your transactions with us, our affiliates or others, such as (provide illustrative examples, such as “your policy coverage, premiums, and payment history”); and</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Information we receive from a consumer reporting agency, such as (provide illustrative examples, such as “your creditworthiness and credit history”).</w:t>
      </w:r>
    </w:p>
    <w:p>
      <w:pPr>
        <w:spacing w:before="0" w:after="0"/>
        <w:ind w:left="120"/>
        <w:jc w:val="both"/>
      </w:pPr>
      <w:r>
        <w:rPr>
          <w:rFonts w:ascii="Times New Roman" w:hAnsi="Times New Roman"/>
          <w:b w:val="false"/>
          <w:i w:val="false"/>
          <w:color w:val="000000"/>
          <w:sz w:val="22"/>
        </w:rPr>
        <w:t>Sample Clause A-2, Alternative 2:</w:t>
      </w:r>
    </w:p>
    <w:p>
      <w:pPr>
        <w:spacing w:before="0" w:after="0"/>
        <w:ind w:left="120"/>
        <w:jc w:val="both"/>
      </w:pPr>
      <w:r>
        <w:rPr>
          <w:rFonts w:ascii="Times New Roman" w:hAnsi="Times New Roman"/>
          <w:b w:val="false"/>
          <w:i w:val="false"/>
          <w:color w:val="000000"/>
          <w:sz w:val="22"/>
        </w:rPr>
        <w:t>We may disclose all of the information that we collect as described (describe location in the notice, such as “above” or “below”).</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A-3 Categories of information that a licensee discloses and parties to whom the licensee discloses (institutions that do not disclose outside of the exceptions)</w:t>
      </w:r>
    </w:p>
    <w:p>
      <w:pPr>
        <w:spacing w:before="0" w:after="0"/>
        <w:ind w:left="120"/>
        <w:jc w:val="both"/>
      </w:pPr>
      <w:r>
        <w:rPr>
          <w:rFonts w:ascii="Times New Roman" w:hAnsi="Times New Roman"/>
          <w:b w:val="false"/>
          <w:i w:val="false"/>
          <w:color w:val="000000"/>
          <w:sz w:val="22"/>
        </w:rPr>
        <w:t xml:space="preserve">A licensee may use this clause, as applicable, to meet the requirements of paragraphs </w:t>
      </w:r>
      <w:hyperlink r:id="rId136">
        <w:r>
          <w:rPr>
            <w:rStyle w:val="Hyperlink"/>
            <w:rFonts w:ascii="Times New Roman" w:hAnsi="Times New Roman"/>
            <w:b w:val="false"/>
            <w:i w:val="false"/>
            <w:color w:val="000000"/>
            <w:sz w:val="22"/>
          </w:rPr>
          <w:t>90.5(1)</w:t>
        </w:r>
      </w:hyperlink>
      <w:r>
        <w:rPr>
          <w:rFonts w:ascii="Times New Roman" w:hAnsi="Times New Roman"/>
          <w:b w:val="false"/>
          <w:i/>
          <w:color w:val="000000"/>
          <w:sz w:val="22"/>
        </w:rPr>
        <w:t>“b,” “c,”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to describe the categories of nonpublic personal information about customers and former customers that the licensee discloses and the categories of affiliates and nonaffiliated third parties to whom the licensee discloses. A licensee may use this clause if the licensee does not disclose nonpublic personal information to any party, other than as permitted by the exceptions in rules 191—</w:t>
      </w:r>
      <w:hyperlink r:id="rId137">
        <w:r>
          <w:rPr>
            <w:rStyle w:val="Hyperlink"/>
            <w:rFonts w:ascii="Times New Roman" w:hAnsi="Times New Roman"/>
            <w:b w:val="false"/>
            <w:i w:val="false"/>
            <w:color w:val="000000"/>
            <w:sz w:val="22"/>
          </w:rPr>
          <w:t>90.13</w:t>
        </w:r>
      </w:hyperlink>
      <w:r>
        <w:rPr>
          <w:rFonts w:ascii="Times New Roman" w:hAnsi="Times New Roman"/>
          <w:b w:val="false"/>
          <w:i w:val="false"/>
          <w:color w:val="000000"/>
          <w:sz w:val="22"/>
        </w:rPr>
        <w:t>(505) and 191—</w:t>
      </w:r>
      <w:hyperlink r:id="rId138">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(505).</w:t>
      </w:r>
    </w:p>
    <w:p>
      <w:pPr>
        <w:spacing w:before="0" w:after="0"/>
        <w:ind w:left="120"/>
        <w:jc w:val="both"/>
      </w:pPr>
      <w:r>
        <w:rPr>
          <w:rFonts w:ascii="Times New Roman" w:hAnsi="Times New Roman"/>
          <w:b w:val="false"/>
          <w:i w:val="false"/>
          <w:color w:val="000000"/>
          <w:sz w:val="22"/>
        </w:rPr>
        <w:t>Sample Clause A-3:</w:t>
      </w:r>
    </w:p>
    <w:p>
      <w:pPr>
        <w:spacing w:before="0" w:after="0"/>
        <w:ind w:left="120"/>
        <w:jc w:val="both"/>
      </w:pPr>
      <w:r>
        <w:rPr>
          <w:rFonts w:ascii="Times New Roman" w:hAnsi="Times New Roman"/>
          <w:b w:val="false"/>
          <w:i w:val="false"/>
          <w:color w:val="000000"/>
          <w:sz w:val="22"/>
        </w:rPr>
        <w:t>We do not disclose any nonpublic personal information about our customers or former customers to anyone, except as permitted by law.</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A-4 Categories of parties to whom a licensee discloses (institutions that disclose outside of the exceptions)</w:t>
      </w:r>
    </w:p>
    <w:p>
      <w:pPr>
        <w:spacing w:before="0" w:after="0"/>
        <w:ind w:left="120"/>
        <w:jc w:val="both"/>
      </w:pPr>
      <w:r>
        <w:rPr>
          <w:rFonts w:ascii="Times New Roman" w:hAnsi="Times New Roman"/>
          <w:b w:val="false"/>
          <w:i w:val="false"/>
          <w:color w:val="000000"/>
          <w:sz w:val="22"/>
        </w:rPr>
        <w:t xml:space="preserve">A licensee may use this clause, as applicable, to meet the requirements of paragraph </w:t>
      </w:r>
      <w:hyperlink r:id="rId139">
        <w:r>
          <w:rPr>
            <w:rStyle w:val="Hyperlink"/>
            <w:rFonts w:ascii="Times New Roman" w:hAnsi="Times New Roman"/>
            <w:b w:val="false"/>
            <w:i w:val="false"/>
            <w:color w:val="000000"/>
            <w:sz w:val="22"/>
          </w:rPr>
          <w:t>90.5(1)</w:t>
        </w:r>
      </w:hyperlink>
      <w:r>
        <w:rPr>
          <w:rFonts w:ascii="Times New Roman" w:hAnsi="Times New Roman"/>
          <w:b w:val="false"/>
          <w:i/>
          <w:color w:val="000000"/>
          <w:sz w:val="22"/>
        </w:rPr>
        <w:t>“c”</w:t>
      </w:r>
      <w:r>
        <w:rPr>
          <w:rFonts w:ascii="Times New Roman" w:hAnsi="Times New Roman"/>
          <w:b w:val="false"/>
          <w:i w:val="false"/>
          <w:color w:val="000000"/>
          <w:sz w:val="22"/>
        </w:rPr>
        <w:t xml:space="preserve"> to describe the categories of affiliates and nonaffiliated third parties to whom the licensee discloses nonpublic personal information. This clause may be used if the licensee discloses nonpublic personal information other than as permitted by exceptions to rules 191—</w:t>
      </w:r>
      <w:hyperlink r:id="rId140">
        <w:r>
          <w:rPr>
            <w:rStyle w:val="Hyperlink"/>
            <w:rFonts w:ascii="Times New Roman" w:hAnsi="Times New Roman"/>
            <w:b w:val="false"/>
            <w:i w:val="false"/>
            <w:color w:val="000000"/>
            <w:sz w:val="22"/>
          </w:rPr>
          <w:t>90.12</w:t>
        </w:r>
      </w:hyperlink>
      <w:r>
        <w:rPr>
          <w:rFonts w:ascii="Times New Roman" w:hAnsi="Times New Roman"/>
          <w:b w:val="false"/>
          <w:i w:val="false"/>
          <w:color w:val="000000"/>
          <w:sz w:val="22"/>
        </w:rPr>
        <w:t>(505), 191—</w:t>
      </w:r>
      <w:hyperlink r:id="rId141">
        <w:r>
          <w:rPr>
            <w:rStyle w:val="Hyperlink"/>
            <w:rFonts w:ascii="Times New Roman" w:hAnsi="Times New Roman"/>
            <w:b w:val="false"/>
            <w:i w:val="false"/>
            <w:color w:val="000000"/>
            <w:sz w:val="22"/>
          </w:rPr>
          <w:t>90.13</w:t>
        </w:r>
      </w:hyperlink>
      <w:r>
        <w:rPr>
          <w:rFonts w:ascii="Times New Roman" w:hAnsi="Times New Roman"/>
          <w:b w:val="false"/>
          <w:i w:val="false"/>
          <w:color w:val="000000"/>
          <w:sz w:val="22"/>
        </w:rPr>
        <w:t>(505), and 191—</w:t>
      </w:r>
      <w:hyperlink r:id="rId142">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(505), as well as when permitted by the exceptions in rules 191—</w:t>
      </w:r>
      <w:hyperlink r:id="rId143">
        <w:r>
          <w:rPr>
            <w:rStyle w:val="Hyperlink"/>
            <w:rFonts w:ascii="Times New Roman" w:hAnsi="Times New Roman"/>
            <w:b w:val="false"/>
            <w:i w:val="false"/>
            <w:color w:val="000000"/>
            <w:sz w:val="22"/>
          </w:rPr>
          <w:t>90.13</w:t>
        </w:r>
      </w:hyperlink>
      <w:r>
        <w:rPr>
          <w:rFonts w:ascii="Times New Roman" w:hAnsi="Times New Roman"/>
          <w:b w:val="false"/>
          <w:i w:val="false"/>
          <w:color w:val="000000"/>
          <w:sz w:val="22"/>
        </w:rPr>
        <w:t>(505) and 191—</w:t>
      </w:r>
      <w:hyperlink r:id="rId144">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(505).</w:t>
      </w:r>
    </w:p>
    <w:p>
      <w:pPr>
        <w:spacing w:before="0" w:after="0"/>
        <w:ind w:left="120"/>
        <w:jc w:val="both"/>
      </w:pPr>
      <w:r>
        <w:rPr>
          <w:rFonts w:ascii="Times New Roman" w:hAnsi="Times New Roman"/>
          <w:b w:val="false"/>
          <w:i w:val="false"/>
          <w:color w:val="000000"/>
          <w:sz w:val="22"/>
        </w:rPr>
        <w:t>Sample Clause A-4:</w:t>
      </w:r>
    </w:p>
    <w:p>
      <w:pPr>
        <w:spacing w:before="0" w:after="0"/>
        <w:ind w:left="120"/>
        <w:jc w:val="both"/>
      </w:pPr>
      <w:r>
        <w:rPr>
          <w:rFonts w:ascii="Times New Roman" w:hAnsi="Times New Roman"/>
          <w:b w:val="false"/>
          <w:i w:val="false"/>
          <w:color w:val="000000"/>
          <w:sz w:val="22"/>
        </w:rPr>
        <w:t>We may disclose nonpublic personal information about you to the following types of third parties: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Financial service providers, such as (provide illustrative examples, such as “life insurers, automobile insurers, mortgage bankers, securities broker-dealers, and insurance agents”);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Nonfinancial companies, such as (provide illustrative examples, such as “retailers, direct marketers, airlines, and publishers”); and</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Others, such as (provide illustrative examples, such as “nonprofit organizations”).</w:t>
      </w:r>
    </w:p>
    <w:p>
      <w:pPr>
        <w:spacing w:before="0" w:after="0"/>
        <w:ind w:left="120"/>
        <w:jc w:val="both"/>
      </w:pPr>
      <w:r>
        <w:rPr>
          <w:rFonts w:ascii="Times New Roman" w:hAnsi="Times New Roman"/>
          <w:b w:val="false"/>
          <w:i w:val="false"/>
          <w:color w:val="000000"/>
          <w:sz w:val="22"/>
        </w:rPr>
        <w:t>We may also disclose nonpublic personal information about you to nonaffiliated third parties as permitted by law.</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A-5 Service provider/joint marketing exception</w:t>
      </w:r>
    </w:p>
    <w:p>
      <w:pPr>
        <w:spacing w:before="0" w:after="0"/>
        <w:ind w:left="120"/>
        <w:jc w:val="both"/>
      </w:pPr>
      <w:r>
        <w:rPr>
          <w:rFonts w:ascii="Times New Roman" w:hAnsi="Times New Roman"/>
          <w:b w:val="false"/>
          <w:i w:val="false"/>
          <w:color w:val="000000"/>
          <w:sz w:val="22"/>
        </w:rPr>
        <w:t xml:space="preserve">A licensee may use one of these clauses, as applicable, to meet the requirements of paragraph </w:t>
      </w:r>
      <w:hyperlink r:id="rId145">
        <w:r>
          <w:rPr>
            <w:rStyle w:val="Hyperlink"/>
            <w:rFonts w:ascii="Times New Roman" w:hAnsi="Times New Roman"/>
            <w:b w:val="false"/>
            <w:i w:val="false"/>
            <w:color w:val="000000"/>
            <w:sz w:val="22"/>
          </w:rPr>
          <w:t>90.5(1)</w:t>
        </w:r>
      </w:hyperlink>
      <w:r>
        <w:rPr>
          <w:rFonts w:ascii="Times New Roman" w:hAnsi="Times New Roman"/>
          <w:b w:val="false"/>
          <w:i/>
          <w:color w:val="000000"/>
          <w:sz w:val="22"/>
        </w:rPr>
        <w:t>“e”</w:t>
      </w:r>
      <w:r>
        <w:rPr>
          <w:rFonts w:ascii="Times New Roman" w:hAnsi="Times New Roman"/>
          <w:b w:val="false"/>
          <w:i w:val="false"/>
          <w:color w:val="000000"/>
          <w:sz w:val="22"/>
        </w:rPr>
        <w:t xml:space="preserve"> related to the exception for service providers and joint marketers in rule 191—</w:t>
      </w:r>
      <w:hyperlink r:id="rId146">
        <w:r>
          <w:rPr>
            <w:rStyle w:val="Hyperlink"/>
            <w:rFonts w:ascii="Times New Roman" w:hAnsi="Times New Roman"/>
            <w:b w:val="false"/>
            <w:i w:val="false"/>
            <w:color w:val="000000"/>
            <w:sz w:val="22"/>
          </w:rPr>
          <w:t>90.12</w:t>
        </w:r>
      </w:hyperlink>
      <w:r>
        <w:rPr>
          <w:rFonts w:ascii="Times New Roman" w:hAnsi="Times New Roman"/>
          <w:b w:val="false"/>
          <w:i w:val="false"/>
          <w:color w:val="000000"/>
          <w:sz w:val="22"/>
        </w:rPr>
        <w:t>(505). If a licensee discloses nonpublic personal information under this exception, the licensee shall describe the categories of nonpublic personal information the licensee discloses and the categories of third parties with which the licensee has contracted.</w:t>
      </w:r>
    </w:p>
    <w:p>
      <w:pPr>
        <w:spacing w:before="0" w:after="0"/>
        <w:ind w:left="120"/>
        <w:jc w:val="both"/>
      </w:pPr>
      <w:r>
        <w:rPr>
          <w:rFonts w:ascii="Times New Roman" w:hAnsi="Times New Roman"/>
          <w:b w:val="false"/>
          <w:i w:val="false"/>
          <w:color w:val="000000"/>
          <w:sz w:val="22"/>
        </w:rPr>
        <w:t>Sample Clause A-5, Alternative 1:</w:t>
      </w:r>
    </w:p>
    <w:p>
      <w:pPr>
        <w:spacing w:before="0" w:after="0"/>
        <w:ind w:left="120"/>
        <w:jc w:val="both"/>
      </w:pPr>
      <w:r>
        <w:rPr>
          <w:rFonts w:ascii="Times New Roman" w:hAnsi="Times New Roman"/>
          <w:b w:val="false"/>
          <w:i w:val="false"/>
          <w:color w:val="000000"/>
          <w:sz w:val="22"/>
        </w:rPr>
        <w:t>We may disclose the following information to companies that perform marketing services on our behalf or to other financial institutions with which we have joint marketing agreements: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Information we receive from you on applications or other forms, such as (provide illustrative examples, such as “your name, address, social security number, assets, income, and beneficiaries”);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Information about your transactions with us, our affiliates or others, such as (provide illustrative examples, such as “your policy coverage, premium, and pay history”); and</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Information we receive from a consumer reporting agency, such as (provide illustrative examples, such as “your creditworthiness and credit history”).</w:t>
      </w:r>
    </w:p>
    <w:p>
      <w:pPr>
        <w:spacing w:before="0" w:after="0"/>
        <w:ind w:left="120"/>
        <w:jc w:val="both"/>
      </w:pPr>
      <w:r>
        <w:rPr>
          <w:rFonts w:ascii="Times New Roman" w:hAnsi="Times New Roman"/>
          <w:b w:val="false"/>
          <w:i w:val="false"/>
          <w:color w:val="000000"/>
          <w:sz w:val="22"/>
        </w:rPr>
        <w:t>Sample Clause A-5, Alternative 2:</w:t>
      </w:r>
    </w:p>
    <w:p>
      <w:pPr>
        <w:spacing w:before="0" w:after="0"/>
        <w:ind w:left="120"/>
        <w:jc w:val="both"/>
      </w:pPr>
      <w:r>
        <w:rPr>
          <w:rFonts w:ascii="Times New Roman" w:hAnsi="Times New Roman"/>
          <w:b w:val="false"/>
          <w:i w:val="false"/>
          <w:color w:val="000000"/>
          <w:sz w:val="22"/>
        </w:rPr>
        <w:t>We may disclose all of the information we collect, as described (describe location in the notice, such as “above” or “below”), to companies that perform marketing services on our behalf or to other financial institutions with whom we have joint marketing agreements.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A-6 Explanation of opt-out right (institutions that disclose outside of the exception)</w:t>
      </w:r>
    </w:p>
    <w:p>
      <w:pPr>
        <w:spacing w:before="0" w:after="0"/>
        <w:ind w:left="120"/>
        <w:jc w:val="both"/>
      </w:pPr>
      <w:r>
        <w:rPr>
          <w:rFonts w:ascii="Times New Roman" w:hAnsi="Times New Roman"/>
          <w:b w:val="false"/>
          <w:i w:val="false"/>
          <w:color w:val="000000"/>
          <w:sz w:val="22"/>
        </w:rPr>
        <w:t xml:space="preserve">A licensee may use this clause, as applicable, to meet the requirement of paragraph </w:t>
      </w:r>
      <w:hyperlink r:id="rId147">
        <w:r>
          <w:rPr>
            <w:rStyle w:val="Hyperlink"/>
            <w:rFonts w:ascii="Times New Roman" w:hAnsi="Times New Roman"/>
            <w:b w:val="false"/>
            <w:i w:val="false"/>
            <w:color w:val="000000"/>
            <w:sz w:val="22"/>
          </w:rPr>
          <w:t>90.5(1)</w:t>
        </w:r>
      </w:hyperlink>
      <w:r>
        <w:rPr>
          <w:rFonts w:ascii="Times New Roman" w:hAnsi="Times New Roman"/>
          <w:b w:val="false"/>
          <w:i/>
          <w:color w:val="000000"/>
          <w:sz w:val="22"/>
        </w:rPr>
        <w:t>“f”</w:t>
      </w:r>
      <w:r>
        <w:rPr>
          <w:rFonts w:ascii="Times New Roman" w:hAnsi="Times New Roman"/>
          <w:b w:val="false"/>
          <w:i w:val="false"/>
          <w:color w:val="000000"/>
          <w:sz w:val="22"/>
        </w:rPr>
        <w:t xml:space="preserve"> to provide an explanation of the consumer’s right to opt out of the disclosure of nonpublic personal information to nonaffiliated third parties, including the methods by which the consumer may exercise that right. The licensee may use this clause if the licensee discloses nonpublic personal information other than as permitted by the exceptions in rules 191—</w:t>
      </w:r>
      <w:hyperlink r:id="rId148">
        <w:r>
          <w:rPr>
            <w:rStyle w:val="Hyperlink"/>
            <w:rFonts w:ascii="Times New Roman" w:hAnsi="Times New Roman"/>
            <w:b w:val="false"/>
            <w:i w:val="false"/>
            <w:color w:val="000000"/>
            <w:sz w:val="22"/>
          </w:rPr>
          <w:t>90.12(505)</w:t>
        </w:r>
      </w:hyperlink>
      <w:r>
        <w:rPr>
          <w:rFonts w:ascii="Times New Roman" w:hAnsi="Times New Roman"/>
          <w:b w:val="false"/>
          <w:i w:val="false"/>
          <w:color w:val="000000"/>
          <w:sz w:val="22"/>
        </w:rPr>
        <w:t>, 191—</w:t>
      </w:r>
      <w:hyperlink r:id="rId149">
        <w:r>
          <w:rPr>
            <w:rStyle w:val="Hyperlink"/>
            <w:rFonts w:ascii="Times New Roman" w:hAnsi="Times New Roman"/>
            <w:b w:val="false"/>
            <w:i w:val="false"/>
            <w:color w:val="000000"/>
            <w:sz w:val="22"/>
          </w:rPr>
          <w:t>90.13</w:t>
        </w:r>
      </w:hyperlink>
      <w:r>
        <w:rPr>
          <w:rFonts w:ascii="Times New Roman" w:hAnsi="Times New Roman"/>
          <w:b w:val="false"/>
          <w:i w:val="false"/>
          <w:color w:val="000000"/>
          <w:sz w:val="22"/>
        </w:rPr>
        <w:t>(505), and 191—</w:t>
      </w:r>
      <w:hyperlink r:id="rId150">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(505).</w:t>
      </w:r>
    </w:p>
    <w:p>
      <w:pPr>
        <w:spacing w:before="0" w:after="0"/>
        <w:ind w:left="120"/>
        <w:jc w:val="both"/>
      </w:pPr>
      <w:r>
        <w:rPr>
          <w:rFonts w:ascii="Times New Roman" w:hAnsi="Times New Roman"/>
          <w:b w:val="false"/>
          <w:i w:val="false"/>
          <w:color w:val="000000"/>
          <w:sz w:val="22"/>
        </w:rPr>
        <w:t>Sample Clause A-6:</w:t>
      </w:r>
    </w:p>
    <w:p>
      <w:pPr>
        <w:spacing w:before="0" w:after="0"/>
        <w:ind w:left="120"/>
        <w:jc w:val="both"/>
      </w:pPr>
      <w:r>
        <w:rPr>
          <w:rFonts w:ascii="Times New Roman" w:hAnsi="Times New Roman"/>
          <w:b w:val="false"/>
          <w:i w:val="false"/>
          <w:color w:val="000000"/>
          <w:sz w:val="22"/>
        </w:rPr>
        <w:t>If you prefer that we not disclose nonpublic personal information about you to nonaffiliated third parties, you may opt out of those disclosures, that is, you may direct us not to make those disclosures (other than disclosures permitted by law). If you wish to opt out of disclosures to nonaffiliated third parties, you may (describe a reasonable means of opting out, such as “call the following toll-free number: (insert number)”).</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A-7 Confidentiality and security (all institutions)</w:t>
      </w:r>
    </w:p>
    <w:p>
      <w:pPr>
        <w:spacing w:before="0" w:after="0"/>
        <w:ind w:left="120"/>
        <w:jc w:val="both"/>
      </w:pPr>
      <w:r>
        <w:rPr>
          <w:rFonts w:ascii="Times New Roman" w:hAnsi="Times New Roman"/>
          <w:b w:val="false"/>
          <w:i w:val="false"/>
          <w:color w:val="000000"/>
          <w:sz w:val="22"/>
        </w:rPr>
        <w:t xml:space="preserve">A licensee may use this clause, as applicable, to meet the requirement of paragraph </w:t>
      </w:r>
      <w:hyperlink r:id="rId151">
        <w:r>
          <w:rPr>
            <w:rStyle w:val="Hyperlink"/>
            <w:rFonts w:ascii="Times New Roman" w:hAnsi="Times New Roman"/>
            <w:b w:val="false"/>
            <w:i w:val="false"/>
            <w:color w:val="000000"/>
            <w:sz w:val="22"/>
          </w:rPr>
          <w:t>90.5(1)</w:t>
        </w:r>
      </w:hyperlink>
      <w:r>
        <w:rPr>
          <w:rFonts w:ascii="Times New Roman" w:hAnsi="Times New Roman"/>
          <w:b w:val="false"/>
          <w:i/>
          <w:color w:val="000000"/>
          <w:sz w:val="22"/>
        </w:rPr>
        <w:t>“h”</w:t>
      </w:r>
      <w:r>
        <w:rPr>
          <w:rFonts w:ascii="Times New Roman" w:hAnsi="Times New Roman"/>
          <w:b w:val="false"/>
          <w:i w:val="false"/>
          <w:color w:val="000000"/>
          <w:sz w:val="22"/>
        </w:rPr>
        <w:t xml:space="preserve"> to describe its policies and practices with respect to protecting the confidentiality and security of nonpublic personal information.</w:t>
      </w:r>
    </w:p>
    <w:p>
      <w:pPr>
        <w:spacing w:before="0" w:after="0"/>
        <w:ind w:left="120"/>
        <w:jc w:val="both"/>
      </w:pPr>
      <w:r>
        <w:rPr>
          <w:rFonts w:ascii="Times New Roman" w:hAnsi="Times New Roman"/>
          <w:b w:val="false"/>
          <w:i w:val="false"/>
          <w:color w:val="000000"/>
          <w:sz w:val="22"/>
        </w:rPr>
        <w:t>Sample Clause A-7:</w:t>
      </w:r>
    </w:p>
    <w:p>
      <w:pPr>
        <w:spacing w:before="0" w:after="0"/>
        <w:ind w:left="120"/>
        <w:jc w:val="both"/>
      </w:pPr>
      <w:r>
        <w:rPr>
          <w:rFonts w:ascii="Times New Roman" w:hAnsi="Times New Roman"/>
          <w:b w:val="false"/>
          <w:i w:val="false"/>
          <w:color w:val="000000"/>
          <w:sz w:val="22"/>
        </w:rPr>
        <w:t>We restrict access to nonpublic personal information about you to (provide an appropriate description, such as “those employees who need to know that information to provide products or services to you”). We maintain physical, electronic, and procedural safeguards that comply with federal regulations to guard your nonpublic personal information.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7741C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11/9/00—published 11/29/00, effective 11/13/00]</w:t>
      </w:r>
    </w:p>
    <w:p>
      <w:pPr>
        <w:spacing w:before="0" w:after="0"/>
        <w:ind w:left="120"/>
        <w:jc w:val="center"/>
      </w:pPr>
      <w:r>
        <w:rPr>
          <w:rFonts w:ascii="Times New Roman" w:hAnsi="Times New Roman"/>
          <w:b w:val="false"/>
          <w:i w:val="false"/>
          <w:color w:val="000000"/>
          <w:sz w:val="21"/>
        </w:rPr>
        <w:t>[Filed 4/12/01, Notice 11/29/00—published 5/2/01, effective 7/1/01]</w:t>
      </w:r>
    </w:p>
    <w:p>
      <w:pPr>
        <w:spacing w:before="0" w:after="0"/>
        <w:ind w:left="120"/>
        <w:jc w:val="center"/>
      </w:pPr>
      <w:r>
        <w:rPr>
          <w:rFonts w:ascii="Times New Roman" w:hAnsi="Times New Roman"/>
          <w:b w:val="false"/>
          <w:i w:val="false"/>
          <w:color w:val="000000"/>
          <w:sz w:val="21"/>
        </w:rPr>
        <w:t>[Filed 11/2/01, Notice 8/8/01—published 11/28/01, effective 1/2/02]</w:t>
      </w:r>
    </w:p>
    <w:p>
      <w:pPr>
        <w:spacing w:before="0" w:after="0"/>
        <w:ind w:left="120"/>
        <w:jc w:val="center"/>
      </w:pPr>
      <w:r>
        <w:rPr>
          <w:rFonts w:ascii="Times New Roman" w:hAnsi="Times New Roman"/>
          <w:b w:val="false"/>
          <w:i w:val="false"/>
          <w:color w:val="000000"/>
          <w:sz w:val="21"/>
        </w:rPr>
        <w:t>[Filed 9/27/02, Notice 7/24/02—published 10/16/02, effective 11/20/02]</w:t>
      </w:r>
    </w:p>
    <w:p>
      <w:pPr>
        <w:spacing w:before="0" w:after="0"/>
        <w:ind w:left="120"/>
        <w:jc w:val="center"/>
      </w:pPr>
      <w:r>
        <w:rPr>
          <w:rFonts w:ascii="Times New Roman" w:hAnsi="Times New Roman"/>
          <w:b w:val="false"/>
          <w:i w:val="false"/>
          <w:color w:val="000000"/>
          <w:sz w:val="21"/>
        </w:rPr>
        <w:t>[Filed 2/28/03, Notice 1/22/03—published 3/19/03, effective 4/23/03]</w:t>
      </w:r>
    </w:p>
    <w:p>
      <w:pPr>
        <w:spacing w:before="0" w:after="0"/>
        <w:ind w:left="120"/>
        <w:jc w:val="center"/>
      </w:pPr>
      <w:r>
        <w:rPr>
          <w:rFonts w:ascii="Times New Roman" w:hAnsi="Times New Roman"/>
          <w:b w:val="false"/>
          <w:i w:val="false"/>
          <w:color w:val="000000"/>
          <w:sz w:val="21"/>
        </w:rPr>
        <w:t>[Filed ARC 2873C</w:t>
      </w:r>
      <w:r>
        <w:rPr>
          <w:rFonts w:ascii="Times New Roman" w:hAnsi="Times New Roman"/>
          <w:b w:val="false"/>
          <w:i w:val="false"/>
          <w:color w:val="000000"/>
          <w:sz w:val="21"/>
        </w:rPr>
        <w:t xml:space="preserve"> (Notice ARC 2788C, IAB 10/26/16)</w:t>
      </w:r>
      <w:r>
        <w:rPr>
          <w:rFonts w:ascii="Times New Roman" w:hAnsi="Times New Roman"/>
          <w:b w:val="false"/>
          <w:i w:val="false"/>
          <w:color w:val="000000"/>
          <w:sz w:val="21"/>
        </w:rPr>
        <w:t>, IAB 12/21/16, effective 1/25/17]</w:t>
      </w:r>
    </w:p>
    <w:p>
      <w:pPr>
        <w:spacing w:before="0" w:after="0"/>
        <w:ind w:left="120"/>
        <w:jc w:val="center"/>
      </w:pPr>
      <w:r>
        <w:rPr>
          <w:rFonts w:ascii="Times New Roman" w:hAnsi="Times New Roman"/>
          <w:b w:val="false"/>
          <w:i w:val="false"/>
          <w:color w:val="000000"/>
          <w:sz w:val="21"/>
        </w:rPr>
        <w:t>[Filed ARC 7741C</w:t>
      </w:r>
      <w:r>
        <w:rPr>
          <w:rFonts w:ascii="Times New Roman" w:hAnsi="Times New Roman"/>
          <w:b w:val="false"/>
          <w:i w:val="false"/>
          <w:color w:val="000000"/>
          <w:sz w:val="21"/>
        </w:rPr>
        <w:t xml:space="preserve"> (Notice ARC 7356C, IAB 1/24/24)</w:t>
      </w:r>
      <w:r>
        <w:rPr>
          <w:rFonts w:ascii="Times New Roman" w:hAnsi="Times New Roman"/>
          <w:b w:val="false"/>
          <w:i w:val="false"/>
          <w:color w:val="000000"/>
          <w:sz w:val="21"/>
        </w:rPr>
        <w:t>, IAB 3/20/24, effective 4/24/24]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1.90.12.pdf" Type="http://schemas.openxmlformats.org/officeDocument/2006/relationships/hyperlink" Id="rId5"/>
    <Relationship TargetMode="External" Target="https://www.legis.iowa.gov/docs/iac/rule/191.90.13.pdf" Type="http://schemas.openxmlformats.org/officeDocument/2006/relationships/hyperlink" Id="rId6"/>
    <Relationship TargetMode="External" Target="https://www.legis.iowa.gov/docs/iac/rule/191.90.14.pdf" Type="http://schemas.openxmlformats.org/officeDocument/2006/relationships/hyperlink" Id="rId7"/>
    <Relationship TargetMode="External" Target="https://www.legis.iowa.gov/docs/iac/rule/191.90.3.pdf" Type="http://schemas.openxmlformats.org/officeDocument/2006/relationships/hyperlink" Id="rId8"/>
    <Relationship TargetMode="External" Target="https://www.legis.iowa.gov/docs/iac/rule/191.90.4.pdf" Type="http://schemas.openxmlformats.org/officeDocument/2006/relationships/hyperlink" Id="rId9"/>
    <Relationship TargetMode="External" Target="https://www.legis.iowa.gov/docs/iac/rule/191.90.7.pdf" Type="http://schemas.openxmlformats.org/officeDocument/2006/relationships/hyperlink" Id="rId10"/>
    <Relationship TargetMode="External" Target="https://www.legis.iowa.gov/docs/iac/rule/191.90.12.pdf" Type="http://schemas.openxmlformats.org/officeDocument/2006/relationships/hyperlink" Id="rId11"/>
    <Relationship TargetMode="External" Target="https://www.legis.iowa.gov/docs/iac/rule/191.90.13.pdf" Type="http://schemas.openxmlformats.org/officeDocument/2006/relationships/hyperlink" Id="rId12"/>
    <Relationship TargetMode="External" Target="https://www.legis.iowa.gov/docs/iac/rule/191.90.14.pdf" Type="http://schemas.openxmlformats.org/officeDocument/2006/relationships/hyperlink" Id="rId13"/>
    <Relationship TargetMode="External" Target="https://www.legis.iowa.gov/docs/iac/rule/191.90.12.pdf" Type="http://schemas.openxmlformats.org/officeDocument/2006/relationships/hyperlink" Id="rId14"/>
    <Relationship TargetMode="External" Target="https://www.legis.iowa.gov/docs/iac/rule/191.90.13.pdf" Type="http://schemas.openxmlformats.org/officeDocument/2006/relationships/hyperlink" Id="rId15"/>
    <Relationship TargetMode="External" Target="https://www.legis.iowa.gov/docs/iac/rule/191.90.14.pdf" Type="http://schemas.openxmlformats.org/officeDocument/2006/relationships/hyperlink" Id="rId16"/>
    <Relationship TargetMode="External" Target="https://www.legis.iowa.gov/docs/iac/rule/191.90.3.pdf" Type="http://schemas.openxmlformats.org/officeDocument/2006/relationships/hyperlink" Id="rId17"/>
    <Relationship TargetMode="External" Target="https://www.legis.iowa.gov/docs/iac/rule/191.90.13.pdf" Type="http://schemas.openxmlformats.org/officeDocument/2006/relationships/hyperlink" Id="rId18"/>
    <Relationship TargetMode="External" Target="https://www.legis.iowa.gov/docs/iac/rule/191.90.14.pdf" Type="http://schemas.openxmlformats.org/officeDocument/2006/relationships/hyperlink" Id="rId19"/>
    <Relationship TargetMode="External" Target="https://www.legis.iowa.gov/docs/iac/rule/191.90.3.pdf" Type="http://schemas.openxmlformats.org/officeDocument/2006/relationships/hyperlink" Id="rId20"/>
    <Relationship TargetMode="External" Target="https://www.legis.iowa.gov/docs/iac/rule/191.90.13.pdf" Type="http://schemas.openxmlformats.org/officeDocument/2006/relationships/hyperlink" Id="rId21"/>
    <Relationship TargetMode="External" Target="https://www.legis.iowa.gov/docs/iac/rule/191.90.14.pdf" Type="http://schemas.openxmlformats.org/officeDocument/2006/relationships/hyperlink" Id="rId22"/>
    <Relationship TargetMode="External" Target="https://www.legis.iowa.gov/docs/iac/rule/191.90.3.pdf" Type="http://schemas.openxmlformats.org/officeDocument/2006/relationships/hyperlink" Id="rId23"/>
    <Relationship TargetMode="External" Target="https://www.legis.iowa.gov/docs/iac/rule/191.90.7.pdf" Type="http://schemas.openxmlformats.org/officeDocument/2006/relationships/hyperlink" Id="rId24"/>
    <Relationship TargetMode="External" Target="https://www.legis.iowa.gov/docs/iac/rule/191.90.3.pdf" Type="http://schemas.openxmlformats.org/officeDocument/2006/relationships/hyperlink" Id="rId25"/>
    <Relationship TargetMode="External" Target="https://www.legis.iowa.gov/docs/iac/rule/191.90.3.pdf" Type="http://schemas.openxmlformats.org/officeDocument/2006/relationships/hyperlink" Id="rId26"/>
    <Relationship TargetMode="External" Target="https://www.legis.iowa.gov/docs/iac/rule/191.90.8.pdf" Type="http://schemas.openxmlformats.org/officeDocument/2006/relationships/hyperlink" Id="rId27"/>
    <Relationship TargetMode="External" Target="https://www.legis.iowa.gov/docs/iac/rule/191.90.5.pdf" Type="http://schemas.openxmlformats.org/officeDocument/2006/relationships/hyperlink" Id="rId28"/>
    <Relationship TargetMode="External" Target="https://www.legis.iowa.gov/docs/iac/rule/191.90.5.pdf" Type="http://schemas.openxmlformats.org/officeDocument/2006/relationships/hyperlink" Id="rId29"/>
    <Relationship TargetMode="External" Target="https://www.legis.iowa.gov/docs/iac/rule/191.90.8.pdf" Type="http://schemas.openxmlformats.org/officeDocument/2006/relationships/hyperlink" Id="rId30"/>
    <Relationship TargetMode="External" Target="https://www.legis.iowa.gov/docs/iac/rule/191.90.3.pdf" Type="http://schemas.openxmlformats.org/officeDocument/2006/relationships/hyperlink" Id="rId31"/>
    <Relationship TargetMode="External" Target="https://www.legis.iowa.gov/docs/iac/rule/191.90.12.pdf" Type="http://schemas.openxmlformats.org/officeDocument/2006/relationships/hyperlink" Id="rId32"/>
    <Relationship TargetMode="External" Target="https://www.legis.iowa.gov/docs/iac/rule/191.90.13.pdf" Type="http://schemas.openxmlformats.org/officeDocument/2006/relationships/hyperlink" Id="rId33"/>
    <Relationship TargetMode="External" Target="https://www.legis.iowa.gov/docs/iac/rule/191.90.14.pdf" Type="http://schemas.openxmlformats.org/officeDocument/2006/relationships/hyperlink" Id="rId34"/>
    <Relationship TargetMode="External" Target="https://www.legis.iowa.gov/docs/iac/rule/191.90.3.pdf" Type="http://schemas.openxmlformats.org/officeDocument/2006/relationships/hyperlink" Id="rId35"/>
    <Relationship TargetMode="External" Target="https://www.legis.iowa.gov/docs/iac/rule/191.90.4.pdf" Type="http://schemas.openxmlformats.org/officeDocument/2006/relationships/hyperlink" Id="rId36"/>
    <Relationship TargetMode="External" Target="https://www.legis.iowa.gov/docs/iac/rule/191.90.7.pdf" Type="http://schemas.openxmlformats.org/officeDocument/2006/relationships/hyperlink" Id="rId37"/>
    <Relationship TargetMode="External" Target="https://www.legis.iowa.gov/docs/iac/rule/191.90.13.pdf" Type="http://schemas.openxmlformats.org/officeDocument/2006/relationships/hyperlink" Id="rId38"/>
    <Relationship TargetMode="External" Target="https://www.legis.iowa.gov/docs/iac/rule/191.90.14.pdf" Type="http://schemas.openxmlformats.org/officeDocument/2006/relationships/hyperlink" Id="rId39"/>
    <Relationship TargetMode="External" Target="https://www.legis.iowa.gov/docs/iac/rule/191.90.13.pdf" Type="http://schemas.openxmlformats.org/officeDocument/2006/relationships/hyperlink" Id="rId40"/>
    <Relationship TargetMode="External" Target="https://www.legis.iowa.gov/docs/iac/rule/191.90.14.pdf" Type="http://schemas.openxmlformats.org/officeDocument/2006/relationships/hyperlink" Id="rId41"/>
    <Relationship TargetMode="External" Target="https://www.legis.iowa.gov/docs/iac/rule/191.90.12.pdf" Type="http://schemas.openxmlformats.org/officeDocument/2006/relationships/hyperlink" Id="rId42"/>
    <Relationship TargetMode="External" Target="https://www.legis.iowa.gov/docs/iac/rule/191.90.13.pdf" Type="http://schemas.openxmlformats.org/officeDocument/2006/relationships/hyperlink" Id="rId43"/>
    <Relationship TargetMode="External" Target="https://www.legis.iowa.gov/docs/iac/rule/191.90.14.pdf" Type="http://schemas.openxmlformats.org/officeDocument/2006/relationships/hyperlink" Id="rId44"/>
    <Relationship TargetMode="External" Target="https://www.legis.iowa.gov/docs/iac/rule/191.90.9.pdf" Type="http://schemas.openxmlformats.org/officeDocument/2006/relationships/hyperlink" Id="rId45"/>
    <Relationship TargetMode="External" Target="https://www.legis.iowa.gov/docs/iac/rule/191.90.5.pdf" Type="http://schemas.openxmlformats.org/officeDocument/2006/relationships/hyperlink" Id="rId46"/>
    <Relationship TargetMode="External" Target="https://www.legis.iowa.gov/docs/iac/rule/191.90.13.pdf" Type="http://schemas.openxmlformats.org/officeDocument/2006/relationships/hyperlink" Id="rId47"/>
    <Relationship TargetMode="External" Target="https://www.legis.iowa.gov/docs/iac/rule/191.90.14.pdf" Type="http://schemas.openxmlformats.org/officeDocument/2006/relationships/hyperlink" Id="rId48"/>
    <Relationship TargetMode="External" Target="https://www.legis.iowa.gov/docs/iac/rule/191.90.3.pdf" Type="http://schemas.openxmlformats.org/officeDocument/2006/relationships/hyperlink" Id="rId49"/>
    <Relationship TargetMode="External" Target="https://www.legis.iowa.gov/docs/iac/rule/191.90.4.pdf" Type="http://schemas.openxmlformats.org/officeDocument/2006/relationships/hyperlink" Id="rId50"/>
    <Relationship TargetMode="External" Target="https://www.legis.iowa.gov/docs/iac/rule/191.90.5.pdf" Type="http://schemas.openxmlformats.org/officeDocument/2006/relationships/hyperlink" Id="rId51"/>
    <Relationship TargetMode="External" Target="https://www.legis.iowa.gov/docs/iac/rule/191.90.12.pdf" Type="http://schemas.openxmlformats.org/officeDocument/2006/relationships/hyperlink" Id="rId52"/>
    <Relationship TargetMode="External" Target="https://www.legis.iowa.gov/docs/iac/rule/191.90.5.pdf" Type="http://schemas.openxmlformats.org/officeDocument/2006/relationships/hyperlink" Id="rId53"/>
    <Relationship TargetMode="External" Target="https://www.legis.iowa.gov/docs/iac/rule/191.90.5.pdf" Type="http://schemas.openxmlformats.org/officeDocument/2006/relationships/hyperlink" Id="rId54"/>
    <Relationship TargetMode="External" Target="https://www.legis.iowa.gov/docs/iac/rule/191.90.13.pdf" Type="http://schemas.openxmlformats.org/officeDocument/2006/relationships/hyperlink" Id="rId55"/>
    <Relationship TargetMode="External" Target="https://www.legis.iowa.gov/docs/iac/rule/191.90.14.pdf" Type="http://schemas.openxmlformats.org/officeDocument/2006/relationships/hyperlink" Id="rId56"/>
    <Relationship TargetMode="External" Target="https://www.legis.iowa.gov/docs/iac/rule/191.90.5.pdf" Type="http://schemas.openxmlformats.org/officeDocument/2006/relationships/hyperlink" Id="rId57"/>
    <Relationship TargetMode="External" Target="https://www.legis.iowa.gov/docs/iac/rule/191.90.5.pdf" Type="http://schemas.openxmlformats.org/officeDocument/2006/relationships/hyperlink" Id="rId58"/>
    <Relationship TargetMode="External" Target="https://www.legis.iowa.gov/docs/iac/rule/191.90.3.pdf" Type="http://schemas.openxmlformats.org/officeDocument/2006/relationships/hyperlink" Id="rId59"/>
    <Relationship TargetMode="External" Target="https://www.legis.iowa.gov/docs/iac/rule/191.90.6.pdf" Type="http://schemas.openxmlformats.org/officeDocument/2006/relationships/hyperlink" Id="rId60"/>
    <Relationship TargetMode="External" Target="https://www.legis.iowa.gov/docs/iac/rule/191.90.6.pdf" Type="http://schemas.openxmlformats.org/officeDocument/2006/relationships/hyperlink" Id="rId61"/>
    <Relationship TargetMode="External" Target="https://www.legis.iowa.gov/docs/iac/rule/191.90.8.pdf" Type="http://schemas.openxmlformats.org/officeDocument/2006/relationships/hyperlink" Id="rId62"/>
    <Relationship TargetMode="External" Target="https://www.legis.iowa.gov/docs/iac/rule/191.90.8.pdf" Type="http://schemas.openxmlformats.org/officeDocument/2006/relationships/hyperlink" Id="rId63"/>
    <Relationship TargetMode="External" Target="https://www.legis.iowa.gov/docs/iac/rule/191.90.9.pdf" Type="http://schemas.openxmlformats.org/officeDocument/2006/relationships/hyperlink" Id="rId64"/>
    <Relationship TargetMode="External" Target="https://www.legis.iowa.gov/docs/iac/rule/191.90.5.pdf" Type="http://schemas.openxmlformats.org/officeDocument/2006/relationships/hyperlink" Id="rId65"/>
    <Relationship TargetMode="External" Target="https://www.legis.iowa.gov/docs/iac/rule/191.90.3.pdf" Type="http://schemas.openxmlformats.org/officeDocument/2006/relationships/hyperlink" Id="rId66"/>
    <Relationship TargetMode="External" Target="https://www.legis.iowa.gov/docs/iac/rule/191.90.3.pdf" Type="http://schemas.openxmlformats.org/officeDocument/2006/relationships/hyperlink" Id="rId67"/>
    <Relationship TargetMode="External" Target="https://www.legis.iowa.gov/docs/iac/rule/191.90.8.pdf" Type="http://schemas.openxmlformats.org/officeDocument/2006/relationships/hyperlink" Id="rId68"/>
    <Relationship TargetMode="External" Target="https://www.legis.iowa.gov/docs/iac/rule/191.90.3.pdf" Type="http://schemas.openxmlformats.org/officeDocument/2006/relationships/hyperlink" Id="rId69"/>
    <Relationship TargetMode="External" Target="https://www.legis.iowa.gov/docs/iac/rule/191.90.12.pdf" Type="http://schemas.openxmlformats.org/officeDocument/2006/relationships/hyperlink" Id="rId70"/>
    <Relationship TargetMode="External" Target="https://www.legis.iowa.gov/docs/iac/rule/191.90.13.pdf" Type="http://schemas.openxmlformats.org/officeDocument/2006/relationships/hyperlink" Id="rId71"/>
    <Relationship TargetMode="External" Target="https://www.legis.iowa.gov/docs/iac/rule/191.90.14.pdf" Type="http://schemas.openxmlformats.org/officeDocument/2006/relationships/hyperlink" Id="rId72"/>
    <Relationship TargetMode="External" Target="https://www.legis.iowa.gov/docs/iac/rule/191.90.8.pdf" Type="http://schemas.openxmlformats.org/officeDocument/2006/relationships/hyperlink" Id="rId73"/>
    <Relationship TargetMode="External" Target="https://www.legis.iowa.gov/docs/iac/rule/191.90.3.pdf" Type="http://schemas.openxmlformats.org/officeDocument/2006/relationships/hyperlink" Id="rId74"/>
    <Relationship TargetMode="External" Target="https://www.legis.iowa.gov/docs/iac/rule/191.90.4.pdf" Type="http://schemas.openxmlformats.org/officeDocument/2006/relationships/hyperlink" Id="rId75"/>
    <Relationship TargetMode="External" Target="https://www.legis.iowa.gov/docs/iac/rule/191.90.7.pdf" Type="http://schemas.openxmlformats.org/officeDocument/2006/relationships/hyperlink" Id="rId76"/>
    <Relationship TargetMode="External" Target="https://www.legis.iowa.gov/docs/iac/rule/191.90.3.pdf" Type="http://schemas.openxmlformats.org/officeDocument/2006/relationships/hyperlink" Id="rId77"/>
    <Relationship TargetMode="External" Target="https://www.legis.iowa.gov/docs/iac/rule/191.90.4.pdf" Type="http://schemas.openxmlformats.org/officeDocument/2006/relationships/hyperlink" Id="rId78"/>
    <Relationship TargetMode="External" Target="https://www.legis.iowa.gov/docs/iac/rule/191.90.7.pdf" Type="http://schemas.openxmlformats.org/officeDocument/2006/relationships/hyperlink" Id="rId79"/>
    <Relationship TargetMode="External" Target="https://www.legis.iowa.gov/docs/iac/rule/191.90.3.pdf" Type="http://schemas.openxmlformats.org/officeDocument/2006/relationships/hyperlink" Id="rId80"/>
    <Relationship TargetMode="External" Target="https://www.legis.iowa.gov/docs/iac/rule/191.90.6.pdf" Type="http://schemas.openxmlformats.org/officeDocument/2006/relationships/hyperlink" Id="rId81"/>
    <Relationship TargetMode="External" Target="https://www.legis.iowa.gov/docs/iac/rule/191.90.9.pdf" Type="http://schemas.openxmlformats.org/officeDocument/2006/relationships/hyperlink" Id="rId82"/>
    <Relationship TargetMode="External" Target="https://www.legis.iowa.gov/docs/iac/rule/191.90.9.pdf" Type="http://schemas.openxmlformats.org/officeDocument/2006/relationships/hyperlink" Id="rId83"/>
    <Relationship TargetMode="External" Target="https://www.legis.iowa.gov/docs/iac/rule/191.90.9.pdf" Type="http://schemas.openxmlformats.org/officeDocument/2006/relationships/hyperlink" Id="rId84"/>
    <Relationship TargetMode="External" Target="https://www.legis.iowa.gov/docs/iac/rule/191.90.13.pdf" Type="http://schemas.openxmlformats.org/officeDocument/2006/relationships/hyperlink" Id="rId85"/>
    <Relationship TargetMode="External" Target="https://www.legis.iowa.gov/docs/iac/rule/191.90.14.pdf" Type="http://schemas.openxmlformats.org/officeDocument/2006/relationships/hyperlink" Id="rId86"/>
    <Relationship TargetMode="External" Target="https://www.legis.iowa.gov/docs/iac/rule/191.90.13.pdf" Type="http://schemas.openxmlformats.org/officeDocument/2006/relationships/hyperlink" Id="rId87"/>
    <Relationship TargetMode="External" Target="https://www.legis.iowa.gov/docs/iac/rule/191.90.14.pdf" Type="http://schemas.openxmlformats.org/officeDocument/2006/relationships/hyperlink" Id="rId88"/>
    <Relationship TargetMode="External" Target="https://www.legis.iowa.gov/docs/iac/rule/191.90.13.pdf" Type="http://schemas.openxmlformats.org/officeDocument/2006/relationships/hyperlink" Id="rId89"/>
    <Relationship TargetMode="External" Target="https://www.legis.iowa.gov/docs/iac/rule/191.90.14.pdf" Type="http://schemas.openxmlformats.org/officeDocument/2006/relationships/hyperlink" Id="rId90"/>
    <Relationship TargetMode="External" Target="https://www.legis.iowa.gov/docs/iac/rule/191.90.13.pdf" Type="http://schemas.openxmlformats.org/officeDocument/2006/relationships/hyperlink" Id="rId91"/>
    <Relationship TargetMode="External" Target="https://www.legis.iowa.gov/docs/iac/rule/191.90.14.pdf" Type="http://schemas.openxmlformats.org/officeDocument/2006/relationships/hyperlink" Id="rId92"/>
    <Relationship TargetMode="External" Target="https://www.legis.iowa.gov/docs/iac/rule/191.90.13.pdf" Type="http://schemas.openxmlformats.org/officeDocument/2006/relationships/hyperlink" Id="rId93"/>
    <Relationship TargetMode="External" Target="https://www.legis.iowa.gov/docs/iac/rule/191.90.14.pdf" Type="http://schemas.openxmlformats.org/officeDocument/2006/relationships/hyperlink" Id="rId94"/>
    <Relationship TargetMode="External" Target="https://www.legis.iowa.gov/docs/iac/rule/191.90.13.pdf" Type="http://schemas.openxmlformats.org/officeDocument/2006/relationships/hyperlink" Id="rId95"/>
    <Relationship TargetMode="External" Target="https://www.legis.iowa.gov/docs/iac/rule/191.90.14.pdf" Type="http://schemas.openxmlformats.org/officeDocument/2006/relationships/hyperlink" Id="rId96"/>
    <Relationship TargetMode="External" Target="https://www.legis.iowa.gov/docs/iac/rule/191.90.13.pdf" Type="http://schemas.openxmlformats.org/officeDocument/2006/relationships/hyperlink" Id="rId97"/>
    <Relationship TargetMode="External" Target="https://www.legis.iowa.gov/docs/iac/rule/191.90.14.pdf" Type="http://schemas.openxmlformats.org/officeDocument/2006/relationships/hyperlink" Id="rId98"/>
    <Relationship TargetMode="External" Target="https://www.legis.iowa.gov/docs/iac/rule/191.90.13.pdf" Type="http://schemas.openxmlformats.org/officeDocument/2006/relationships/hyperlink" Id="rId99"/>
    <Relationship TargetMode="External" Target="https://www.legis.iowa.gov/docs/iac/rule/191.90.14.pdf" Type="http://schemas.openxmlformats.org/officeDocument/2006/relationships/hyperlink" Id="rId100"/>
    <Relationship TargetMode="External" Target="https://www.legis.iowa.gov/docs/iac/rule/191.90.6.pdf" Type="http://schemas.openxmlformats.org/officeDocument/2006/relationships/hyperlink" Id="rId101"/>
    <Relationship TargetMode="External" Target="https://www.legis.iowa.gov/docs/iac/rule/191.90.9.pdf" Type="http://schemas.openxmlformats.org/officeDocument/2006/relationships/hyperlink" Id="rId102"/>
    <Relationship TargetMode="External" Target="https://www.legis.iowa.gov/docs/iac/rule/191.90.3.pdf" Type="http://schemas.openxmlformats.org/officeDocument/2006/relationships/hyperlink" Id="rId103"/>
    <Relationship TargetMode="External" Target="https://www.legis.iowa.gov/docs/iac/rule/191.90.13.pdf" Type="http://schemas.openxmlformats.org/officeDocument/2006/relationships/hyperlink" Id="rId104"/>
    <Relationship TargetMode="External" Target="https://www.legis.iowa.gov/docs/iac/rule/191.90.14.pdf" Type="http://schemas.openxmlformats.org/officeDocument/2006/relationships/hyperlink" Id="rId105"/>
    <Relationship TargetMode="External" Target="https://www.legis.iowa.gov/docs/iac/rule/191.90.13.pdf" Type="http://schemas.openxmlformats.org/officeDocument/2006/relationships/hyperlink" Id="rId106"/>
    <Relationship TargetMode="External" Target="https://www.legis.iowa.gov/docs/iac/rule/191.90.14.pdf" Type="http://schemas.openxmlformats.org/officeDocument/2006/relationships/hyperlink" Id="rId107"/>
    <Relationship TargetMode="External" Target="https://www.legis.iowa.gov/docs/iac/rule/191.90.12.pdf" Type="http://schemas.openxmlformats.org/officeDocument/2006/relationships/hyperlink" Id="rId108"/>
    <Relationship TargetMode="External" Target="https://www.legis.iowa.gov/docs/iac/rule/191.90.3.pdf" Type="http://schemas.openxmlformats.org/officeDocument/2006/relationships/hyperlink" Id="rId109"/>
    <Relationship TargetMode="External" Target="https://www.legis.iowa.gov/docs/iac/rule/191.90.6.pdf" Type="http://schemas.openxmlformats.org/officeDocument/2006/relationships/hyperlink" Id="rId110"/>
    <Relationship TargetMode="External" Target="https://www.legis.iowa.gov/docs/iac/rule/191.90.9.pdf" Type="http://schemas.openxmlformats.org/officeDocument/2006/relationships/hyperlink" Id="rId111"/>
    <Relationship TargetMode="External" Target="https://www.legis.iowa.gov/docs/iac/rule/191.90.12.pdf" Type="http://schemas.openxmlformats.org/officeDocument/2006/relationships/hyperlink" Id="rId112"/>
    <Relationship TargetMode="External" Target="https://www.legis.iowa.gov/docs/iac/rule/191.90.3.pdf" Type="http://schemas.openxmlformats.org/officeDocument/2006/relationships/hyperlink" Id="rId113"/>
    <Relationship TargetMode="External" Target="https://www.legis.iowa.gov/docs/iac/rule/191.90.6.pdf" Type="http://schemas.openxmlformats.org/officeDocument/2006/relationships/hyperlink" Id="rId114"/>
    <Relationship TargetMode="External" Target="https://www.legis.iowa.gov/docs/iac/rule/191.90.9.pdf" Type="http://schemas.openxmlformats.org/officeDocument/2006/relationships/hyperlink" Id="rId115"/>
    <Relationship TargetMode="External" Target="https://www.legis.iowa.gov/docs/iac/rule/191.90.12.pdf" Type="http://schemas.openxmlformats.org/officeDocument/2006/relationships/hyperlink" Id="rId116"/>
    <Relationship TargetMode="External" Target="https://www.legis.iowa.gov/docs/iac/rule/191.90.6.pdf" Type="http://schemas.openxmlformats.org/officeDocument/2006/relationships/hyperlink" Id="rId117"/>
    <Relationship TargetMode="External" Target="https://www.legis.iowa.gov/docs/iac/rule/191.90.12.pdf" Type="http://schemas.openxmlformats.org/officeDocument/2006/relationships/hyperlink" Id="rId118"/>
    <Relationship TargetMode="External" Target="https://www.legis.iowa.gov/docs/iac/rule/191.90.13.pdf" Type="http://schemas.openxmlformats.org/officeDocument/2006/relationships/hyperlink" Id="rId119"/>
    <Relationship TargetMode="External" Target="https://www.legis.iowa.gov/docs/iac/rule/191.90.14.pdf" Type="http://schemas.openxmlformats.org/officeDocument/2006/relationships/hyperlink" Id="rId120"/>
    <Relationship TargetMode="External" Target="https://www.legis.iowa.gov/docs/iac/rule/191.90.17.pdf" Type="http://schemas.openxmlformats.org/officeDocument/2006/relationships/hyperlink" Id="rId121"/>
    <Relationship TargetMode="External" Target="https://www.legis.iowa.gov/docs/iac/rule/191.90.8.pdf" Type="http://schemas.openxmlformats.org/officeDocument/2006/relationships/hyperlink" Id="rId122"/>
    <Relationship TargetMode="External" Target="https://www.legis.iowa.gov/docs/iac/rule/191.90.17.pdf" Type="http://schemas.openxmlformats.org/officeDocument/2006/relationships/hyperlink" Id="rId123"/>
    <Relationship TargetMode="External" Target="https://www.legis.iowa.gov/docs/ico/chapter/507B.4.pdf" Type="http://schemas.openxmlformats.org/officeDocument/2006/relationships/hyperlink" Id="rId124"/>
    <Relationship TargetMode="External" Target="https://www.legis.iowa.gov/docs/iac/rule/191.90.3.pdf" Type="http://schemas.openxmlformats.org/officeDocument/2006/relationships/hyperlink" Id="rId125"/>
    <Relationship TargetMode="External" Target="https://www.legis.iowa.gov/docs/iac/rule/191.90.12.pdf" Type="http://schemas.openxmlformats.org/officeDocument/2006/relationships/hyperlink" Id="rId126"/>
    <Relationship TargetMode="External" Target="https://www.legis.iowa.gov/docs/iac/rule/191.90.37.pdf" Type="http://schemas.openxmlformats.org/officeDocument/2006/relationships/hyperlink" Id="rId127"/>
    <Relationship TargetMode="External" Target="https://www.legis.iowa.gov/docs/iac/rule/191.90.37.pdf" Type="http://schemas.openxmlformats.org/officeDocument/2006/relationships/hyperlink" Id="rId128"/>
    <Relationship TargetMode="External" Target="https://www.legis.iowa.gov/docs/ico/chapter/507B.pdf" Type="http://schemas.openxmlformats.org/officeDocument/2006/relationships/hyperlink" Id="rId129"/>
    <Relationship TargetMode="External" Target="https://www.legis.iowa.gov/docs/ico/chapter/505.8.pdf" Type="http://schemas.openxmlformats.org/officeDocument/2006/relationships/hyperlink" Id="rId130"/>
    <Relationship TargetMode="External" Target="https://www.legis.iowa.gov/docs/iac/rule/191.90.5.pdf" Type="http://schemas.openxmlformats.org/officeDocument/2006/relationships/hyperlink" Id="rId131"/>
    <Relationship TargetMode="External" Target="https://www.legis.iowa.gov/docs/iac/rule/191.90.5.pdf" Type="http://schemas.openxmlformats.org/officeDocument/2006/relationships/hyperlink" Id="rId132"/>
    <Relationship TargetMode="External" Target="https://www.legis.iowa.gov/docs/iac/rule/191.90.14.pdf" Type="http://schemas.openxmlformats.org/officeDocument/2006/relationships/hyperlink" Id="rId133"/>
    <Relationship TargetMode="External" Target="https://www.legis.iowa.gov/docs/iac/rule/191.90.15.pdf" Type="http://schemas.openxmlformats.org/officeDocument/2006/relationships/hyperlink" Id="rId134"/>
    <Relationship TargetMode="External" Target="https://www.legis.iowa.gov/docs/iac/rule/191.90.16.pdf" Type="http://schemas.openxmlformats.org/officeDocument/2006/relationships/hyperlink" Id="rId135"/>
    <Relationship TargetMode="External" Target="https://www.legis.iowa.gov/docs/iac/rule/191.90.5.pdf" Type="http://schemas.openxmlformats.org/officeDocument/2006/relationships/hyperlink" Id="rId136"/>
    <Relationship TargetMode="External" Target="https://www.legis.iowa.gov/docs/iac/rule/191.90.13.pdf" Type="http://schemas.openxmlformats.org/officeDocument/2006/relationships/hyperlink" Id="rId137"/>
    <Relationship TargetMode="External" Target="https://www.legis.iowa.gov/docs/iac/rule/191.90.14.pdf" Type="http://schemas.openxmlformats.org/officeDocument/2006/relationships/hyperlink" Id="rId138"/>
    <Relationship TargetMode="External" Target="https://www.legis.iowa.gov/docs/iac/rule/191.90.5.pdf" Type="http://schemas.openxmlformats.org/officeDocument/2006/relationships/hyperlink" Id="rId139"/>
    <Relationship TargetMode="External" Target="https://www.legis.iowa.gov/docs/iac/rule/191.90.12.pdf" Type="http://schemas.openxmlformats.org/officeDocument/2006/relationships/hyperlink" Id="rId140"/>
    <Relationship TargetMode="External" Target="https://www.legis.iowa.gov/docs/iac/rule/191.90.13.pdf" Type="http://schemas.openxmlformats.org/officeDocument/2006/relationships/hyperlink" Id="rId141"/>
    <Relationship TargetMode="External" Target="https://www.legis.iowa.gov/docs/iac/rule/191.90.14.pdf" Type="http://schemas.openxmlformats.org/officeDocument/2006/relationships/hyperlink" Id="rId142"/>
    <Relationship TargetMode="External" Target="https://www.legis.iowa.gov/docs/iac/rule/191.90.13.pdf" Type="http://schemas.openxmlformats.org/officeDocument/2006/relationships/hyperlink" Id="rId143"/>
    <Relationship TargetMode="External" Target="https://www.legis.iowa.gov/docs/iac/rule/191.90.14.pdf" Type="http://schemas.openxmlformats.org/officeDocument/2006/relationships/hyperlink" Id="rId144"/>
    <Relationship TargetMode="External" Target="https://www.legis.iowa.gov/docs/iac/rule/191.90.5.pdf" Type="http://schemas.openxmlformats.org/officeDocument/2006/relationships/hyperlink" Id="rId145"/>
    <Relationship TargetMode="External" Target="https://www.legis.iowa.gov/docs/iac/rule/191.90.12.pdf" Type="http://schemas.openxmlformats.org/officeDocument/2006/relationships/hyperlink" Id="rId146"/>
    <Relationship TargetMode="External" Target="https://www.legis.iowa.gov/docs/iac/rule/191.90.5.pdf" Type="http://schemas.openxmlformats.org/officeDocument/2006/relationships/hyperlink" Id="rId147"/>
    <Relationship TargetMode="External" Target="https://www.legis.iowa.gov/docs/iac/rule/191.90.12.pdf" Type="http://schemas.openxmlformats.org/officeDocument/2006/relationships/hyperlink" Id="rId148"/>
    <Relationship TargetMode="External" Target="https://www.legis.iowa.gov/docs/iac/rule/191.90.13.pdf" Type="http://schemas.openxmlformats.org/officeDocument/2006/relationships/hyperlink" Id="rId149"/>
    <Relationship TargetMode="External" Target="https://www.legis.iowa.gov/docs/iac/rule/191.90.14.pdf" Type="http://schemas.openxmlformats.org/officeDocument/2006/relationships/hyperlink" Id="rId150"/>
    <Relationship TargetMode="External" Target="https://www.legis.iowa.gov/docs/iac/rule/191.90.5.pdf" Type="http://schemas.openxmlformats.org/officeDocument/2006/relationships/hyperlink" Id="rId1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