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85</w:t>
      </w:r>
    </w:p>
    <w:p>
      <w:pPr>
        <w:spacing w:before="0" w:after="0"/>
        <w:ind w:left="120"/>
        <w:jc w:val="center"/>
      </w:pPr>
      <w:r>
        <w:rPr>
          <w:rFonts w:ascii="Times New Roman" w:hAnsi="Times New Roman"/>
          <w:b w:val="false"/>
          <w:i w:val="false"/>
          <w:color w:val="000000"/>
          <w:sz w:val="21"/>
        </w:rPr>
        <w:t>REGULATION OF NAVIGATORS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191—85.1</w:t>
      </w:r>
      <w:r>
        <w:rPr>
          <w:rFonts w:ascii="Times New Roman" w:hAnsi="Times New Roman"/>
          <w:b/>
          <w:i w:val="false"/>
          <w:color w:val="000000"/>
          <w:sz w:val="22"/>
        </w:rPr>
        <w:t xml:space="preserve">(505,522D) </w:t>
      </w:r>
      <w:r>
        <w:rPr>
          <w:rFonts w:ascii="Times New Roman" w:hAnsi="Times New Roman"/>
          <w:b/>
          <w:i w:val="false"/>
          <w:color w:val="000000"/>
          <w:sz w:val="22"/>
        </w:rPr>
        <w:t xml:space="preserve">Purpose and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w:t>
      </w:r>
      <w:r>
        <w:rPr>
          <w:rFonts w:ascii="Times New Roman" w:hAnsi="Times New Roman"/>
          <w:b w:val="false"/>
          <w:i w:val="false"/>
          <w:color w:val="000000"/>
          <w:sz w:val="22"/>
        </w:rPr>
        <w:t> </w:t>
      </w:r>
      <w:r>
        <w:rPr>
          <w:rFonts w:ascii="Times New Roman" w:hAnsi="Times New Roman"/>
          <w:b w:val="false"/>
          <w:i w:val="false"/>
          <w:color w:val="000000"/>
          <w:sz w:val="22"/>
        </w:rPr>
        <w:t>The purpose of these rules is to set out the requirements, procedures and fees relating to the qualification, licensure, training, continuing education and regulation of navigators.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are established based upon the authority provided in Iowa Code sections </w:t>
      </w:r>
      <w:hyperlink r:id="rId5">
        <w:r>
          <w:rPr>
            <w:rStyle w:val="Hyperlink"/>
            <w:rFonts w:ascii="Times New Roman" w:hAnsi="Times New Roman"/>
            <w:b w:val="false"/>
            <w:i w:val="false"/>
            <w:color w:val="000000"/>
            <w:sz w:val="22"/>
          </w:rPr>
          <w:t>505.8(19)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522D.10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191—85.2</w:t>
      </w:r>
      <w:r>
        <w:rPr>
          <w:rFonts w:ascii="Times New Roman" w:hAnsi="Times New Roman"/>
          <w:b/>
          <w:i w:val="false"/>
          <w:color w:val="000000"/>
          <w:sz w:val="22"/>
        </w:rPr>
        <w:t xml:space="preserve">(505,522D)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“ACA” </w:t>
      </w:r>
      <w:r>
        <w:rPr>
          <w:rFonts w:ascii="Times New Roman" w:hAnsi="Times New Roman"/>
          <w:b w:val="false"/>
          <w:i w:val="false"/>
          <w:color w:val="000000"/>
          <w:sz w:val="22"/>
        </w:rPr>
        <w:t>means, collectively, the Patient Protection and Affordable Care Act (Pub. L. 111-148) and Health Care and Education Reconciliation Act (Pub. L. 111-152).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or entity applying or intending to apply for a navigator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means a corporation, association, partnership, limited liability company, limited liability partnership or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Iowa commissioner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w:t>
      </w:r>
      <w:r>
        <w:rPr>
          <w:rFonts w:ascii="Times New Roman" w:hAnsi="Times New Roman"/>
          <w:b w:val="false"/>
          <w:i w:val="false"/>
          <w:color w:val="000000"/>
          <w:sz w:val="22"/>
        </w:rPr>
        <w:t>means continuing education credit. One credit is 50 minutes of instruction or reading material in an acceptable topic.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Iowa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w:t>
      </w:r>
      <w:r>
        <w:rPr>
          <w:rFonts w:ascii="Times New Roman" w:hAnsi="Times New Roman"/>
          <w:b w:val="false"/>
          <w:i w:val="false"/>
          <w:color w:val="000000"/>
          <w:sz w:val="22"/>
        </w:rPr>
        <w:t>means insurance that is primarily for the diagnosis, cure, mitigation, treatment, or prevention of disease or amounts paid for the purpose of affecting any structure of the body, including transportation that is essential to obtaining medical care, but excluding: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Coverage only for accident or disability income insurance, or any combination thereof;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Coverage issued as a supplement to liability insurance;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Liability insurance, including general liability insurance and automobile liability insurance;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Workers’ compensation or similar insurance;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Automobile medical payment insurance;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Credit-only insurance;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Coverage for on-site medical clinics;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Coverage only for limited-scope vision benefits;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Benefits for long-term care, nursing home care, home health care, community-based care, or any combination thereof;</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Coverage for specified disease or critical illness;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Hospital indemnity or other fixed indemnity insurance;</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Medicare supplement policies;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Medicare, Medicaid, or the Federal Employee Health Benefit Program, 5 U.S.C. §§ 8901 - 8914, as it existed on January 1, 2013;</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Coverage only for medical and surgical outpatient benefits;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Excess or stop-loss insurance; and</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Other similar insurance coverage under which benefits for health insurance are secondary or incidental to other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means a private or natural person, as distinguished from a partnership, corporation or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the authorization by the commissioner for a person to act as a navigator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“Marketplace” </w:t>
      </w:r>
      <w:r>
        <w:rPr>
          <w:rFonts w:ascii="Times New Roman" w:hAnsi="Times New Roman"/>
          <w:b w:val="false"/>
          <w:i w:val="false"/>
          <w:color w:val="000000"/>
          <w:sz w:val="22"/>
        </w:rPr>
        <w:t>means any health benefit exchange authorized under the ACA and established or operating in this state, including any exchange established or operated by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“Navigator” </w:t>
      </w:r>
      <w:r>
        <w:rPr>
          <w:rFonts w:ascii="Times New Roman" w:hAnsi="Times New Roman"/>
          <w:b w:val="false"/>
          <w:i w:val="false"/>
          <w:color w:val="000000"/>
          <w:sz w:val="22"/>
        </w:rPr>
        <w:t>means the individual or business entity that is granted the title, duties, and responsibilities under 45 CFR § 155.210 of a navigator by the granting or appointing authority. A navigator would engage in the activities and meet the standards described in 45 CFR § 155.210,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Maintaining expertise in eligibility, enrollment, and program specification;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Conducting public education activities to raise awareness about the marketplace;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Providing information and services in a fair, accurate, and impartial manner, including information that acknowledges other health programs such as Medicaid and the healthy and well kids in Iowa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Facilitating selection of a qualified health plan;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Providing referrals for consumers with questions, complaints, or grievances to any applicable office of health insurance consumer assistance or health insurance ombudsman established under Section 2793 of the Public Health Service Act, or other appropriate state agency or agencies;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Providing information in a culturally and linguistically appropriate manner, including to persons with limited English proficiency;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Ensuring accessibility and usability of navigator tools and functions for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“Navigator renewal notice” </w:t>
      </w:r>
      <w:r>
        <w:rPr>
          <w:rFonts w:ascii="Times New Roman" w:hAnsi="Times New Roman"/>
          <w:b w:val="false"/>
          <w:i w:val="false"/>
          <w:color w:val="000000"/>
          <w:sz w:val="22"/>
        </w:rPr>
        <w:t>means a written or electronic communication issued by the division to inform a navigator about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“Negotiate” </w:t>
      </w:r>
      <w:r>
        <w:rPr>
          <w:rFonts w:ascii="Times New Roman" w:hAnsi="Times New Roman"/>
          <w:b w:val="false"/>
          <w:i w:val="false"/>
          <w:color w:val="000000"/>
          <w:sz w:val="22"/>
        </w:rPr>
        <w:t>means the act of advising a purchaser or prospective purchaser of a particular contract of insurance concerning any of the substantive benefits, terms or conditions of the contract provided that the person engaged in that act either sells insurance or obtains insurance for purchasers. The definition of “negotiate” shall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Impartially informing a purchaser or prospective purchaser about substantive benefits, terms or conditions of a contract while facilitating the enrollment in a qualified health plan by providing fair, impartial, and accurate information that assists a purchaser or prospective purchaser with submitting an eligibility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Clarifying the distinctions among qualified health plans;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Helping qualified individuals make informed decisions during a health plan selection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w:t>
      </w:r>
      <w:r>
        <w:rPr>
          <w:rFonts w:ascii="Times New Roman" w:hAnsi="Times New Roman"/>
          <w:b w:val="false"/>
          <w:i w:val="false"/>
          <w:color w:val="000000"/>
          <w:sz w:val="22"/>
        </w:rPr>
        <w:t>means a person required to be licensed in this state to sell, solicit or negotiate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health plan” </w:t>
      </w:r>
      <w:r>
        <w:rPr>
          <w:rFonts w:ascii="Times New Roman" w:hAnsi="Times New Roman"/>
          <w:b w:val="false"/>
          <w:i w:val="false"/>
          <w:color w:val="000000"/>
          <w:sz w:val="22"/>
        </w:rPr>
        <w:t>means a health benefit plan that has in effect a certification that the plan meets the criteria for certification described in Section 1311(c) of the ACA.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“Sell” </w:t>
      </w:r>
      <w:r>
        <w:rPr>
          <w:rFonts w:ascii="Times New Roman" w:hAnsi="Times New Roman"/>
          <w:b w:val="false"/>
          <w:i w:val="false"/>
          <w:color w:val="000000"/>
          <w:sz w:val="22"/>
        </w:rPr>
        <w:t>means to exchange a contract of insurance by any means, for money or its equivalent, on behalf of an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“Solicit” </w:t>
      </w:r>
      <w:r>
        <w:rPr>
          <w:rFonts w:ascii="Times New Roman" w:hAnsi="Times New Roman"/>
          <w:b w:val="false"/>
          <w:i w:val="false"/>
          <w:color w:val="000000"/>
          <w:sz w:val="22"/>
        </w:rPr>
        <w:t>means attempting to sell insurance or asking or urging a person to apply for a particular kind of insurance from a particular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 Department of Health and Human Services” </w:t>
      </w:r>
      <w:r>
        <w:rPr>
          <w:rFonts w:ascii="Times New Roman" w:hAnsi="Times New Roman"/>
          <w:b w:val="false"/>
          <w:i w:val="false"/>
          <w:color w:val="000000"/>
          <w:sz w:val="22"/>
        </w:rPr>
        <w:t>means the United States Department of Health and Human Services and any of its subsidiaries.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191—85.3</w:t>
      </w:r>
      <w:r>
        <w:rPr>
          <w:rFonts w:ascii="Times New Roman" w:hAnsi="Times New Roman"/>
          <w:b/>
          <w:i w:val="false"/>
          <w:color w:val="000000"/>
          <w:sz w:val="22"/>
        </w:rPr>
        <w:t xml:space="preserve">(505,522D) </w:t>
      </w:r>
      <w:r>
        <w:rPr>
          <w:rFonts w:ascii="Times New Roman" w:hAnsi="Times New Roman"/>
          <w:b/>
          <w:i w:val="false"/>
          <w:color w:val="000000"/>
          <w:sz w:val="22"/>
        </w:rPr>
        <w:t xml:space="preserve">Requirement to hold a license. </w:t>
      </w:r>
      <w:r>
        <w:rPr>
          <w:rFonts w:ascii="Times New Roman" w:hAnsi="Times New Roman"/>
          <w:b w:val="false"/>
          <w:i w:val="false"/>
          <w:color w:val="000000"/>
          <w:sz w:val="22"/>
        </w:rPr>
        <w:t>No person may act as a navigator in Iowa until that person has been issued an Iowa navigator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85.3(1)</w:t>
      </w:r>
      <w:r>
        <w:rPr>
          <w:rFonts w:ascii="Times New Roman" w:hAnsi="Times New Roman"/>
          <w:b w:val="false"/>
          <w:i w:val="false"/>
          <w:color w:val="000000"/>
          <w:sz w:val="22"/>
        </w:rPr>
        <w:t> </w:t>
      </w:r>
      <w:r>
        <w:rPr>
          <w:rFonts w:ascii="Times New Roman" w:hAnsi="Times New Roman"/>
          <w:b w:val="false"/>
          <w:i w:val="false"/>
          <w:color w:val="000000"/>
          <w:sz w:val="22"/>
        </w:rPr>
        <w:t>To be licensed as a navigator, a person must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 compliance with the initial training and certification requirements set forth in rule </w:t>
      </w:r>
      <w:hyperlink r:id="rId7">
        <w:r>
          <w:rPr>
            <w:rStyle w:val="Hyperlink"/>
            <w:rFonts w:ascii="Times New Roman" w:hAnsi="Times New Roman"/>
            <w:b w:val="false"/>
            <w:i w:val="false"/>
            <w:color w:val="000000"/>
            <w:sz w:val="22"/>
          </w:rPr>
          <w:t>191—85.10</w:t>
        </w:r>
      </w:hyperlink>
      <w:r>
        <w:rPr>
          <w:rFonts w:ascii="Times New Roman" w:hAnsi="Times New Roman"/>
          <w:b w:val="false"/>
          <w:i w:val="false"/>
          <w:color w:val="000000"/>
          <w:sz w:val="22"/>
        </w:rPr>
        <w:t>(505,522D);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Have not committed any act that is grounds for denial, suspension or revocation under Iowa Code section </w:t>
      </w:r>
      <w:hyperlink r:id="rId8">
        <w:r>
          <w:rPr>
            <w:rStyle w:val="Hyperlink"/>
            <w:rFonts w:ascii="Times New Roman" w:hAnsi="Times New Roman"/>
            <w:b w:val="false"/>
            <w:i w:val="false"/>
            <w:color w:val="000000"/>
            <w:sz w:val="22"/>
          </w:rPr>
          <w:t>522D.7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completed uniform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Pass an examination on the duties and responsibilities of a navigator and the insurance laws and regulations of Iowa with a score of 70 percent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 the nonrefundable navigator license fee of $20;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Pass a background check or security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85.3(2)</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any documents reasonably necessary to verify the information or attestations contained in the application or to verify that the applicant has the character and competency required to receive a navigator license. If an applicant does not provide the additional information requested by the division within 45 days of receipt of the request, the application will expire and the license fee will not be returned.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85.3(3)</w:t>
      </w:r>
      <w:r>
        <w:rPr>
          <w:rFonts w:ascii="Times New Roman" w:hAnsi="Times New Roman"/>
          <w:b w:val="false"/>
          <w:i w:val="false"/>
          <w:color w:val="000000"/>
          <w:sz w:val="22"/>
        </w:rPr>
        <w:t> </w:t>
      </w:r>
      <w:r>
        <w:rPr>
          <w:rFonts w:ascii="Times New Roman" w:hAnsi="Times New Roman"/>
          <w:b w:val="false"/>
          <w:i w:val="false"/>
          <w:color w:val="000000"/>
          <w:sz w:val="22"/>
        </w:rPr>
        <w:t>Except for producers licensed in Iowa, a person acting as a navigator without an Iowa navigator license or a person performing the enrollment duties of a navigator without an appointment, certification, or a grant to perform such duties by the U.S. Department of Health and Human Services shall be in violation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determination by the commissioner that a person is in violation of this chapter, the commissioner may issue a summary order directing the person to cease and desist from engaging in the act or practice in violation of this chapter. A person that has been issued a summary order under this rule may contest the order by filing a request for a contested case proceeding and hearing as provided in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shall have at least 30 days from the date that the order is issued in order to file the request. The order shall remain effective from the date of issue unless overturned by a presiding officer of the court following a request for a hearing. If a hearing is not timely requested, the summary order becomes final by operation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violating a summary order issued under this rule shall be deemed in contempt of that order. The commissioner may petition the district court to enforce the order as certified by the commissioner. The district court shall adjudge the person in contempt of the order if the court finds after hearing that the person is not in compliance with the order. The court may assess a civil penalty against the person and may issue further orders as it deems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191—85.4</w:t>
      </w:r>
      <w:r>
        <w:rPr>
          <w:rFonts w:ascii="Times New Roman" w:hAnsi="Times New Roman"/>
          <w:b/>
          <w:i w:val="false"/>
          <w:color w:val="000000"/>
          <w:sz w:val="22"/>
        </w:rPr>
        <w:t xml:space="preserve">(505,522D) </w:t>
      </w:r>
      <w:r>
        <w:rPr>
          <w:rFonts w:ascii="Times New Roman" w:hAnsi="Times New Roman"/>
          <w:b/>
          <w:i w:val="false"/>
          <w:color w:val="000000"/>
          <w:sz w:val="22"/>
        </w:rPr>
        <w:t xml:space="preserve">Issuance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that meets the requirements of this chapter and of Iowa Code sections </w:t>
      </w:r>
      <w:hyperlink r:id="rId10">
        <w:r>
          <w:rPr>
            <w:rStyle w:val="Hyperlink"/>
            <w:rFonts w:ascii="Times New Roman" w:hAnsi="Times New Roman"/>
            <w:b w:val="false"/>
            <w:i w:val="false"/>
            <w:color w:val="000000"/>
            <w:sz w:val="22"/>
          </w:rPr>
          <w:t>522D.4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522D.5</w:t>
        </w:r>
      </w:hyperlink>
      <w:r>
        <w:rPr>
          <w:rFonts w:ascii="Times New Roman" w:hAnsi="Times New Roman"/>
          <w:b w:val="false"/>
          <w:i w:val="false"/>
          <w:color w:val="000000"/>
          <w:sz w:val="22"/>
        </w:rPr>
        <w:t xml:space="preserve">, unless otherwise denied licensure pursuant to Iowa Code section </w:t>
      </w:r>
      <w:hyperlink r:id="rId12">
        <w:r>
          <w:rPr>
            <w:rStyle w:val="Hyperlink"/>
            <w:rFonts w:ascii="Times New Roman" w:hAnsi="Times New Roman"/>
            <w:b w:val="false"/>
            <w:i w:val="false"/>
            <w:color w:val="000000"/>
            <w:sz w:val="22"/>
          </w:rPr>
          <w:t>522D.7</w:t>
        </w:r>
      </w:hyperlink>
      <w:r>
        <w:rPr>
          <w:rFonts w:ascii="Times New Roman" w:hAnsi="Times New Roman"/>
          <w:b w:val="false"/>
          <w:i w:val="false"/>
          <w:color w:val="000000"/>
          <w:sz w:val="22"/>
        </w:rPr>
        <w:t>, shall be issued a navigator license. A navigator license shall be valid for three years. A navigator license remains in effect unless revoked or suspended as long as all required fees are paid and continuing education requirements are met. A renewal term is three years. If not renewed, a navigator license automatically terminates on the last day of the month of the initial or renewal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navigator whose license has expired may seek reinstatement as set forth in rule </w:t>
      </w:r>
      <w:hyperlink r:id="rId13">
        <w:r>
          <w:rPr>
            <w:rStyle w:val="Hyperlink"/>
            <w:rFonts w:ascii="Times New Roman" w:hAnsi="Times New Roman"/>
            <w:b w:val="false"/>
            <w:i w:val="false"/>
            <w:color w:val="000000"/>
            <w:sz w:val="22"/>
          </w:rPr>
          <w:t>191—85.6</w:t>
        </w:r>
      </w:hyperlink>
      <w:r>
        <w:rPr>
          <w:rFonts w:ascii="Times New Roman" w:hAnsi="Times New Roman"/>
          <w:b w:val="false"/>
          <w:i w:val="false"/>
          <w:color w:val="000000"/>
          <w:sz w:val="22"/>
        </w:rPr>
        <w:t>(505,522D).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85.4(3)</w:t>
      </w:r>
      <w:r>
        <w:rPr>
          <w:rFonts w:ascii="Times New Roman" w:hAnsi="Times New Roman"/>
          <w:b w:val="false"/>
          <w:i w:val="false"/>
          <w:color w:val="000000"/>
          <w:sz w:val="22"/>
        </w:rPr>
        <w:t> </w:t>
      </w:r>
      <w:r>
        <w:rPr>
          <w:rFonts w:ascii="Times New Roman" w:hAnsi="Times New Roman"/>
          <w:b w:val="false"/>
          <w:i w:val="false"/>
          <w:color w:val="000000"/>
          <w:sz w:val="22"/>
        </w:rPr>
        <w:t>The license shall contain the navigator’s name and address, the date of issuance, the date of expiration and any other information the division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85.4(4)</w:t>
      </w:r>
      <w:r>
        <w:rPr>
          <w:rFonts w:ascii="Times New Roman" w:hAnsi="Times New Roman"/>
          <w:b w:val="false"/>
          <w:i w:val="false"/>
          <w:color w:val="000000"/>
          <w:sz w:val="22"/>
        </w:rPr>
        <w:t> </w:t>
      </w:r>
      <w:r>
        <w:rPr>
          <w:rFonts w:ascii="Times New Roman" w:hAnsi="Times New Roman"/>
          <w:b w:val="false"/>
          <w:i w:val="false"/>
          <w:color w:val="000000"/>
          <w:sz w:val="22"/>
        </w:rPr>
        <w:t>If the division issues or renews a navigator license and subsequently determines that payment for the license or renewal was returned without payment to the division by a bank, or that the credit card company does not approve or cancels or refuses amounts charged to the credit card, the license shall be immediately suspended until the payments are made and any fees or penalties charged by the division are paid, at which time the license may be reinstated. The individual may request a hearing within 30 days of receipt of notice by the division that the license was suspended.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191—85.5</w:t>
      </w:r>
      <w:r>
        <w:rPr>
          <w:rFonts w:ascii="Times New Roman" w:hAnsi="Times New Roman"/>
          <w:b/>
          <w:i w:val="false"/>
          <w:color w:val="000000"/>
          <w:sz w:val="22"/>
        </w:rPr>
        <w:t xml:space="preserve">(505,522D) </w:t>
      </w:r>
      <w:r>
        <w:rPr>
          <w:rFonts w:ascii="Times New Roman" w:hAnsi="Times New Roman"/>
          <w:b/>
          <w:i w:val="false"/>
          <w:color w:val="000000"/>
          <w:sz w:val="22"/>
        </w:rPr>
        <w:t xml:space="preserve">License renewal. </w:t>
      </w:r>
      <w:r>
        <w:rPr>
          <w:rFonts w:ascii="Times New Roman" w:hAnsi="Times New Roman"/>
          <w:b w:val="false"/>
          <w:i w:val="false"/>
          <w:color w:val="000000"/>
          <w:sz w:val="22"/>
        </w:rPr>
        <w:t>A navigator must apply for license renewal within 60 days prior to the expiration date of the license. Failure to apply to renew a license and pay appropriate fees prior to the expiration date of the license will result in expiration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191—85.6</w:t>
      </w:r>
      <w:r>
        <w:rPr>
          <w:rFonts w:ascii="Times New Roman" w:hAnsi="Times New Roman"/>
          <w:b/>
          <w:i w:val="false"/>
          <w:color w:val="000000"/>
          <w:sz w:val="22"/>
        </w:rPr>
        <w:t xml:space="preserve">(505,522D) </w:t>
      </w:r>
      <w:r>
        <w:rPr>
          <w:rFonts w:ascii="Times New Roman" w:hAnsi="Times New Roman"/>
          <w:b/>
          <w:i w:val="false"/>
          <w:color w:val="000000"/>
          <w:sz w:val="22"/>
        </w:rPr>
        <w:t xml:space="preserve">License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85.6(1)</w:t>
      </w:r>
      <w:r>
        <w:rPr>
          <w:rFonts w:ascii="Times New Roman" w:hAnsi="Times New Roman"/>
          <w:b w:val="false"/>
          <w:i w:val="false"/>
          <w:color w:val="000000"/>
          <w:sz w:val="22"/>
        </w:rPr>
        <w:t> </w:t>
      </w:r>
      <w:r>
        <w:rPr>
          <w:rFonts w:ascii="Times New Roman" w:hAnsi="Times New Roman"/>
          <w:b w:val="false"/>
          <w:i w:val="false"/>
          <w:color w:val="000000"/>
          <w:sz w:val="22"/>
        </w:rPr>
        <w:t>A navigator may reinstate an expired license up to 12 months after the license expiration date by proving that during the continuing education term the navigator met the continuing education requirements of this chapter and by paying a reinstatement fee and license renewal fees. A navigator that fails to apply for license reinstatement within 12 months of the license expiration date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85.6(2)</w:t>
      </w:r>
      <w:r>
        <w:rPr>
          <w:rFonts w:ascii="Times New Roman" w:hAnsi="Times New Roman"/>
          <w:b w:val="false"/>
          <w:i w:val="false"/>
          <w:color w:val="000000"/>
          <w:sz w:val="22"/>
        </w:rPr>
        <w:t> </w:t>
      </w:r>
      <w:r>
        <w:rPr>
          <w:rFonts w:ascii="Times New Roman" w:hAnsi="Times New Roman"/>
          <w:b w:val="false"/>
          <w:i w:val="false"/>
          <w:color w:val="000000"/>
          <w:sz w:val="22"/>
        </w:rPr>
        <w:t>A navigator that has surrendered a license for a nondisciplinary reason and stated an intent to exit the insurance business may file a request to reactivate the license. The request must be received at the division within 90 days of the date the license was placed on inactive status. The request will be granted if the former navigator is otherwise eligible to receive the license. If the request is not received within 90 days, the navigator must apply for a new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191—85.7</w:t>
      </w:r>
      <w:r>
        <w:rPr>
          <w:rFonts w:ascii="Times New Roman" w:hAnsi="Times New Roman"/>
          <w:b/>
          <w:i w:val="false"/>
          <w:color w:val="000000"/>
          <w:sz w:val="22"/>
        </w:rPr>
        <w:t xml:space="preserve">(505,522D) </w:t>
      </w:r>
      <w:r>
        <w:rPr>
          <w:rFonts w:ascii="Times New Roman" w:hAnsi="Times New Roman"/>
          <w:b/>
          <w:i w:val="false"/>
          <w:color w:val="000000"/>
          <w:sz w:val="22"/>
        </w:rPr>
        <w:t xml:space="preserve">Reinstatement or reissuance of a license after suspension, revocation or forfeiture in connection with disciplinary matters; and forfeiture in lieu of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85.7(1)</w:t>
      </w:r>
      <w:r>
        <w:rPr>
          <w:rFonts w:ascii="Times New Roman" w:hAnsi="Times New Roman"/>
          <w:b w:val="false"/>
          <w:i w:val="false"/>
          <w:color w:val="000000"/>
          <w:sz w:val="22"/>
        </w:rPr>
        <w:t> </w:t>
      </w:r>
      <w:r>
        <w:rPr>
          <w:rFonts w:ascii="Times New Roman" w:hAnsi="Times New Roman"/>
          <w:b w:val="false"/>
          <w:i w:val="false"/>
          <w:color w:val="000000"/>
          <w:sz w:val="22"/>
        </w:rPr>
        <w:t>The term “reinstatement” as used in this rule means the reinstatement of a suspended license. The term “reissuance” as used in this rule means the issuance of a new license following either the revocation of a license or the forfeiture of a license in connection with a disciplinary matter. This rule does not apply to the reinstatement of an expired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85.7(2)</w:t>
      </w:r>
      <w:r>
        <w:rPr>
          <w:rFonts w:ascii="Times New Roman" w:hAnsi="Times New Roman"/>
          <w:b w:val="false"/>
          <w:i w:val="false"/>
          <w:color w:val="000000"/>
          <w:sz w:val="22"/>
        </w:rPr>
        <w:t> </w:t>
      </w:r>
      <w:r>
        <w:rPr>
          <w:rFonts w:ascii="Times New Roman" w:hAnsi="Times New Roman"/>
          <w:b w:val="false"/>
          <w:i w:val="false"/>
          <w:color w:val="000000"/>
          <w:sz w:val="22"/>
        </w:rPr>
        <w:t>Any navigator whose license has been revoked or suspended by order, or that forfeited a license in connection with a disciplinary matter, may apply to the commissioner for reinstatement or reissuance in accordance with the terms of the order of revocation or suspension or the order accepting the forfeiture.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or reissuance shall be initiated by the applicant. The applicant shall file with the commissioner an application for reinstatement or reissuance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or reissuance shall allege facts which, if established, will be sufficient to enable the commissioner to determine that the basis of revocation, suspension or forfeiture of the applicant’s license no longer exists and that it will be in the public interest for the application to be granted. The burden of proof to establish such facts shall be 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navigator may request reinstatement of a suspended license prior to the end of the suspension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or suspension did not establish terms upon which reinstatement or reissuance may occur, or if the license was forfeited, an initial application for reinstatement or reissuance may not be made until at least one year has elapsed from the date of the order of the suspension, revocation, or acceptance of the forfeiture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85.7(3)</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upon the application for reinstatement or reissuance, including matters preliminary and ancillary thereto, shall be held in accordance with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Such application shall be recorded in the original case in which the original license was suspended, revoked, or forfeited, if a case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85.7(4)</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of reinstatement or reissuance shall be based upon a written decision which incorporates findings of fact and conclusions of law. An order granting an application for reinstatement or reissuance may impose such terms and conditions as the commissioner or the commissioner’s designee deems desirable. The order shall be a public record, available to the public, and may be disseminated in accordance with Iowa Code chapter </w:t>
      </w:r>
      <w:hyperlink r:id="rId1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85.7(5)</w:t>
      </w:r>
      <w:r>
        <w:rPr>
          <w:rFonts w:ascii="Times New Roman" w:hAnsi="Times New Roman"/>
          <w:b w:val="false"/>
          <w:i w:val="false"/>
          <w:color w:val="000000"/>
          <w:sz w:val="22"/>
        </w:rPr>
        <w:t> </w:t>
      </w:r>
      <w:r>
        <w:rPr>
          <w:rFonts w:ascii="Times New Roman" w:hAnsi="Times New Roman"/>
          <w:b w:val="false"/>
          <w:i w:val="false"/>
          <w:color w:val="000000"/>
          <w:sz w:val="22"/>
        </w:rPr>
        <w:t>A request for voluntary forfeiture of a license shall be made in writing to the commissioner. Forfeiture of a license is effective upon submission of the request unless a contested case proceeding is pending at the time the request is submitted. If a contested case proceeding is pending at the time of the request, the forfeiture becomes effective when and upon such conditions as required by order of the commissioner. A forfeiture made during the pendency of a contested case proceeding is considered disciplinary action and shall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85.7(6)</w:t>
      </w:r>
      <w:r>
        <w:rPr>
          <w:rFonts w:ascii="Times New Roman" w:hAnsi="Times New Roman"/>
          <w:b w:val="false"/>
          <w:i w:val="false"/>
          <w:color w:val="000000"/>
          <w:sz w:val="22"/>
        </w:rPr>
        <w:t> </w:t>
      </w:r>
      <w:r>
        <w:rPr>
          <w:rFonts w:ascii="Times New Roman" w:hAnsi="Times New Roman"/>
          <w:b w:val="false"/>
          <w:i w:val="false"/>
          <w:color w:val="000000"/>
          <w:sz w:val="22"/>
        </w:rPr>
        <w:t>When a navigator’s license has been suspended for a period of time which extends beyond the navigator’s license expiration date, the license will terminate. The navigator may request reinstatement pursuant to this rule. If suspension for a period of time ends prior to the navigator’s license expiration date, the division shall reinstate the license at the end of the suspension period. The commissioner is not prohibited from bringing an additional immediate action if the navigator has engaged in misconduct during the period of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191—85.8</w:t>
      </w:r>
      <w:r>
        <w:rPr>
          <w:rFonts w:ascii="Times New Roman" w:hAnsi="Times New Roman"/>
          <w:b/>
          <w:i w:val="false"/>
          <w:color w:val="000000"/>
          <w:sz w:val="22"/>
        </w:rPr>
        <w:t xml:space="preserve">(505,522D) </w:t>
      </w:r>
      <w:r>
        <w:rPr>
          <w:rFonts w:ascii="Times New Roman" w:hAnsi="Times New Roman"/>
          <w:b/>
          <w:i w:val="false"/>
          <w:color w:val="000000"/>
          <w:sz w:val="22"/>
        </w:rPr>
        <w:t xml:space="preserve">Change in name, address or state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85.8(1)</w:t>
      </w:r>
      <w:r>
        <w:rPr>
          <w:rFonts w:ascii="Times New Roman" w:hAnsi="Times New Roman"/>
          <w:b w:val="false"/>
          <w:i w:val="false"/>
          <w:color w:val="000000"/>
          <w:sz w:val="22"/>
        </w:rPr>
        <w:t> </w:t>
      </w:r>
      <w:r>
        <w:rPr>
          <w:rFonts w:ascii="Times New Roman" w:hAnsi="Times New Roman"/>
          <w:b w:val="false"/>
          <w:i w:val="false"/>
          <w:color w:val="000000"/>
          <w:sz w:val="22"/>
        </w:rPr>
        <w:t>If a navigator changes the navigator’s legal name, the navigator must file written notification with the division within 30 days of the name change. The notification must include the navigator’s previous name and new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85.8(2)</w:t>
      </w:r>
      <w:r>
        <w:rPr>
          <w:rFonts w:ascii="Times New Roman" w:hAnsi="Times New Roman"/>
          <w:b w:val="false"/>
          <w:i w:val="false"/>
          <w:color w:val="000000"/>
          <w:sz w:val="22"/>
        </w:rPr>
        <w:t> </w:t>
      </w:r>
      <w:r>
        <w:rPr>
          <w:rFonts w:ascii="Times New Roman" w:hAnsi="Times New Roman"/>
          <w:b w:val="false"/>
          <w:i w:val="false"/>
          <w:color w:val="000000"/>
          <w:sz w:val="22"/>
        </w:rPr>
        <w:t>If a navigator changes the navigator’s address, the navigator must file written notification with the division within 30 days of the address change. The notification must include the navigator’s name, previous address, and new address. A navigator may designate a business address instead of a residential address at the option of the navigator.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85.8(3)</w:t>
      </w:r>
      <w:r>
        <w:rPr>
          <w:rFonts w:ascii="Times New Roman" w:hAnsi="Times New Roman"/>
          <w:b w:val="false"/>
          <w:i w:val="false"/>
          <w:color w:val="000000"/>
          <w:sz w:val="22"/>
        </w:rPr>
        <w:t> </w:t>
      </w:r>
      <w:r>
        <w:rPr>
          <w:rFonts w:ascii="Times New Roman" w:hAnsi="Times New Roman"/>
          <w:b w:val="false"/>
          <w:i w:val="false"/>
          <w:color w:val="000000"/>
          <w:sz w:val="22"/>
        </w:rPr>
        <w:t>If a navigator has provided an email address to the division, the division has the option to send information to the navigator through the email address rather than through the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191—85.9</w:t>
      </w:r>
      <w:r>
        <w:rPr>
          <w:rFonts w:ascii="Times New Roman" w:hAnsi="Times New Roman"/>
          <w:b/>
          <w:i w:val="false"/>
          <w:color w:val="000000"/>
          <w:sz w:val="22"/>
        </w:rPr>
        <w:t xml:space="preserve">(505,522D) </w:t>
      </w:r>
      <w:r>
        <w:rPr>
          <w:rFonts w:ascii="Times New Roman" w:hAnsi="Times New Roman"/>
          <w:b/>
          <w:i w:val="false"/>
          <w:color w:val="000000"/>
          <w:sz w:val="22"/>
        </w:rPr>
        <w:t xml:space="preserve">Licensing of a business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85.9(1)</w:t>
      </w:r>
      <w:r>
        <w:rPr>
          <w:rFonts w:ascii="Times New Roman" w:hAnsi="Times New Roman"/>
          <w:b w:val="false"/>
          <w:i w:val="false"/>
          <w:color w:val="000000"/>
          <w:sz w:val="22"/>
        </w:rPr>
        <w:t> </w:t>
      </w:r>
      <w:r>
        <w:rPr>
          <w:rFonts w:ascii="Times New Roman" w:hAnsi="Times New Roman"/>
          <w:b w:val="false"/>
          <w:i w:val="false"/>
          <w:color w:val="000000"/>
          <w:sz w:val="22"/>
        </w:rPr>
        <w:t>A business entity that has been appointed as a navigator shall obtain a navigator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85.9(2)</w:t>
      </w:r>
      <w:r>
        <w:rPr>
          <w:rFonts w:ascii="Times New Roman" w:hAnsi="Times New Roman"/>
          <w:b w:val="false"/>
          <w:i w:val="false"/>
          <w:color w:val="000000"/>
          <w:sz w:val="22"/>
        </w:rPr>
        <w:t> </w:t>
      </w:r>
      <w:r>
        <w:rPr>
          <w:rFonts w:ascii="Times New Roman" w:hAnsi="Times New Roman"/>
          <w:b w:val="false"/>
          <w:i w:val="false"/>
          <w:color w:val="000000"/>
          <w:sz w:val="22"/>
        </w:rPr>
        <w:t>Navigator entities shall be exempt from the requirements of training, examination, and continuing education. All individual navigators that are hired, retained, recruited, employed, affiliated, work for or in conjunction, or as a part of a consortium, with a navigator entity shall be subject to all training, examination, and continuing education requirements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85.9(3)</w:t>
      </w:r>
      <w:r>
        <w:rPr>
          <w:rFonts w:ascii="Times New Roman" w:hAnsi="Times New Roman"/>
          <w:b w:val="false"/>
          <w:i w:val="false"/>
          <w:color w:val="000000"/>
          <w:sz w:val="22"/>
        </w:rPr>
        <w:t> </w:t>
      </w:r>
      <w:r>
        <w:rPr>
          <w:rFonts w:ascii="Times New Roman" w:hAnsi="Times New Roman"/>
          <w:b w:val="false"/>
          <w:i w:val="false"/>
          <w:color w:val="000000"/>
          <w:sz w:val="22"/>
        </w:rPr>
        <w:t>Navigator entities shall be liable for the acts of individual navigators that are hired, retained, recruited, employed, affiliated, work for or in conjunction, or as a part of a consortium, with a navigator entity when the individual navigator is performing the duties of or acting as a navigator.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85.9(4)</w:t>
      </w:r>
      <w:r>
        <w:rPr>
          <w:rFonts w:ascii="Times New Roman" w:hAnsi="Times New Roman"/>
          <w:b w:val="false"/>
          <w:i w:val="false"/>
          <w:color w:val="000000"/>
          <w:sz w:val="22"/>
        </w:rPr>
        <w:t> </w:t>
      </w:r>
      <w:r>
        <w:rPr>
          <w:rFonts w:ascii="Times New Roman" w:hAnsi="Times New Roman"/>
          <w:b w:val="false"/>
          <w:i w:val="false"/>
          <w:color w:val="000000"/>
          <w:sz w:val="22"/>
        </w:rPr>
        <w:t xml:space="preserve">A navigator entity shall notify the division in writing, within 30 days, when a relationship is terminated with an individual navigator who was formally retained, employed, or affiliated with, or worked for or in conjunction, or as a part of a consortium, with that navigator entity. The notification submitted by the navigator entity shall indicate if the termination was for cause and if the reason was one of the reasons set forth in Iowa Code section </w:t>
      </w:r>
      <w:hyperlink r:id="rId16">
        <w:r>
          <w:rPr>
            <w:rStyle w:val="Hyperlink"/>
            <w:rFonts w:ascii="Times New Roman" w:hAnsi="Times New Roman"/>
            <w:b w:val="false"/>
            <w:i w:val="false"/>
            <w:color w:val="000000"/>
            <w:sz w:val="22"/>
          </w:rPr>
          <w:t>522D.7</w:t>
        </w:r>
      </w:hyperlink>
      <w:r>
        <w:rPr>
          <w:rFonts w:ascii="Times New Roman" w:hAnsi="Times New Roman"/>
          <w:b w:val="false"/>
          <w:i w:val="false"/>
          <w:color w:val="000000"/>
          <w:sz w:val="22"/>
        </w:rPr>
        <w:t xml:space="preserve">. The navigator entity shall comply with Iowa Code section </w:t>
      </w:r>
      <w:hyperlink r:id="rId17">
        <w:r>
          <w:rPr>
            <w:rStyle w:val="Hyperlink"/>
            <w:rFonts w:ascii="Times New Roman" w:hAnsi="Times New Roman"/>
            <w:b w:val="false"/>
            <w:i w:val="false"/>
            <w:color w:val="000000"/>
            <w:sz w:val="22"/>
          </w:rPr>
          <w:t>522D.8</w:t>
        </w:r>
      </w:hyperlink>
      <w:r>
        <w:rPr>
          <w:rFonts w:ascii="Times New Roman" w:hAnsi="Times New Roman"/>
          <w:b w:val="false"/>
          <w:i w:val="false"/>
          <w:color w:val="000000"/>
          <w:sz w:val="22"/>
        </w:rPr>
        <w:t xml:space="preserve"> and, upon request, furnish to the commissioner or authorized representative additional information, documents, records or other data pertaining to the termination or activity of the individual navigator.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1710C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191—85.10</w:t>
      </w:r>
      <w:r>
        <w:rPr>
          <w:rFonts w:ascii="Times New Roman" w:hAnsi="Times New Roman"/>
          <w:b/>
          <w:i w:val="false"/>
          <w:color w:val="000000"/>
          <w:sz w:val="22"/>
        </w:rPr>
        <w:t xml:space="preserve">(505,522D) </w:t>
      </w:r>
      <w:r>
        <w:rPr>
          <w:rFonts w:ascii="Times New Roman" w:hAnsi="Times New Roman"/>
          <w:b/>
          <w:i w:val="false"/>
          <w:color w:val="000000"/>
          <w:sz w:val="22"/>
        </w:rPr>
        <w:t xml:space="preserve">Initial training of navigators.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85.10(1)</w:t>
      </w:r>
      <w:r>
        <w:rPr>
          <w:rFonts w:ascii="Times New Roman" w:hAnsi="Times New Roman"/>
          <w:b w:val="false"/>
          <w:i w:val="false"/>
          <w:color w:val="000000"/>
          <w:sz w:val="22"/>
        </w:rPr>
        <w:t> </w:t>
      </w:r>
      <w:r>
        <w:rPr>
          <w:rFonts w:ascii="Times New Roman" w:hAnsi="Times New Roman"/>
          <w:b w:val="false"/>
          <w:i w:val="false"/>
          <w:color w:val="000000"/>
          <w:sz w:val="22"/>
        </w:rPr>
        <w:t>Individual navigators shall complete a minimum of 32 credits of initial training in courses approved by the commissioner. Initial training must include a minimum of 2 credits of Iowa-specific training on Medicaid and healthy and well kids in Iowa program training, as well as a minimum of 1 credit in the subject of ethics. Navigators shall be responsible for obtaining their own training. An individual navigator may apply for waiver of this requirement should training not be accessible at the level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85.10(2)</w:t>
      </w:r>
      <w:r>
        <w:rPr>
          <w:rFonts w:ascii="Times New Roman" w:hAnsi="Times New Roman"/>
          <w:b w:val="false"/>
          <w:i w:val="false"/>
          <w:color w:val="000000"/>
          <w:sz w:val="22"/>
        </w:rPr>
        <w:t> </w:t>
      </w:r>
      <w:r>
        <w:rPr>
          <w:rFonts w:ascii="Times New Roman" w:hAnsi="Times New Roman"/>
          <w:b w:val="false"/>
          <w:i w:val="false"/>
          <w:color w:val="000000"/>
          <w:sz w:val="22"/>
        </w:rPr>
        <w:t>Courses provided by the federal government or approved by the federal government on ACA-related topics will be considered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85.10(3)</w:t>
      </w:r>
      <w:r>
        <w:rPr>
          <w:rFonts w:ascii="Times New Roman" w:hAnsi="Times New Roman"/>
          <w:b w:val="false"/>
          <w:i w:val="false"/>
          <w:color w:val="000000"/>
          <w:sz w:val="22"/>
        </w:rPr>
        <w:t> </w:t>
      </w:r>
      <w:r>
        <w:rPr>
          <w:rFonts w:ascii="Times New Roman" w:hAnsi="Times New Roman"/>
          <w:b w:val="false"/>
          <w:i w:val="false"/>
          <w:color w:val="000000"/>
          <w:sz w:val="22"/>
        </w:rPr>
        <w:t>Individual navigators shall complete all training and certification requirements provided by the U.S.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191—85.11</w:t>
      </w:r>
      <w:r>
        <w:rPr>
          <w:rFonts w:ascii="Times New Roman" w:hAnsi="Times New Roman"/>
          <w:b/>
          <w:i w:val="false"/>
          <w:color w:val="000000"/>
          <w:sz w:val="22"/>
        </w:rPr>
        <w:t xml:space="preserve">(505,522D) </w:t>
      </w:r>
      <w:r>
        <w:rPr>
          <w:rFonts w:ascii="Times New Roman" w:hAnsi="Times New Roman"/>
          <w:b/>
          <w:i w:val="false"/>
          <w:color w:val="000000"/>
          <w:sz w:val="22"/>
        </w:rPr>
        <w:t xml:space="preserve">Continuing education requirements for navigators.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85.11(1)</w:t>
      </w:r>
      <w:r>
        <w:rPr>
          <w:rFonts w:ascii="Times New Roman" w:hAnsi="Times New Roman"/>
          <w:b w:val="false"/>
          <w:i w:val="false"/>
          <w:color w:val="000000"/>
          <w:sz w:val="22"/>
        </w:rPr>
        <w:t> </w:t>
      </w:r>
      <w:r>
        <w:rPr>
          <w:rFonts w:ascii="Times New Roman" w:hAnsi="Times New Roman"/>
          <w:b w:val="false"/>
          <w:i w:val="false"/>
          <w:color w:val="000000"/>
          <w:sz w:val="22"/>
        </w:rPr>
        <w:t>Prior to each renewal term, individual navigators must complete a minimum of 36 continuing education credits for each continuing education term in courses approved by the commissioner on subjects relevant to navigators, including health insurance, tax credits, tax penalties, Medicaid, the healthy and well kids in Iowa program, health care-related public assistance programs, or other ACA-related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85.11(2)</w:t>
      </w:r>
      <w:r>
        <w:rPr>
          <w:rFonts w:ascii="Times New Roman" w:hAnsi="Times New Roman"/>
          <w:b w:val="false"/>
          <w:i w:val="false"/>
          <w:color w:val="000000"/>
          <w:sz w:val="22"/>
        </w:rPr>
        <w:t> </w:t>
      </w:r>
      <w:r>
        <w:rPr>
          <w:rFonts w:ascii="Times New Roman" w:hAnsi="Times New Roman"/>
          <w:b w:val="false"/>
          <w:i w:val="false"/>
          <w:color w:val="000000"/>
          <w:sz w:val="22"/>
        </w:rPr>
        <w:t>Courses provided by the federal government or approved by the federal government on ACA-related topics will be considered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85.11(3)</w:t>
      </w:r>
      <w:r>
        <w:rPr>
          <w:rFonts w:ascii="Times New Roman" w:hAnsi="Times New Roman"/>
          <w:b w:val="false"/>
          <w:i w:val="false"/>
          <w:color w:val="000000"/>
          <w:sz w:val="22"/>
        </w:rPr>
        <w:t> </w:t>
      </w:r>
      <w:r>
        <w:rPr>
          <w:rFonts w:ascii="Times New Roman" w:hAnsi="Times New Roman"/>
          <w:b w:val="false"/>
          <w:i w:val="false"/>
          <w:color w:val="000000"/>
          <w:sz w:val="22"/>
        </w:rPr>
        <w:t>A navigator shall not carry over continuing education requirements from one term to the next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85.11(4)</w:t>
      </w:r>
      <w:r>
        <w:rPr>
          <w:rFonts w:ascii="Times New Roman" w:hAnsi="Times New Roman"/>
          <w:b w:val="false"/>
          <w:i w:val="false"/>
          <w:color w:val="000000"/>
          <w:sz w:val="22"/>
        </w:rPr>
        <w:t> </w:t>
      </w:r>
      <w:r>
        <w:rPr>
          <w:rFonts w:ascii="Times New Roman" w:hAnsi="Times New Roman"/>
          <w:b w:val="false"/>
          <w:i w:val="false"/>
          <w:color w:val="000000"/>
          <w:sz w:val="22"/>
        </w:rPr>
        <w:t>A navigator shall not receive continuing education credit for the same course taken twice in the term of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191—85.12</w:t>
      </w:r>
      <w:r>
        <w:rPr>
          <w:rFonts w:ascii="Times New Roman" w:hAnsi="Times New Roman"/>
          <w:b/>
          <w:i w:val="false"/>
          <w:color w:val="000000"/>
          <w:sz w:val="22"/>
        </w:rPr>
        <w:t xml:space="preserve">(505,522D) </w:t>
      </w:r>
      <w:r>
        <w:rPr>
          <w:rFonts w:ascii="Times New Roman" w:hAnsi="Times New Roman"/>
          <w:b/>
          <w:i w:val="false"/>
          <w:color w:val="000000"/>
          <w:sz w:val="22"/>
        </w:rPr>
        <w:t xml:space="preserve">Administration of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85.12(1)</w:t>
      </w:r>
      <w:r>
        <w:rPr>
          <w:rFonts w:ascii="Times New Roman" w:hAnsi="Times New Roman"/>
          <w:b w:val="false"/>
          <w:i w:val="false"/>
          <w:color w:val="000000"/>
          <w:sz w:val="22"/>
        </w:rPr>
        <w:t> </w:t>
      </w:r>
      <w:r>
        <w:rPr>
          <w:rFonts w:ascii="Times New Roman" w:hAnsi="Times New Roman"/>
          <w:b w:val="false"/>
          <w:i w:val="false"/>
          <w:color w:val="000000"/>
          <w:sz w:val="22"/>
        </w:rPr>
        <w:t>The commissioner will enter into a contractual relationship with an outside testing service to provide the licensing examinations for individual navigators.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85.12(2)</w:t>
      </w:r>
      <w:r>
        <w:rPr>
          <w:rFonts w:ascii="Times New Roman" w:hAnsi="Times New Roman"/>
          <w:b w:val="false"/>
          <w:i w:val="false"/>
          <w:color w:val="000000"/>
          <w:sz w:val="22"/>
        </w:rPr>
        <w:t> </w:t>
      </w:r>
      <w:r>
        <w:rPr>
          <w:rFonts w:ascii="Times New Roman" w:hAnsi="Times New Roman"/>
          <w:b w:val="false"/>
          <w:i w:val="false"/>
          <w:color w:val="000000"/>
          <w:sz w:val="22"/>
        </w:rPr>
        <w:t>The outside testing service will administer all examinations for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85.12(3)</w:t>
      </w:r>
      <w:r>
        <w:rPr>
          <w:rFonts w:ascii="Times New Roman" w:hAnsi="Times New Roman"/>
          <w:b w:val="false"/>
          <w:i w:val="false"/>
          <w:color w:val="000000"/>
          <w:sz w:val="22"/>
        </w:rPr>
        <w:t> </w:t>
      </w:r>
      <w:r>
        <w:rPr>
          <w:rFonts w:ascii="Times New Roman" w:hAnsi="Times New Roman"/>
          <w:b w:val="false"/>
          <w:i w:val="false"/>
          <w:color w:val="000000"/>
          <w:sz w:val="22"/>
        </w:rPr>
        <w:t>The testing service will inform the applicants of procedures and requirements for taking the licensing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85.12(4)</w:t>
      </w:r>
      <w:r>
        <w:rPr>
          <w:rFonts w:ascii="Times New Roman" w:hAnsi="Times New Roman"/>
          <w:b w:val="false"/>
          <w:i w:val="false"/>
          <w:color w:val="000000"/>
          <w:sz w:val="22"/>
        </w:rPr>
        <w:t> </w:t>
      </w:r>
      <w:r>
        <w:rPr>
          <w:rFonts w:ascii="Times New Roman" w:hAnsi="Times New Roman"/>
          <w:b w:val="false"/>
          <w:i w:val="false"/>
          <w:color w:val="000000"/>
          <w:sz w:val="22"/>
        </w:rPr>
        <w:t>The fee for examination shall be determined by the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85.12(5)</w:t>
      </w:r>
      <w:r>
        <w:rPr>
          <w:rFonts w:ascii="Times New Roman" w:hAnsi="Times New Roman"/>
          <w:b w:val="false"/>
          <w:i w:val="false"/>
          <w:color w:val="000000"/>
          <w:sz w:val="22"/>
        </w:rPr>
        <w:t> </w:t>
      </w:r>
      <w:r>
        <w:rPr>
          <w:rFonts w:ascii="Times New Roman" w:hAnsi="Times New Roman"/>
          <w:b w:val="false"/>
          <w:i w:val="false"/>
          <w:color w:val="000000"/>
          <w:sz w:val="22"/>
        </w:rPr>
        <w:t>A listing of subjects that could potentially be included on the navigator’s examination may be provided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85.12(6)</w:t>
      </w:r>
      <w:r>
        <w:rPr>
          <w:rFonts w:ascii="Times New Roman" w:hAnsi="Times New Roman"/>
          <w:b w:val="false"/>
          <w:i w:val="false"/>
          <w:color w:val="000000"/>
          <w:sz w:val="22"/>
        </w:rPr>
        <w:t> </w:t>
      </w:r>
      <w:r>
        <w:rPr>
          <w:rFonts w:ascii="Times New Roman" w:hAnsi="Times New Roman"/>
          <w:b w:val="false"/>
          <w:i w:val="false"/>
          <w:color w:val="000000"/>
          <w:sz w:val="22"/>
        </w:rPr>
        <w:t>Examination results are valid for 90 days after the date of the test. Failure to apply for licensure within 90 days after the examination is passed shall void the examination results.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191—85.13</w:t>
      </w:r>
      <w:r>
        <w:rPr>
          <w:rFonts w:ascii="Times New Roman" w:hAnsi="Times New Roman"/>
          <w:b/>
          <w:i w:val="false"/>
          <w:color w:val="000000"/>
          <w:sz w:val="22"/>
        </w:rPr>
        <w:t xml:space="preserve">(505,522D)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85.13(1)</w:t>
      </w:r>
      <w:r>
        <w:rPr>
          <w:rFonts w:ascii="Times New Roman" w:hAnsi="Times New Roman"/>
          <w:b w:val="false"/>
          <w:i w:val="false"/>
          <w:color w:val="000000"/>
          <w:sz w:val="22"/>
        </w:rPr>
        <w:t> </w:t>
      </w:r>
      <w:r>
        <w:rPr>
          <w:rFonts w:ascii="Times New Roman" w:hAnsi="Times New Roman"/>
          <w:b w:val="false"/>
          <w:i w:val="false"/>
          <w:color w:val="000000"/>
          <w:sz w:val="22"/>
        </w:rPr>
        <w:t>Fees may be paid by check or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85.13(2)</w:t>
      </w:r>
      <w:r>
        <w:rPr>
          <w:rFonts w:ascii="Times New Roman" w:hAnsi="Times New Roman"/>
          <w:b w:val="false"/>
          <w:i w:val="false"/>
          <w:color w:val="000000"/>
          <w:sz w:val="22"/>
        </w:rPr>
        <w:t> </w:t>
      </w:r>
      <w:r>
        <w:rPr>
          <w:rFonts w:ascii="Times New Roman" w:hAnsi="Times New Roman"/>
          <w:b w:val="false"/>
          <w:i w:val="false"/>
          <w:color w:val="000000"/>
          <w:sz w:val="22"/>
        </w:rPr>
        <w:t>The fee for issuance or renewal of a navigator license is $20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85.13(3)</w:t>
      </w:r>
      <w:r>
        <w:rPr>
          <w:rFonts w:ascii="Times New Roman" w:hAnsi="Times New Roman"/>
          <w:b w:val="false"/>
          <w:i w:val="false"/>
          <w:color w:val="000000"/>
          <w:sz w:val="22"/>
        </w:rPr>
        <w:t> </w:t>
      </w:r>
      <w:r>
        <w:rPr>
          <w:rFonts w:ascii="Times New Roman" w:hAnsi="Times New Roman"/>
          <w:b w:val="false"/>
          <w:i w:val="false"/>
          <w:color w:val="000000"/>
          <w:sz w:val="22"/>
        </w:rPr>
        <w:t>The fee for reinstatement of a navigator license is a total of the renewal fee plus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85.13(4)</w:t>
      </w:r>
      <w:r>
        <w:rPr>
          <w:rFonts w:ascii="Times New Roman" w:hAnsi="Times New Roman"/>
          <w:b w:val="false"/>
          <w:i w:val="false"/>
          <w:color w:val="000000"/>
          <w:sz w:val="22"/>
        </w:rPr>
        <w:t> </w:t>
      </w:r>
      <w:r>
        <w:rPr>
          <w:rFonts w:ascii="Times New Roman" w:hAnsi="Times New Roman"/>
          <w:b w:val="false"/>
          <w:i w:val="false"/>
          <w:color w:val="000000"/>
          <w:sz w:val="22"/>
        </w:rPr>
        <w:t>The division may charge a reasonable fee for the compilation and production of navigator licensing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191—85.14</w:t>
      </w:r>
      <w:r>
        <w:rPr>
          <w:rFonts w:ascii="Times New Roman" w:hAnsi="Times New Roman"/>
          <w:b/>
          <w:i w:val="false"/>
          <w:color w:val="000000"/>
          <w:sz w:val="22"/>
        </w:rPr>
        <w:t xml:space="preserve">(505,522D) </w:t>
      </w:r>
      <w:r>
        <w:rPr>
          <w:rFonts w:ascii="Times New Roman" w:hAnsi="Times New Roman"/>
          <w:b/>
          <w:i w:val="false"/>
          <w:color w:val="000000"/>
          <w:sz w:val="22"/>
        </w:rPr>
        <w:t xml:space="preserve">Evidence of financial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85.14(1)</w:t>
      </w:r>
      <w:r>
        <w:rPr>
          <w:rFonts w:ascii="Times New Roman" w:hAnsi="Times New Roman"/>
          <w:b w:val="false"/>
          <w:i w:val="false"/>
          <w:color w:val="000000"/>
          <w:sz w:val="22"/>
        </w:rPr>
        <w:t> </w:t>
      </w:r>
      <w:r>
        <w:rPr>
          <w:rFonts w:ascii="Times New Roman" w:hAnsi="Times New Roman"/>
          <w:b w:val="false"/>
          <w:i w:val="false"/>
          <w:color w:val="000000"/>
          <w:sz w:val="22"/>
        </w:rPr>
        <w:t>Prior to the issuance by the division of a license as a navigator and for the duration of the license, including any renewal thereof, a navigator shall secure and maintain evidence of financial responsibility in the form of a surety bond or other alternative financial responsibility instrument that protects individuals and entities against wrongful acts, misrepresentations, errors, omissions, or negligence of the navigator, or other violation of insurance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85.14(2)</w:t>
      </w:r>
      <w:r>
        <w:rPr>
          <w:rFonts w:ascii="Times New Roman" w:hAnsi="Times New Roman"/>
          <w:b w:val="false"/>
          <w:i w:val="false"/>
          <w:color w:val="000000"/>
          <w:sz w:val="22"/>
        </w:rPr>
        <w:t> </w:t>
      </w:r>
      <w:r>
        <w:rPr>
          <w:rFonts w:ascii="Times New Roman" w:hAnsi="Times New Roman"/>
          <w:b w:val="false"/>
          <w:i w:val="false"/>
          <w:color w:val="000000"/>
          <w:sz w:val="22"/>
        </w:rPr>
        <w:t>The minimum coverage for financial responsibility shall be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85.14(3)</w:t>
      </w:r>
      <w:r>
        <w:rPr>
          <w:rFonts w:ascii="Times New Roman" w:hAnsi="Times New Roman"/>
          <w:b w:val="false"/>
          <w:i w:val="false"/>
          <w:color w:val="000000"/>
          <w:sz w:val="22"/>
        </w:rPr>
        <w:t> </w:t>
      </w:r>
      <w:r>
        <w:rPr>
          <w:rFonts w:ascii="Times New Roman" w:hAnsi="Times New Roman"/>
          <w:b w:val="false"/>
          <w:i w:val="false"/>
          <w:color w:val="000000"/>
          <w:sz w:val="22"/>
        </w:rPr>
        <w:t>A navigator shall immediately inform the commissioner in writing of any pending termination of a written financial responsibility instrument. The navigator shall secure a new financial responsibility instrument and provide evidence of new financial responsibility to the commissioner prior to the date of termination for the existing financial responsibility instrument. If evidence of a new financial responsibility instrument is not provided to the commissioner prior to termination, the navigator’s license shall be forfeited.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85.14(4)</w:t>
      </w:r>
      <w:r>
        <w:rPr>
          <w:rFonts w:ascii="Times New Roman" w:hAnsi="Times New Roman"/>
          <w:b w:val="false"/>
          <w:i w:val="false"/>
          <w:color w:val="000000"/>
          <w:sz w:val="22"/>
        </w:rPr>
        <w:t> </w:t>
      </w:r>
      <w:r>
        <w:rPr>
          <w:rFonts w:ascii="Times New Roman" w:hAnsi="Times New Roman"/>
          <w:b w:val="false"/>
          <w:i w:val="false"/>
          <w:color w:val="000000"/>
          <w:sz w:val="22"/>
        </w:rPr>
        <w:t>An individual navigator may meet the financial responsibility requirement if the individual navigator is covered by the financial responsibility instrument issued to a navigator entity with which the individual navigator is affiliated.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85.14(5)</w:t>
      </w:r>
      <w:r>
        <w:rPr>
          <w:rFonts w:ascii="Times New Roman" w:hAnsi="Times New Roman"/>
          <w:b w:val="false"/>
          <w:i w:val="false"/>
          <w:color w:val="000000"/>
          <w:sz w:val="22"/>
        </w:rPr>
        <w:t> </w:t>
      </w:r>
      <w:r>
        <w:rPr>
          <w:rFonts w:ascii="Times New Roman" w:hAnsi="Times New Roman"/>
          <w:b w:val="false"/>
          <w:i w:val="false"/>
          <w:color w:val="000000"/>
          <w:sz w:val="22"/>
        </w:rPr>
        <w:t>A navigator’s financial responsibility instrument shall specifically authorize recovery by the commissioner on behalf of any person in Iowa that sustained damages as the result of wrongful acts, misrepresentations, errors, omissions, or negligence of the navigator, or other violation of insurance law in the individual’s or entity’s capacity as a navigator.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191—85.15</w:t>
      </w:r>
      <w:r>
        <w:rPr>
          <w:rFonts w:ascii="Times New Roman" w:hAnsi="Times New Roman"/>
          <w:b/>
          <w:i w:val="false"/>
          <w:color w:val="000000"/>
          <w:sz w:val="22"/>
        </w:rPr>
        <w:t xml:space="preserve">(505,522D) </w:t>
      </w:r>
      <w:r>
        <w:rPr>
          <w:rFonts w:ascii="Times New Roman" w:hAnsi="Times New Roman"/>
          <w:b/>
          <w:i w:val="false"/>
          <w:color w:val="000000"/>
          <w:sz w:val="22"/>
        </w:rPr>
        <w:t xml:space="preserve">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85.15(1)</w:t>
      </w:r>
      <w:r>
        <w:rPr>
          <w:rFonts w:ascii="Times New Roman" w:hAnsi="Times New Roman"/>
          <w:b w:val="false"/>
          <w:i w:val="false"/>
          <w:color w:val="000000"/>
          <w:sz w:val="22"/>
        </w:rPr>
        <w:t> </w:t>
      </w:r>
      <w:r>
        <w:rPr>
          <w:rFonts w:ascii="Times New Roman" w:hAnsi="Times New Roman"/>
          <w:b w:val="false"/>
          <w:i w:val="false"/>
          <w:color w:val="000000"/>
          <w:sz w:val="22"/>
        </w:rPr>
        <w:t>Navigators shall comply with all federal and state statutes, regulations, and rules affecting insurance and navigators.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85.15(2)</w:t>
      </w:r>
      <w:r>
        <w:rPr>
          <w:rFonts w:ascii="Times New Roman" w:hAnsi="Times New Roman"/>
          <w:b w:val="false"/>
          <w:i w:val="false"/>
          <w:color w:val="000000"/>
          <w:sz w:val="22"/>
        </w:rPr>
        <w:t> </w:t>
      </w:r>
      <w:r>
        <w:rPr>
          <w:rFonts w:ascii="Times New Roman" w:hAnsi="Times New Roman"/>
          <w:b w:val="false"/>
          <w:i w:val="false"/>
          <w:color w:val="000000"/>
          <w:sz w:val="22"/>
        </w:rPr>
        <w:t xml:space="preserve">Navigators shall comply with any inquiries or requests submitted by the commissioner. Navigators shall respond to requests by the commissioner within the time designated in the request. A navigator that fails to provide the information in the time requested or fails to obtain an approved extension shall be subject to penalties as set forth in Iowa Code section </w:t>
      </w:r>
      <w:hyperlink r:id="rId18">
        <w:r>
          <w:rPr>
            <w:rStyle w:val="Hyperlink"/>
            <w:rFonts w:ascii="Times New Roman" w:hAnsi="Times New Roman"/>
            <w:b w:val="false"/>
            <w:i w:val="false"/>
            <w:color w:val="000000"/>
            <w:sz w:val="22"/>
          </w:rPr>
          <w:t>522D.8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85.15(3)</w:t>
      </w:r>
      <w:r>
        <w:rPr>
          <w:rFonts w:ascii="Times New Roman" w:hAnsi="Times New Roman"/>
          <w:b w:val="false"/>
          <w:i w:val="false"/>
          <w:color w:val="000000"/>
          <w:sz w:val="22"/>
        </w:rPr>
        <w:t> </w:t>
      </w:r>
      <w:r>
        <w:rPr>
          <w:rFonts w:ascii="Times New Roman" w:hAnsi="Times New Roman"/>
          <w:b w:val="false"/>
          <w:i w:val="false"/>
          <w:color w:val="000000"/>
          <w:sz w:val="22"/>
        </w:rPr>
        <w:t>Navigators shall be subject to examination upon the discretion of the commissioner and at the cost of the navigator.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85.15(4)</w:t>
      </w:r>
      <w:r>
        <w:rPr>
          <w:rFonts w:ascii="Times New Roman" w:hAnsi="Times New Roman"/>
          <w:b w:val="false"/>
          <w:i w:val="false"/>
          <w:color w:val="000000"/>
          <w:sz w:val="22"/>
        </w:rPr>
        <w:t> </w:t>
      </w:r>
      <w:r>
        <w:rPr>
          <w:rFonts w:ascii="Times New Roman" w:hAnsi="Times New Roman"/>
          <w:b w:val="false"/>
          <w:i w:val="false"/>
          <w:color w:val="000000"/>
          <w:sz w:val="22"/>
        </w:rPr>
        <w:t>Navigators shall maintain detailed records of all assistance provided. Consumer assistance records shall be available to the commissioner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85.15(5)</w:t>
      </w:r>
      <w:r>
        <w:rPr>
          <w:rFonts w:ascii="Times New Roman" w:hAnsi="Times New Roman"/>
          <w:b w:val="false"/>
          <w:i w:val="false"/>
          <w:color w:val="000000"/>
          <w:sz w:val="22"/>
        </w:rPr>
        <w:t> </w:t>
      </w:r>
      <w:r>
        <w:rPr>
          <w:rFonts w:ascii="Times New Roman" w:hAnsi="Times New Roman"/>
          <w:b w:val="false"/>
          <w:i w:val="false"/>
          <w:color w:val="000000"/>
          <w:sz w:val="22"/>
        </w:rPr>
        <w:t>Navigators shall provide duplicate copies of all data and information submitted to the U.S. Department of Health and Human Services to the commissioner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85.15(6)</w:t>
      </w:r>
      <w:r>
        <w:rPr>
          <w:rFonts w:ascii="Times New Roman" w:hAnsi="Times New Roman"/>
          <w:b w:val="false"/>
          <w:i w:val="false"/>
          <w:color w:val="000000"/>
          <w:sz w:val="22"/>
        </w:rPr>
        <w:t> </w:t>
      </w:r>
      <w:r>
        <w:rPr>
          <w:rFonts w:ascii="Times New Roman" w:hAnsi="Times New Roman"/>
          <w:b w:val="false"/>
          <w:i w:val="false"/>
          <w:color w:val="000000"/>
          <w:sz w:val="22"/>
        </w:rPr>
        <w:t>Unless licensed as a producer, a navigator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Sell, select, solicit, refer, or negotiate insurance coverage for individuals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Advise an individual or entity to cancel, to nonrenew, or to select different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Recommend or endorse a particular health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 compensation from an insurance company for enrollment or have a conflict of interest while serving as a navigator. A navigator that receives compensation from an insurance company for enrollment or enters into a conflicted relationship must forfeit the navigator’s license. A navigator that fails to notify the commissioner of a conflicted relationship or receives compensation from an insurer for enrollment while licensed as a navigator shall be subject to penalties as set forth in Iowa Code section </w:t>
      </w:r>
      <w:hyperlink r:id="rId19">
        <w:r>
          <w:rPr>
            <w:rStyle w:val="Hyperlink"/>
            <w:rFonts w:ascii="Times New Roman" w:hAnsi="Times New Roman"/>
            <w:b w:val="false"/>
            <w:i w:val="false"/>
            <w:color w:val="000000"/>
            <w:sz w:val="22"/>
          </w:rPr>
          <w:t>522D.8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191—85.16</w:t>
      </w:r>
      <w:r>
        <w:rPr>
          <w:rFonts w:ascii="Times New Roman" w:hAnsi="Times New Roman"/>
          <w:b/>
          <w:i w:val="false"/>
          <w:color w:val="000000"/>
          <w:sz w:val="22"/>
        </w:rPr>
        <w:t xml:space="preserve">(505,522D)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 of this chapter or its application to any person or circumstance is held invalid by a court of competent jurisdiction or by federal law, the invalidity does not affect other provisions or applications of the chapter that can be given effect without the invalid provision or application, and to this end the provisions of this chapter that are severable and the valid provisions or applications shall remain in full force and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0981C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0">
        <w:r>
          <w:rPr>
            <w:rStyle w:val="Hyperlink"/>
            <w:rFonts w:ascii="Times New Roman" w:hAnsi="Times New Roman"/>
            <w:b w:val="false"/>
            <w:i w:val="false"/>
            <w:color w:val="000000"/>
            <w:sz w:val="22"/>
          </w:rPr>
          <w:t>505.8(19)</w:t>
        </w:r>
      </w:hyperlink>
      <w:r>
        <w:rPr>
          <w:rFonts w:ascii="Times New Roman" w:hAnsi="Times New Roman"/>
          <w:b w:val="false"/>
          <w:i w:val="false"/>
          <w:color w:val="000000"/>
          <w:sz w:val="22"/>
        </w:rPr>
        <w:t xml:space="preserve"> and chapter </w:t>
      </w:r>
      <w:hyperlink r:id="rId21">
        <w:r>
          <w:rPr>
            <w:rStyle w:val="Hyperlink"/>
            <w:rFonts w:ascii="Times New Roman" w:hAnsi="Times New Roman"/>
            <w:b w:val="false"/>
            <w:i w:val="false"/>
            <w:color w:val="000000"/>
            <w:sz w:val="22"/>
          </w:rPr>
          <w:t>522D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0981C</w:t>
      </w:r>
      <w:r>
        <w:rPr>
          <w:rFonts w:ascii="Times New Roman" w:hAnsi="Times New Roman"/>
          <w:b w:val="false"/>
          <w:i w:val="false"/>
          <w:color w:val="000000"/>
          <w:sz w:val="21"/>
        </w:rPr>
        <w:t xml:space="preserve"> (Notice ARC 0816C,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1710C</w:t>
      </w:r>
      <w:r>
        <w:rPr>
          <w:rFonts w:ascii="Times New Roman" w:hAnsi="Times New Roman"/>
          <w:b w:val="false"/>
          <w:i w:val="false"/>
          <w:color w:val="000000"/>
          <w:sz w:val="21"/>
        </w:rPr>
        <w:t xml:space="preserve"> (Notice ARC 1592C, IAB 8/20/14)</w:t>
      </w:r>
      <w:r>
        <w:rPr>
          <w:rFonts w:ascii="Times New Roman" w:hAnsi="Times New Roman"/>
          <w:b w:val="false"/>
          <w:i w:val="false"/>
          <w:color w:val="000000"/>
          <w:sz w:val="21"/>
        </w:rPr>
        <w:t>, IAB 10/29/14, effective 12/3/14]</w:t>
      </w:r>
    </w:p>
    <w:p>
      <w:pPr>
        <w:spacing w:before="0" w:after="0"/>
        <w:ind w:left="120"/>
        <w:jc w:val="center"/>
      </w:pPr>
      <w:r>
        <w:rPr>
          <w:rFonts w:ascii="Times New Roman" w:hAnsi="Times New Roman"/>
          <w:b w:val="false"/>
          <w:i w:val="false"/>
          <w:color w:val="000000"/>
          <w:sz w:val="21"/>
        </w:rPr>
        <w:t>[Filed ARC 6121C</w:t>
      </w:r>
      <w:r>
        <w:rPr>
          <w:rFonts w:ascii="Times New Roman" w:hAnsi="Times New Roman"/>
          <w:b w:val="false"/>
          <w:i w:val="false"/>
          <w:color w:val="000000"/>
          <w:sz w:val="21"/>
        </w:rPr>
        <w:t xml:space="preserve"> (Notice ARC 6002C, IAB 10/20/21)</w:t>
      </w:r>
      <w:r>
        <w:rPr>
          <w:rFonts w:ascii="Times New Roman" w:hAnsi="Times New Roman"/>
          <w:b w:val="false"/>
          <w:i w:val="false"/>
          <w:color w:val="000000"/>
          <w:sz w:val="21"/>
        </w:rPr>
        <w:t>, IAB 12/29/21, effective 2/2/22]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522D.10.pdf" Type="http://schemas.openxmlformats.org/officeDocument/2006/relationships/hyperlink" Id="rId6"/>
    <Relationship TargetMode="External" Target="https://www.legis.iowa.gov/docs/iac/rule/191.85.10.pdf" Type="http://schemas.openxmlformats.org/officeDocument/2006/relationships/hyperlink" Id="rId7"/>
    <Relationship TargetMode="External" Target="https://www.legis.iowa.gov/docs/ico/chapter/522D.7.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522D.4.pdf" Type="http://schemas.openxmlformats.org/officeDocument/2006/relationships/hyperlink" Id="rId10"/>
    <Relationship TargetMode="External" Target="https://www.legis.iowa.gov/docs/ico/chapter/522D.5.pdf" Type="http://schemas.openxmlformats.org/officeDocument/2006/relationships/hyperlink" Id="rId11"/>
    <Relationship TargetMode="External" Target="https://www.legis.iowa.gov/docs/ico/chapter/522D.7.pdf" Type="http://schemas.openxmlformats.org/officeDocument/2006/relationships/hyperlink" Id="rId12"/>
    <Relationship TargetMode="External" Target="https://www.legis.iowa.gov/docs/iac/rule/191.85.6.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co/chapter/522D.7.pdf" Type="http://schemas.openxmlformats.org/officeDocument/2006/relationships/hyperlink" Id="rId16"/>
    <Relationship TargetMode="External" Target="https://www.legis.iowa.gov/docs/ico/chapter/522D.8.pdf" Type="http://schemas.openxmlformats.org/officeDocument/2006/relationships/hyperlink" Id="rId17"/>
    <Relationship TargetMode="External" Target="https://www.legis.iowa.gov/docs/ico/chapter/522D.8.pdf" Type="http://schemas.openxmlformats.org/officeDocument/2006/relationships/hyperlink" Id="rId18"/>
    <Relationship TargetMode="External" Target="https://www.legis.iowa.gov/docs/ico/chapter/522D.8.pdf" Type="http://schemas.openxmlformats.org/officeDocument/2006/relationships/hyperlink" Id="rId19"/>
    <Relationship TargetMode="External" Target="https://www.legis.iowa.gov/docs/ico/chapter/505.8.pdf" Type="http://schemas.openxmlformats.org/officeDocument/2006/relationships/hyperlink" Id="rId20"/>
    <Relationship TargetMode="External" Target="https://www.legis.iowa.gov/docs/ico/chapter/522D.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