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INSURANCE COVERAGE FOR</w:t>
      </w:r>
      <w:r>
        <w:br/>
      </w:r>
      <w:r>
        <w:rPr>
          <w:rFonts w:ascii="Times New Roman" w:hAnsi="Times New Roman"/>
          <w:b w:val="false"/>
          <w:i/>
          <w:color w:val="000000"/>
          <w:sz w:val="16"/>
        </w:rPr>
        <w:t>PEDIATRIC PREVENTIVE SERVICES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w:t>
      </w:r>
    </w:p>
    <w:p>
      <w:pPr>
        <w:spacing w:before="0" w:after="0"/>
        <w:ind w:left="120"/>
        <w:jc w:val="center"/>
      </w:pPr>
      <w:r>
        <w:rPr>
          <w:rFonts w:ascii="Times New Roman" w:hAnsi="Times New Roman"/>
          <w:b w:val="false"/>
          <w:i w:val="false"/>
          <w:color w:val="000000"/>
          <w:sz w:val="21"/>
        </w:rPr>
        <w:t>WELL-CHILD CARE</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191—80.1</w:t>
      </w:r>
      <w:r>
        <w:rPr>
          <w:rFonts w:ascii="Times New Roman" w:hAnsi="Times New Roman"/>
          <w:b/>
          <w:i w:val="false"/>
          <w:color w:val="000000"/>
          <w:sz w:val="22"/>
        </w:rPr>
        <w:t xml:space="preserve">(505)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set forth those requirements deemed appropriate by the commissioner for the general provision of coverage for benefits for routine well-child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191—80.2</w:t>
      </w:r>
      <w:r>
        <w:rPr>
          <w:rFonts w:ascii="Times New Roman" w:hAnsi="Times New Roman"/>
          <w:b/>
          <w:i w:val="false"/>
          <w:color w:val="000000"/>
          <w:sz w:val="22"/>
        </w:rPr>
        <w:t xml:space="preserve">(505) </w:t>
      </w:r>
      <w:r>
        <w:rPr>
          <w:rFonts w:ascii="Times New Roman" w:hAnsi="Times New Roman"/>
          <w:b/>
          <w:i w:val="false"/>
          <w:color w:val="000000"/>
          <w:sz w:val="22"/>
        </w:rPr>
        <w:t xml:space="preserve">Applicability and scope. </w:t>
      </w:r>
      <w:r>
        <w:rPr>
          <w:rFonts w:ascii="Times New Roman" w:hAnsi="Times New Roman"/>
          <w:b w:val="false"/>
          <w:i w:val="false"/>
          <w:color w:val="000000"/>
          <w:sz w:val="22"/>
        </w:rPr>
        <w:t xml:space="preserve">This chapter shall apply to all group accident and sickness insurance, group nonprofit health service plans and prepaid group plans of health maintenance organizations delivered or issued for delivery in this state after March 1, 1993. However, this chapter shall not apply to those basic benefit policies approved under Iowa Code chapter </w:t>
      </w:r>
      <w:hyperlink r:id="rId5">
        <w:r>
          <w:rPr>
            <w:rStyle w:val="Hyperlink"/>
            <w:rFonts w:ascii="Times New Roman" w:hAnsi="Times New Roman"/>
            <w:b w:val="false"/>
            <w:i w:val="false"/>
            <w:color w:val="000000"/>
            <w:sz w:val="22"/>
          </w:rPr>
          <w:t>513C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191—80.3</w:t>
      </w:r>
      <w:r>
        <w:rPr>
          <w:rFonts w:ascii="Times New Roman" w:hAnsi="Times New Roman"/>
          <w:b/>
          <w:i w:val="false"/>
          <w:color w:val="000000"/>
          <w:sz w:val="22"/>
        </w:rPr>
        <w:t xml:space="preserve">(505) </w:t>
      </w:r>
      <w:r>
        <w:rPr>
          <w:rFonts w:ascii="Times New Roman" w:hAnsi="Times New Roman"/>
          <w:b/>
          <w:i w:val="false"/>
          <w:color w:val="000000"/>
          <w:sz w:val="22"/>
        </w:rPr>
        <w:t xml:space="preserve">Effective date. </w:t>
      </w:r>
      <w:r>
        <w:rPr>
          <w:rFonts w:ascii="Times New Roman" w:hAnsi="Times New Roman"/>
          <w:b w:val="false"/>
          <w:i w:val="false"/>
          <w:color w:val="000000"/>
          <w:sz w:val="22"/>
        </w:rPr>
        <w:t>This chapter shall be effective on July 2, 1993, and shall be applicable to all new filings of group accident and sickness insurance, group nonprofit health service plans and prepaid group plans of health maintenance organizations made after that date and all other policies and contracts covered by this chapter delivered or issued for delivery prior to July 2, 1993, upon the date of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191—80.4</w:t>
      </w:r>
      <w:r>
        <w:rPr>
          <w:rFonts w:ascii="Times New Roman" w:hAnsi="Times New Roman"/>
          <w:b/>
          <w:i w:val="false"/>
          <w:color w:val="000000"/>
          <w:sz w:val="22"/>
        </w:rPr>
        <w:t xml:space="preserve">(505) </w:t>
      </w:r>
      <w:r>
        <w:rPr>
          <w:rFonts w:ascii="Times New Roman" w:hAnsi="Times New Roman"/>
          <w:b/>
          <w:i w:val="false"/>
          <w:color w:val="000000"/>
          <w:sz w:val="22"/>
        </w:rPr>
        <w:t xml:space="preserve">Policy definitions. </w:t>
      </w:r>
      <w:r>
        <w:rPr>
          <w:rFonts w:ascii="Times New Roman" w:hAnsi="Times New Roman"/>
          <w:b w:val="false"/>
          <w:i w:val="false"/>
          <w:color w:val="000000"/>
          <w:sz w:val="22"/>
        </w:rPr>
        <w:t>No group accident and sickness insurance, group nonprofit health service plan or prepaid group plan of a health maintenance organization delivered or issued for delivery in this state shall contain definitions respecting the matters set forth unless such definitions comply with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80.4(1)</w:t>
      </w:r>
      <w:r>
        <w:rPr>
          <w:rFonts w:ascii="Times New Roman" w:hAnsi="Times New Roman"/>
          <w:b w:val="false"/>
          <w:i w:val="false"/>
          <w:color w:val="000000"/>
          <w:sz w:val="22"/>
        </w:rPr>
        <w:t> </w:t>
      </w:r>
      <w:r>
        <w:rPr>
          <w:rFonts w:ascii="Times New Roman" w:hAnsi="Times New Roman"/>
          <w:b w:val="false"/>
          <w:i/>
          <w:color w:val="000000"/>
          <w:sz w:val="22"/>
        </w:rPr>
        <w:t xml:space="preserve"> “Well-child care” </w:t>
      </w:r>
      <w:r>
        <w:rPr>
          <w:rFonts w:ascii="Times New Roman" w:hAnsi="Times New Roman"/>
          <w:b w:val="false"/>
          <w:i w:val="false"/>
          <w:color w:val="000000"/>
          <w:sz w:val="22"/>
        </w:rPr>
        <w:t>means pediatric preventive services appropriate to the age of a child from birth to age seven as defined by current Recommendations for Preventive Pediatric Health Care of the American Academy of Pediatrics. The Recommendations may be obtained by contacting the American Academy of Pediatrics at 141 Northwest Point Boulevard, P.O. Box 927, Elk Grove Village, Illinois 60009-0927. Pediatric preventive services shall include, at a minimum, a history and complete physical examination as well as developmental assessment, anticipatory guidance, immunizations, vision and hearing screening, and laboratory services including, but not limited to, screening for lead exposure as well as blood levels.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w:t>
      </w:r>
      <w:r>
        <w:rPr>
          <w:rFonts w:ascii="Times New Roman" w:hAnsi="Times New Roman"/>
          <w:b w:val="false"/>
          <w:i w:val="false"/>
          <w:color w:val="000000"/>
          <w:sz w:val="22"/>
        </w:rPr>
        <w:t> </w:t>
      </w:r>
      <w:r>
        <w:rPr>
          <w:rFonts w:ascii="Times New Roman" w:hAnsi="Times New Roman"/>
          <w:b w:val="false"/>
          <w:i/>
          <w:color w:val="000000"/>
          <w:sz w:val="22"/>
        </w:rPr>
        <w:t xml:space="preserve"> “Developmental assessment” </w:t>
      </w:r>
      <w:r>
        <w:rPr>
          <w:rFonts w:ascii="Times New Roman" w:hAnsi="Times New Roman"/>
          <w:b w:val="false"/>
          <w:i w:val="false"/>
          <w:color w:val="000000"/>
          <w:sz w:val="22"/>
        </w:rPr>
        <w:t xml:space="preserve">and </w:t>
      </w:r>
      <w:r>
        <w:rPr>
          <w:rFonts w:ascii="Times New Roman" w:hAnsi="Times New Roman"/>
          <w:b w:val="false"/>
          <w:i/>
          <w:color w:val="000000"/>
          <w:sz w:val="22"/>
        </w:rPr>
        <w:t xml:space="preserve">“anticipatory guidance” </w:t>
      </w:r>
      <w:r>
        <w:rPr>
          <w:rFonts w:ascii="Times New Roman" w:hAnsi="Times New Roman"/>
          <w:b w:val="false"/>
          <w:i w:val="false"/>
          <w:color w:val="000000"/>
          <w:sz w:val="22"/>
        </w:rPr>
        <w:t>mean the services described in the Guidelines for Health Supervision II, published by and obtainable from the American Academy of Pediatrics.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191—80.5</w:t>
      </w:r>
      <w:r>
        <w:rPr>
          <w:rFonts w:ascii="Times New Roman" w:hAnsi="Times New Roman"/>
          <w:b/>
          <w:i w:val="false"/>
          <w:color w:val="000000"/>
          <w:sz w:val="22"/>
        </w:rPr>
        <w:t xml:space="preserve">(505) </w:t>
      </w:r>
      <w:r>
        <w:rPr>
          <w:rFonts w:ascii="Times New Roman" w:hAnsi="Times New Roman"/>
          <w:b/>
          <w:i w:val="false"/>
          <w:color w:val="000000"/>
          <w:sz w:val="22"/>
        </w:rPr>
        <w:t xml:space="preserve">Benefit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80.5(1)</w:t>
      </w:r>
      <w:r>
        <w:rPr>
          <w:rFonts w:ascii="Times New Roman" w:hAnsi="Times New Roman"/>
          <w:b w:val="false"/>
          <w:i w:val="false"/>
          <w:color w:val="000000"/>
          <w:sz w:val="22"/>
        </w:rPr>
        <w:t> </w:t>
      </w:r>
      <w:r>
        <w:rPr>
          <w:rFonts w:ascii="Times New Roman" w:hAnsi="Times New Roman"/>
          <w:b w:val="false"/>
          <w:i w:val="false"/>
          <w:color w:val="000000"/>
          <w:sz w:val="22"/>
        </w:rPr>
        <w:t>Every group accident and sickness insurance policy, group nonprofit health service plan or prepaid group plan of a health maintenance organization shall provide benefits for well-child care for any child covered by the policy or contract at approximately the following age intervals: birth, 2 weeks, 2 months, 4 months, 6 months, 9 months, 12 months, 15 months, 18 months, 24 months or two years, three years, four years, five years and six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80.5(2)</w:t>
      </w:r>
      <w:r>
        <w:rPr>
          <w:rFonts w:ascii="Times New Roman" w:hAnsi="Times New Roman"/>
          <w:b w:val="false"/>
          <w:i w:val="false"/>
          <w:color w:val="000000"/>
          <w:sz w:val="22"/>
        </w:rPr>
        <w:t> </w:t>
      </w:r>
      <w:r>
        <w:rPr>
          <w:rFonts w:ascii="Times New Roman" w:hAnsi="Times New Roman"/>
          <w:b w:val="false"/>
          <w:i w:val="false"/>
          <w:color w:val="000000"/>
          <w:sz w:val="22"/>
        </w:rPr>
        <w:t>Minimum benefits may be limited to one visit payable to one provider for all services provided at each visit cited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80.5(3)</w:t>
      </w:r>
      <w:r>
        <w:rPr>
          <w:rFonts w:ascii="Times New Roman" w:hAnsi="Times New Roman"/>
          <w:b w:val="false"/>
          <w:i w:val="false"/>
          <w:color w:val="000000"/>
          <w:sz w:val="22"/>
        </w:rPr>
        <w:t> </w:t>
      </w:r>
      <w:r>
        <w:rPr>
          <w:rFonts w:ascii="Times New Roman" w:hAnsi="Times New Roman"/>
          <w:b w:val="false"/>
          <w:i w:val="false"/>
          <w:color w:val="000000"/>
          <w:sz w:val="22"/>
        </w:rPr>
        <w:t xml:space="preserve">Benefits shall be subject to any policy provisions which apply to other services covered by such policy, except as set forth in </w:t>
      </w:r>
      <w:hyperlink r:id="rId6">
        <w:r>
          <w:rPr>
            <w:rStyle w:val="Hyperlink"/>
            <w:rFonts w:ascii="Times New Roman" w:hAnsi="Times New Roman"/>
            <w:b w:val="false"/>
            <w:i w:val="false"/>
            <w:color w:val="000000"/>
            <w:sz w:val="22"/>
          </w:rPr>
          <w:t>80.5(5)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80.5(4)</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disability income, specified disease, Medicare supplement, hospital indemnity, long-term care or trip/travel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80.5(5)</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benefit will supersede any deductible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12/18/92, Notice 10/28/92—published 1/6/93, effective 3/1/93]</w:t>
      </w:r>
    </w:p>
    <w:p>
      <w:pPr>
        <w:spacing w:before="0" w:after="0"/>
        <w:ind w:left="120"/>
        <w:jc w:val="center"/>
      </w:pPr>
      <w:r>
        <w:rPr>
          <w:rFonts w:ascii="Times New Roman" w:hAnsi="Times New Roman"/>
          <w:b w:val="false"/>
          <w:i w:val="false"/>
          <w:color w:val="000000"/>
          <w:sz w:val="21"/>
        </w:rPr>
        <w:t>[Filed emergency 7/2/93—published 7/21/93, effective 7/2/93]</w:t>
      </w:r>
    </w:p>
    <w:p>
      <w:pPr>
        <w:spacing w:before="0" w:after="0"/>
        <w:ind w:left="120"/>
        <w:jc w:val="center"/>
      </w:pPr>
      <w:r>
        <w:rPr>
          <w:rFonts w:ascii="Times New Roman" w:hAnsi="Times New Roman"/>
          <w:b w:val="false"/>
          <w:i w:val="false"/>
          <w:color w:val="000000"/>
          <w:sz w:val="21"/>
        </w:rPr>
        <w:t>[Filed ARC 6121C</w:t>
      </w:r>
      <w:r>
        <w:rPr>
          <w:rFonts w:ascii="Times New Roman" w:hAnsi="Times New Roman"/>
          <w:b w:val="false"/>
          <w:i w:val="false"/>
          <w:color w:val="000000"/>
          <w:sz w:val="21"/>
        </w:rPr>
        <w:t xml:space="preserve"> (Notice ARC 6002C, IAB 10/20/21)</w:t>
      </w:r>
      <w:r>
        <w:rPr>
          <w:rFonts w:ascii="Times New Roman" w:hAnsi="Times New Roman"/>
          <w:b w:val="false"/>
          <w:i w:val="false"/>
          <w:color w:val="000000"/>
          <w:sz w:val="21"/>
        </w:rPr>
        <w:t>, IAB 12/29/21, effective 2/2/22]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3C.pdf" Type="http://schemas.openxmlformats.org/officeDocument/2006/relationships/hyperlink" Id="rId5"/>
    <Relationship TargetMode="External" Target="https://www.legis.iowa.gov/docs/iac/rule/191.80.5.pdf" Type="http://schemas.openxmlformats.org/officeDocument/2006/relationships/hyperlink" Id="rId6"/>
    <Relationship TargetMode="External" Target="https://www.legis.iowa.gov/docs/ico/chapter/505.8.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