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HEALTH BENEFIT PLANS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71</w:t>
      </w:r>
    </w:p>
    <w:p>
      <w:pPr>
        <w:spacing w:before="0" w:after="0"/>
        <w:ind w:left="120"/>
        <w:jc w:val="center"/>
      </w:pPr>
      <w:r>
        <w:rPr>
          <w:rFonts w:ascii="Times New Roman" w:hAnsi="Times New Roman"/>
          <w:b w:val="false"/>
          <w:i w:val="false"/>
          <w:color w:val="000000"/>
          <w:sz w:val="21"/>
        </w:rPr>
        <w:t>SMALL GROUP HEALTH BENEFIT PLANS</w:t>
      </w:r>
      <w:r>
        <w:rPr>
          <w:rFonts w:ascii="Times New Roman" w:hAnsi="Times New Roman"/>
          <w:b w:val="false"/>
          <w:i w:val="false"/>
          <w:color w:val="000000"/>
          <w:sz w:val="10"/>
        </w:rPr>
        <w:t>1</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191—71.1</w:t>
      </w:r>
      <w:r>
        <w:rPr>
          <w:rFonts w:ascii="Times New Roman" w:hAnsi="Times New Roman"/>
          <w:b/>
          <w:i w:val="false"/>
          <w:color w:val="000000"/>
          <w:sz w:val="22"/>
        </w:rPr>
        <w:t xml:space="preserve">(513B)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This chapter is intended to implement the provisions of Iowa Code chapter </w:t>
      </w:r>
      <w:hyperlink r:id="rId5">
        <w:r>
          <w:rPr>
            <w:rStyle w:val="Hyperlink"/>
            <w:rFonts w:ascii="Times New Roman" w:hAnsi="Times New Roman"/>
            <w:b w:val="false"/>
            <w:i w:val="false"/>
            <w:color w:val="000000"/>
            <w:sz w:val="22"/>
          </w:rPr>
          <w:t>513B</w:t>
        </w:r>
      </w:hyperlink>
      <w:r>
        <w:rPr>
          <w:rFonts w:ascii="Times New Roman" w:hAnsi="Times New Roman"/>
          <w:b w:val="false"/>
          <w:i w:val="false"/>
          <w:color w:val="000000"/>
          <w:sz w:val="22"/>
        </w:rPr>
        <w:t xml:space="preserve"> to provide for the guaranteed issue of all health insurance products in the small group market, regardless of their health status or claims experience; to regulate insurer rating practices and establish limits on differences in rates between health insurance coverages; to ensure renewability of coverage; to establish limitations on underwriting practices, eligibility requirements and the use of preexisting condition exclusions; to provide for development of “basic” and “standard” health insurance plans to be offered to all small employers; to provide for establishment of a reinsurance program; to direct the basis of market competition away from risk selection and toward the efficient management of health care; to improve the overall fairness and efficiency of the small group health insurance market and to promote broader spreading of risk in the small employer marketplace. Carriers that provide basic and standard health benefit plans, as herein set forth, to small employers are intended to be subject to all provisions of Iowa Code chapter </w:t>
      </w:r>
      <w:hyperlink r:id="rId6">
        <w:r>
          <w:rPr>
            <w:rStyle w:val="Hyperlink"/>
            <w:rFonts w:ascii="Times New Roman" w:hAnsi="Times New Roman"/>
            <w:b w:val="false"/>
            <w:i w:val="false"/>
            <w:color w:val="000000"/>
            <w:sz w:val="22"/>
          </w:rPr>
          <w:t>513B</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w:t>
      </w:r>
      <w:r>
        <w:rPr>
          <w:rFonts w:ascii="Times New Roman" w:hAnsi="Times New Roman"/>
          <w:b w:val="false"/>
          <w:i w:val="false"/>
          <w:color w:val="000000"/>
          <w:sz w:val="22"/>
        </w:rPr>
        <w:t> </w:t>
      </w:r>
      <w:r>
        <w:rPr>
          <w:rFonts w:ascii="Times New Roman" w:hAnsi="Times New Roman"/>
          <w:b w:val="false"/>
          <w:i w:val="false"/>
          <w:color w:val="000000"/>
          <w:sz w:val="22"/>
        </w:rPr>
        <w:t xml:space="preserve">Health insurance coverage subject to this chapter is available or renewable with respect to all eligible employees or their dependents, at the option of the employer, except for reasons set forth in Iowa Code section </w:t>
      </w:r>
      <w:hyperlink r:id="rId7">
        <w:r>
          <w:rPr>
            <w:rStyle w:val="Hyperlink"/>
            <w:rFonts w:ascii="Times New Roman" w:hAnsi="Times New Roman"/>
            <w:b w:val="false"/>
            <w:i w:val="false"/>
            <w:color w:val="000000"/>
            <w:sz w:val="22"/>
          </w:rPr>
          <w:t>513B.5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w:t>
      </w:r>
      <w:r>
        <w:rPr>
          <w:rFonts w:ascii="Times New Roman" w:hAnsi="Times New Roman"/>
          <w:b w:val="false"/>
          <w:i w:val="false"/>
          <w:color w:val="000000"/>
          <w:sz w:val="22"/>
        </w:rPr>
        <w:t> </w:t>
      </w:r>
      <w:r>
        <w:rPr>
          <w:rFonts w:ascii="Times New Roman" w:hAnsi="Times New Roman"/>
          <w:b w:val="false"/>
          <w:i w:val="false"/>
          <w:color w:val="000000"/>
          <w:sz w:val="22"/>
        </w:rPr>
        <w:t xml:space="preserve">A carrier subject to this chapter is required to guarantee issue small employer plans except for reasons set forth in Iowa Code chapter </w:t>
      </w:r>
      <w:hyperlink r:id="rId8">
        <w:r>
          <w:rPr>
            <w:rStyle w:val="Hyperlink"/>
            <w:rFonts w:ascii="Times New Roman" w:hAnsi="Times New Roman"/>
            <w:b w:val="false"/>
            <w:i w:val="false"/>
            <w:color w:val="000000"/>
            <w:sz w:val="22"/>
          </w:rPr>
          <w:t>513B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3682C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191—71.2</w:t>
      </w:r>
      <w:r>
        <w:rPr>
          <w:rFonts w:ascii="Times New Roman" w:hAnsi="Times New Roman"/>
          <w:b/>
          <w:i w:val="false"/>
          <w:color w:val="000000"/>
          <w:sz w:val="22"/>
        </w:rPr>
        <w:t xml:space="preserve">(513B)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“Associate member of an employee organization” </w:t>
      </w:r>
      <w:r>
        <w:rPr>
          <w:rFonts w:ascii="Times New Roman" w:hAnsi="Times New Roman"/>
          <w:b w:val="false"/>
          <w:i w:val="false"/>
          <w:color w:val="000000"/>
          <w:sz w:val="22"/>
        </w:rPr>
        <w:t>means any individual who participates in an employee benefit plan (as defined in 29 U.S.C. 1002(1)) that is a multiemployer plan (as defined in 29 U.S.C. 1002(37A)), other than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An individual (or the beneficiary of such individual) who is employed by a participating employer within a bargaining unit covered by at least one of the collective bargaining agreements under or pursuant to which the employee benefit plan is established or maintained; or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individual who is a present or former employee (or a beneficiary of such employee) of the sponsoring employee organization, of an employer who is or was a party to at least one of the collective bargaining agreements under or pursuant to which the employee benefit plan is established or maintained, or of the employee benefit plan (or of a related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“Beneficiary” </w:t>
      </w:r>
      <w:r>
        <w:rPr>
          <w:rFonts w:ascii="Times New Roman" w:hAnsi="Times New Roman"/>
          <w:b w:val="false"/>
          <w:i w:val="false"/>
          <w:color w:val="000000"/>
          <w:sz w:val="22"/>
        </w:rPr>
        <w:t>has the meaning given the term under Section 3(8) of the Employee Retirement Income Security Act of 1974 (ERISA), which states, “a person designated by a participant, or by the terms of an employee benefit plan, who is or may become entitled to a benefit” under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“Bona fide association” </w:t>
      </w:r>
      <w:r>
        <w:rPr>
          <w:rFonts w:ascii="Times New Roman" w:hAnsi="Times New Roman"/>
          <w:b w:val="false"/>
          <w:i w:val="false"/>
          <w:color w:val="000000"/>
          <w:sz w:val="22"/>
        </w:rPr>
        <w:t>means, with respect to group health insurance coverage offered in Iowa, an association that meets the following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Has been actively in existence for at least five years.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Has been formed and maintained in good faith for purposes other than obtaining insurance.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Does not condition membership in the association on any health status-related factor relating to an individual including an employee of an employer or a dependent of any employee.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Makes health insurance coverage offered through the association available to all members regardless of any health status-related factor relating to the members or individuals eligible for coverage through a member.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Does not make health insurance coverage offered through the association available other than in connection with a member of the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“COBRA” </w:t>
      </w:r>
      <w:r>
        <w:rPr>
          <w:rFonts w:ascii="Times New Roman" w:hAnsi="Times New Roman"/>
          <w:b w:val="false"/>
          <w:i w:val="false"/>
          <w:color w:val="000000"/>
          <w:sz w:val="22"/>
        </w:rPr>
        <w:t>means Title X of the Consolidated Omnibus Budget Reconciliation Act of 1985, as amended.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“Continuation coverage” </w:t>
      </w:r>
      <w:r>
        <w:rPr>
          <w:rFonts w:ascii="Times New Roman" w:hAnsi="Times New Roman"/>
          <w:b w:val="false"/>
          <w:i w:val="false"/>
          <w:color w:val="000000"/>
          <w:sz w:val="22"/>
        </w:rPr>
        <w:t>means coverage under a COBRA continuation provision or a similar state program. Coverage provided by a plan that is subject to a COBRA continuation provision or similar state program, but that does not satisfy all the requirements of that provision or program, will be deemed to be continuation coverage if it allows an individual to elect to continue coverage for a period of at least 18 months. Continuation coverage does not include coverage under a conversion policy required to be offered to an individual upon exhaustion of continuation coverage, nor does it include continuation coverage under the Federal Employees Health Benefits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“Creditable coverage” </w:t>
      </w:r>
      <w:r>
        <w:rPr>
          <w:rFonts w:ascii="Times New Roman" w:hAnsi="Times New Roman"/>
          <w:b w:val="false"/>
          <w:i w:val="false"/>
          <w:color w:val="000000"/>
          <w:sz w:val="22"/>
        </w:rPr>
        <w:t>includes short-term limited duration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 xml:space="preserve">means the director of public health appointed pursuant to Iowa Code section </w:t>
      </w:r>
      <w:hyperlink r:id="rId9">
        <w:r>
          <w:rPr>
            <w:rStyle w:val="Hyperlink"/>
            <w:rFonts w:ascii="Times New Roman" w:hAnsi="Times New Roman"/>
            <w:b w:val="false"/>
            <w:i w:val="false"/>
            <w:color w:val="000000"/>
            <w:sz w:val="22"/>
          </w:rPr>
          <w:t>135.2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“Employee” </w:t>
      </w:r>
      <w:r>
        <w:rPr>
          <w:rFonts w:ascii="Times New Roman" w:hAnsi="Times New Roman"/>
          <w:b w:val="false"/>
          <w:i w:val="false"/>
          <w:color w:val="000000"/>
          <w:sz w:val="22"/>
        </w:rPr>
        <w:t>means any individual employed by an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“Enrollment date” </w:t>
      </w:r>
      <w:r>
        <w:rPr>
          <w:rFonts w:ascii="Times New Roman" w:hAnsi="Times New Roman"/>
          <w:b w:val="false"/>
          <w:i w:val="false"/>
          <w:color w:val="000000"/>
          <w:sz w:val="22"/>
        </w:rPr>
        <w:t>means the first day of coverage or, if there is a waiting period, the first day of the waiting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“Exhaustion of continuation coverage” </w:t>
      </w:r>
      <w:r>
        <w:rPr>
          <w:rFonts w:ascii="Times New Roman" w:hAnsi="Times New Roman"/>
          <w:b w:val="false"/>
          <w:i w:val="false"/>
          <w:color w:val="000000"/>
          <w:sz w:val="22"/>
        </w:rPr>
        <w:t>means that an individual’s continuation coverage ceases for any reason other than either failure of the individual to pay premiums on a timely basis, or for cause such as making a fraudulent claim or an intentional misrepresentation of a material fact in connection with the plan. An individual is considered to have exhausted continuation coverage if: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Coverage ceases due to the failure of the employer or other responsible entity to remit premiums on a timely basis, or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When the individual no longer resides, lives, or works in a service area of an HMO or similar program, whether or not within the choice of the individual, and there is no other continuation coverage available to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insurance coverage” </w:t>
      </w:r>
      <w:r>
        <w:rPr>
          <w:rFonts w:ascii="Times New Roman" w:hAnsi="Times New Roman"/>
          <w:b w:val="false"/>
          <w:i w:val="false"/>
          <w:color w:val="000000"/>
          <w:sz w:val="22"/>
        </w:rPr>
        <w:t>does not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Flexible spending accounts.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Short-term limited duration insurance.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Stop loss insurance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maintenance organization”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“HMO” </w:t>
      </w:r>
      <w:r>
        <w:rPr>
          <w:rFonts w:ascii="Times New Roman" w:hAnsi="Times New Roman"/>
          <w:b w:val="false"/>
          <w:i w:val="false"/>
          <w:color w:val="000000"/>
          <w:sz w:val="22"/>
        </w:rPr>
        <w:t xml:space="preserve">means a federally qualified health maintenance organization as defined in Section 1301(a) of the Public Health Services Act or an organization licensed under Iowa Code section </w:t>
      </w:r>
      <w:hyperlink r:id="rId10">
        <w:r>
          <w:rPr>
            <w:rStyle w:val="Hyperlink"/>
            <w:rFonts w:ascii="Times New Roman" w:hAnsi="Times New Roman"/>
            <w:b w:val="false"/>
            <w:i w:val="false"/>
            <w:color w:val="000000"/>
            <w:sz w:val="22"/>
          </w:rPr>
          <w:t>514.5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“Late enrollee” </w:t>
      </w:r>
      <w:r>
        <w:rPr>
          <w:rFonts w:ascii="Times New Roman" w:hAnsi="Times New Roman"/>
          <w:b w:val="false"/>
          <w:i w:val="false"/>
          <w:color w:val="000000"/>
          <w:sz w:val="22"/>
        </w:rPr>
        <w:t>means an individual, other than one who enrolls during a special enrollment period, who enrolls under a health benefit plan or health insurance coverage in connection with which it is issued, other than during the first period in which the individual is eligible to enroll under terms of the health benefit plan or group health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“Network plan” </w:t>
      </w:r>
      <w:r>
        <w:rPr>
          <w:rFonts w:ascii="Times New Roman" w:hAnsi="Times New Roman"/>
          <w:b w:val="false"/>
          <w:i w:val="false"/>
          <w:color w:val="000000"/>
          <w:sz w:val="22"/>
        </w:rPr>
        <w:t>means health insurance coverage of a health insurance issuer under which the financing and delivery of medical care including items and services paid for as medical care are provided, in whole or in part, through a defined set of providers under contract with the carrier.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“New entrant” </w:t>
      </w:r>
      <w:r>
        <w:rPr>
          <w:rFonts w:ascii="Times New Roman" w:hAnsi="Times New Roman"/>
          <w:b w:val="false"/>
          <w:i w:val="false"/>
          <w:color w:val="000000"/>
          <w:sz w:val="22"/>
        </w:rPr>
        <w:t>means an eligible employee, or the dependent of an eligible employee, who becomes part of an employer group after the initial period for enrollment in health insurance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“Plan year” </w:t>
      </w:r>
      <w:r>
        <w:rPr>
          <w:rFonts w:ascii="Times New Roman" w:hAnsi="Times New Roman"/>
          <w:b w:val="false"/>
          <w:i w:val="false"/>
          <w:color w:val="000000"/>
          <w:sz w:val="22"/>
        </w:rPr>
        <w:t>means the year that is designated as the plan year in the plan document of a group health plan, except that if the plan document does not designate a plan year or if there is no plan document, the plan year is: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deductible/limit year used under the plan.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If the plan does not impose deductibles or limits on a yearly basis, the plan year is the policy year.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If the plan does not impose deductibles or limits on a yearly basis, and either the plan is not insured or the insurance policy is not renewed on an annual basis, the plan year is the employer’s taxable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“Preexisting condition exclusion” </w:t>
      </w:r>
      <w:r>
        <w:rPr>
          <w:rFonts w:ascii="Times New Roman" w:hAnsi="Times New Roman"/>
          <w:b w:val="false"/>
          <w:i w:val="false"/>
          <w:color w:val="000000"/>
          <w:sz w:val="22"/>
        </w:rPr>
        <w:t>means, with respect to health insurance coverage, a limitation or exclusion of benefits relating to a condition based on the fact that the condition was present before the date of enrollment for such coverage, whether or not any medical advice, diagnosis, care, or treatment was recommended or received before such date. A preexisting condition exclusion includes any exclusion applicable to an individual as a result of information that is obtained relating to an individual’s health status before the individual’s first day of coverage, such as a condition identified as a result of a preenrollment questionnaire or physical examination given to the individual, or review of medical records relating to the preenrollment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“Risk characteristic” </w:t>
      </w:r>
      <w:r>
        <w:rPr>
          <w:rFonts w:ascii="Times New Roman" w:hAnsi="Times New Roman"/>
          <w:b w:val="false"/>
          <w:i w:val="false"/>
          <w:color w:val="000000"/>
          <w:sz w:val="22"/>
        </w:rPr>
        <w:t>means the health status, claims experience, duration of coverage, or any similar characteristic related to the health status or experience of a small employer group or of any member of a small employer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“Risk load” </w:t>
      </w:r>
      <w:r>
        <w:rPr>
          <w:rFonts w:ascii="Times New Roman" w:hAnsi="Times New Roman"/>
          <w:b w:val="false"/>
          <w:i w:val="false"/>
          <w:color w:val="000000"/>
          <w:sz w:val="22"/>
        </w:rPr>
        <w:t>means the percentage above the applicable base premium rate that is charged by a small employer carrier to a small employer to reflect the risk characteristics of the small employer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“Short-term limited duration insurance” </w:t>
      </w:r>
      <w:r>
        <w:rPr>
          <w:rFonts w:ascii="Times New Roman" w:hAnsi="Times New Roman"/>
          <w:b w:val="false"/>
          <w:i w:val="false"/>
          <w:color w:val="000000"/>
          <w:sz w:val="22"/>
        </w:rPr>
        <w:t>means health insurance coverage provided under a contract with a carrier that has an expiration date specified in the contract, taking into account any extensions that may be elected by the policyholder without the carrier’s consent, that is, within 12 months of the date the contract becomes 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“Significant break in coverage” </w:t>
      </w:r>
      <w:r>
        <w:rPr>
          <w:rFonts w:ascii="Times New Roman" w:hAnsi="Times New Roman"/>
          <w:b w:val="false"/>
          <w:i w:val="false"/>
          <w:color w:val="000000"/>
          <w:sz w:val="22"/>
        </w:rPr>
        <w:t>means a period of 63 consecutive days during all of which the individual does not have any creditable coverage, except that neither a waiting period nor an affiliation period is taken into account in determining a significant break in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enrollment period” </w:t>
      </w:r>
      <w:r>
        <w:rPr>
          <w:rFonts w:ascii="Times New Roman" w:hAnsi="Times New Roman"/>
          <w:b w:val="false"/>
          <w:i w:val="false"/>
          <w:color w:val="000000"/>
          <w:sz w:val="22"/>
        </w:rPr>
        <w:t>means a period other than the first period in which an eligible employee or a dependent is eligible to enroll under the terms of group health insurance coverage in connection with which it is issued, without regard to other enrollment periods defined under the health insurance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“Waiting period” </w:t>
      </w:r>
      <w:r>
        <w:rPr>
          <w:rFonts w:ascii="Times New Roman" w:hAnsi="Times New Roman"/>
          <w:b w:val="false"/>
          <w:i w:val="false"/>
          <w:color w:val="000000"/>
          <w:sz w:val="22"/>
        </w:rPr>
        <w:t>means, with respect to group health insurance coverage and an eligible employee or a dependent who is potentially eligible for coverage under the plan, the period that must pass with respect to the individual before the individual is eligible to be covered for benefits under the terms of the plan.</w:t>
      </w:r>
    </w:p>
    <w:p>
      <w:pPr>
        <w:spacing w:before="0" w:after="0"/>
        <w:ind w:left="120"/>
        <w:jc w:val="both"/>
      </w:pPr>
      <w:r>
        <w:rPr>
          <w:rFonts w:ascii="Times New Roman" w:hAnsi="Times New Roman"/>
          <w:b w:val="false"/>
          <w:i w:val="false"/>
          <w:color w:val="000000"/>
          <w:sz w:val="22"/>
        </w:rPr>
        <w:t xml:space="preserve">Other terms shall be defined pursuant to Iowa Code chapter </w:t>
      </w:r>
      <w:hyperlink r:id="rId11">
        <w:r>
          <w:rPr>
            <w:rStyle w:val="Hyperlink"/>
            <w:rFonts w:ascii="Times New Roman" w:hAnsi="Times New Roman"/>
            <w:b w:val="false"/>
            <w:i w:val="false"/>
            <w:color w:val="000000"/>
            <w:sz w:val="22"/>
          </w:rPr>
          <w:t>513B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3682C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191—71.3</w:t>
      </w:r>
      <w:r>
        <w:rPr>
          <w:rFonts w:ascii="Times New Roman" w:hAnsi="Times New Roman"/>
          <w:b/>
          <w:i w:val="false"/>
          <w:color w:val="000000"/>
          <w:sz w:val="22"/>
        </w:rPr>
        <w:t xml:space="preserve">(513B) </w:t>
      </w:r>
      <w:r>
        <w:rPr>
          <w:rFonts w:ascii="Times New Roman" w:hAnsi="Times New Roman"/>
          <w:b/>
          <w:i w:val="false"/>
          <w:color w:val="000000"/>
          <w:sz w:val="22"/>
        </w:rPr>
        <w:t xml:space="preserve">Applicability and scope.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71.3(1)</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 as provided herein, this chapter shall apply to any health insurance coverage, whether provided on a group or individual basis, which: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Meets one or more of the conditions set forth in Iowa Code sections </w:t>
      </w:r>
      <w:hyperlink r:id="rId12">
        <w:r>
          <w:rPr>
            <w:rStyle w:val="Hyperlink"/>
            <w:rFonts w:ascii="Times New Roman" w:hAnsi="Times New Roman"/>
            <w:b w:val="false"/>
            <w:i w:val="false"/>
            <w:color w:val="000000"/>
            <w:sz w:val="22"/>
          </w:rPr>
          <w:t>513B.3(1) to 513B.3(3)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Provides coverage to one or more employees of a small employer located in this state without regard to whether the policy or certificate was issued in this state;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in effect on or after July 1, 1991.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specifically provided, the provisions of Iowa Code chapter </w:t>
      </w:r>
      <w:hyperlink r:id="rId13">
        <w:r>
          <w:rPr>
            <w:rStyle w:val="Hyperlink"/>
            <w:rFonts w:ascii="Times New Roman" w:hAnsi="Times New Roman"/>
            <w:b w:val="false"/>
            <w:i w:val="false"/>
            <w:color w:val="000000"/>
            <w:sz w:val="22"/>
          </w:rPr>
          <w:t>513B</w:t>
        </w:r>
      </w:hyperlink>
      <w:r>
        <w:rPr>
          <w:rFonts w:ascii="Times New Roman" w:hAnsi="Times New Roman"/>
          <w:b w:val="false"/>
          <w:i w:val="false"/>
          <w:color w:val="000000"/>
          <w:sz w:val="22"/>
        </w:rPr>
        <w:t xml:space="preserve"> and this chapter shall not apply to health insurance coverages delivered or issued for delivery prior to the effective date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71.3(2)</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carrier that provides individual health insurance policies to one or more of the employees of a small employer shall be considered a small employer carrier and subject to the provisions of Iowa Code chapter </w:t>
      </w:r>
      <w:hyperlink r:id="rId14">
        <w:r>
          <w:rPr>
            <w:rStyle w:val="Hyperlink"/>
            <w:rFonts w:ascii="Times New Roman" w:hAnsi="Times New Roman"/>
            <w:b w:val="false"/>
            <w:i w:val="false"/>
            <w:color w:val="000000"/>
            <w:sz w:val="22"/>
          </w:rPr>
          <w:t>513B</w:t>
        </w:r>
      </w:hyperlink>
      <w:r>
        <w:rPr>
          <w:rFonts w:ascii="Times New Roman" w:hAnsi="Times New Roman"/>
          <w:b w:val="false"/>
          <w:i w:val="false"/>
          <w:color w:val="000000"/>
          <w:sz w:val="22"/>
        </w:rPr>
        <w:t xml:space="preserve"> and this chapter with respect to such policies if the small employer contributes, directly or indirectly, to the premiums for the policies and the carrier is aware, or should have been aware, of such contribution.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 carrier that provides individual health insurance policies to one or more employees of a small employer, the small employer shall be considered an eligible small employer as defined in Iowa Code section </w:t>
      </w:r>
      <w:hyperlink r:id="rId15">
        <w:r>
          <w:rPr>
            <w:rStyle w:val="Hyperlink"/>
            <w:rFonts w:ascii="Times New Roman" w:hAnsi="Times New Roman"/>
            <w:b w:val="false"/>
            <w:i w:val="false"/>
            <w:color w:val="000000"/>
            <w:sz w:val="22"/>
          </w:rPr>
          <w:t>513B.10</w:t>
        </w:r>
      </w:hyperlink>
      <w:r>
        <w:rPr>
          <w:rFonts w:ascii="Times New Roman" w:hAnsi="Times New Roman"/>
          <w:b w:val="false"/>
          <w:i w:val="false"/>
          <w:color w:val="000000"/>
          <w:sz w:val="22"/>
        </w:rPr>
        <w:t xml:space="preserve"> and the small employer carrier subject to Iowa Code section </w:t>
      </w:r>
      <w:hyperlink r:id="rId16">
        <w:r>
          <w:rPr>
            <w:rStyle w:val="Hyperlink"/>
            <w:rFonts w:ascii="Times New Roman" w:hAnsi="Times New Roman"/>
            <w:b w:val="false"/>
            <w:i w:val="false"/>
            <w:color w:val="000000"/>
            <w:sz w:val="22"/>
          </w:rPr>
          <w:t>513B.10(1)</w:t>
        </w:r>
      </w:hyperlink>
      <w:r>
        <w:rPr>
          <w:rFonts w:ascii="Times New Roman" w:hAnsi="Times New Roman"/>
          <w:b w:val="false"/>
          <w:i/>
          <w:color w:val="000000"/>
          <w:sz w:val="22"/>
        </w:rPr>
        <w:t>“b”</w:t>
      </w:r>
      <w:r>
        <w:rPr>
          <w:rFonts w:ascii="Times New Roman" w:hAnsi="Times New Roman"/>
          <w:b w:val="false"/>
          <w:i w:val="false"/>
          <w:color w:val="000000"/>
          <w:sz w:val="22"/>
        </w:rPr>
        <w:t>(2)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small employer has at least two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small employer contributes, directly or indirectly, to the premiums charged by the carrier or ODS;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carrier is aware, or should have been aware, of the contribution by the employer.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71.3(3)</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chapter </w:t>
      </w:r>
      <w:hyperlink r:id="rId17">
        <w:r>
          <w:rPr>
            <w:rStyle w:val="Hyperlink"/>
            <w:rFonts w:ascii="Times New Roman" w:hAnsi="Times New Roman"/>
            <w:b w:val="false"/>
            <w:i w:val="false"/>
            <w:color w:val="000000"/>
            <w:sz w:val="22"/>
          </w:rPr>
          <w:t>513B</w:t>
        </w:r>
      </w:hyperlink>
      <w:r>
        <w:rPr>
          <w:rFonts w:ascii="Times New Roman" w:hAnsi="Times New Roman"/>
          <w:b w:val="false"/>
          <w:i w:val="false"/>
          <w:color w:val="000000"/>
          <w:sz w:val="22"/>
        </w:rPr>
        <w:t xml:space="preserve"> and this chapter shall apply to health insurance coverage provided to a small employer or to the employees of a small employer without regard to whether the health insurance coverage is offered under or provided through a group policy or trust arrangement of any size sponsored by an association or discretionary group.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71.3(4)</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health insurance policy shall not be subject to Iowa Code chapter </w:t>
      </w:r>
      <w:hyperlink r:id="rId18">
        <w:r>
          <w:rPr>
            <w:rStyle w:val="Hyperlink"/>
            <w:rFonts w:ascii="Times New Roman" w:hAnsi="Times New Roman"/>
            <w:b w:val="false"/>
            <w:i w:val="false"/>
            <w:color w:val="000000"/>
            <w:sz w:val="22"/>
          </w:rPr>
          <w:t>513B</w:t>
        </w:r>
      </w:hyperlink>
      <w:r>
        <w:rPr>
          <w:rFonts w:ascii="Times New Roman" w:hAnsi="Times New Roman"/>
          <w:b w:val="false"/>
          <w:i w:val="false"/>
          <w:color w:val="000000"/>
          <w:sz w:val="22"/>
        </w:rPr>
        <w:t xml:space="preserve"> and this chapter solely because the policyholder elects a business expense deduction under Section 162(1) of the Internal Revenue Code, the health insurance coverage is treated as part of a plan or program for purposes of Section 125 of the Internal Revenue Code for which the employee makes all the contributions, or the employer provides payroll deduction of health insurance premiums on behalf of an employee if the health insurance coverage covers employees where the employer has applied for group health benefits and has received written notification that the group did not meet the small group carrier’s minimum participation or contribution standards. The individual health insurance carrier shall maintain a copy of the employer’s notification from the small group carrier for insurance division audit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71.3(5)</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a small employer is issued health insurance coverage under the terms of Iowa Code chapter </w:t>
      </w:r>
      <w:hyperlink r:id="rId19">
        <w:r>
          <w:rPr>
            <w:rStyle w:val="Hyperlink"/>
            <w:rFonts w:ascii="Times New Roman" w:hAnsi="Times New Roman"/>
            <w:b w:val="false"/>
            <w:i w:val="false"/>
            <w:color w:val="000000"/>
            <w:sz w:val="22"/>
          </w:rPr>
          <w:t>513B</w:t>
        </w:r>
      </w:hyperlink>
      <w:r>
        <w:rPr>
          <w:rFonts w:ascii="Times New Roman" w:hAnsi="Times New Roman"/>
          <w:b w:val="false"/>
          <w:i w:val="false"/>
          <w:color w:val="000000"/>
          <w:sz w:val="22"/>
        </w:rPr>
        <w:t xml:space="preserve">, the provisions of Iowa Code chapter </w:t>
      </w:r>
      <w:hyperlink r:id="rId20">
        <w:r>
          <w:rPr>
            <w:rStyle w:val="Hyperlink"/>
            <w:rFonts w:ascii="Times New Roman" w:hAnsi="Times New Roman"/>
            <w:b w:val="false"/>
            <w:i w:val="false"/>
            <w:color w:val="000000"/>
            <w:sz w:val="22"/>
          </w:rPr>
          <w:t>513B</w:t>
        </w:r>
      </w:hyperlink>
      <w:r>
        <w:rPr>
          <w:rFonts w:ascii="Times New Roman" w:hAnsi="Times New Roman"/>
          <w:b w:val="false"/>
          <w:i w:val="false"/>
          <w:color w:val="000000"/>
          <w:sz w:val="22"/>
        </w:rPr>
        <w:t xml:space="preserve"> and this chapter shall continue to apply to the health insurance coverage in the case that the small employer subsequently employs more than 50 eligible employees. A carrier providing coverage to such an employer shall, within 60 days of becoming aware that the employer has more than 50 eligible employees but no later than the anniversary date of the employer’s health insurance coverage, notify the employer that the protections provided under Iowa Code chapter </w:t>
      </w:r>
      <w:hyperlink r:id="rId21">
        <w:r>
          <w:rPr>
            <w:rStyle w:val="Hyperlink"/>
            <w:rFonts w:ascii="Times New Roman" w:hAnsi="Times New Roman"/>
            <w:b w:val="false"/>
            <w:i w:val="false"/>
            <w:color w:val="000000"/>
            <w:sz w:val="22"/>
          </w:rPr>
          <w:t>513B</w:t>
        </w:r>
      </w:hyperlink>
      <w:r>
        <w:rPr>
          <w:rFonts w:ascii="Times New Roman" w:hAnsi="Times New Roman"/>
          <w:b w:val="false"/>
          <w:i w:val="false"/>
          <w:color w:val="000000"/>
          <w:sz w:val="22"/>
        </w:rPr>
        <w:t xml:space="preserve"> and this chapter shall cease to apply to the employer if such employer fails to renew its current health insurance coverage or elects to enroll in different health insurance coverage. It is the responsibility of the employer to notify the carrier of changes in employment levels which could change the employer’s status as a small employer for the purposes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health insurance coverage is issued to an employer that is not a small employer as defined, but subsequently the employer becomes a small employer (due to the loss or change of work status of one or more employees), the terms of Iowa Code chapter </w:t>
      </w:r>
      <w:hyperlink r:id="rId22">
        <w:r>
          <w:rPr>
            <w:rStyle w:val="Hyperlink"/>
            <w:rFonts w:ascii="Times New Roman" w:hAnsi="Times New Roman"/>
            <w:b w:val="false"/>
            <w:i w:val="false"/>
            <w:color w:val="000000"/>
            <w:sz w:val="22"/>
          </w:rPr>
          <w:t>513B</w:t>
        </w:r>
      </w:hyperlink>
      <w:r>
        <w:rPr>
          <w:rFonts w:ascii="Times New Roman" w:hAnsi="Times New Roman"/>
          <w:b w:val="false"/>
          <w:i w:val="false"/>
          <w:color w:val="000000"/>
          <w:sz w:val="22"/>
        </w:rPr>
        <w:t xml:space="preserve"> shall not apply to the health insurance coverage. The carrier providing health insurance coverage to such an employer shall not become a small employer carrier under the terms of Iowa Code chapter </w:t>
      </w:r>
      <w:hyperlink r:id="rId23">
        <w:r>
          <w:rPr>
            <w:rStyle w:val="Hyperlink"/>
            <w:rFonts w:ascii="Times New Roman" w:hAnsi="Times New Roman"/>
            <w:b w:val="false"/>
            <w:i w:val="false"/>
            <w:color w:val="000000"/>
            <w:sz w:val="22"/>
          </w:rPr>
          <w:t>513B</w:t>
        </w:r>
      </w:hyperlink>
      <w:r>
        <w:rPr>
          <w:rFonts w:ascii="Times New Roman" w:hAnsi="Times New Roman"/>
          <w:b w:val="false"/>
          <w:i w:val="false"/>
          <w:color w:val="000000"/>
          <w:sz w:val="22"/>
        </w:rPr>
        <w:t xml:space="preserve"> solely because the carrier continues to provide coverage under the health insurance coverage to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carrier providing coverage to an employer described in subparagraph 71.3(5)</w:t>
      </w:r>
      <w:r>
        <w:rPr>
          <w:rFonts w:ascii="Times New Roman" w:hAnsi="Times New Roman"/>
          <w:b w:val="false"/>
          <w:i/>
          <w:color w:val="000000"/>
          <w:sz w:val="22"/>
        </w:rPr>
        <w:t>“b”</w:t>
      </w:r>
      <w:r>
        <w:rPr>
          <w:rFonts w:ascii="Times New Roman" w:hAnsi="Times New Roman"/>
          <w:b w:val="false"/>
          <w:i w:val="false"/>
          <w:color w:val="000000"/>
          <w:sz w:val="22"/>
        </w:rPr>
        <w:t xml:space="preserve">(1) shall, within 60 days of becoming aware that the employer has 50 or fewer eligible employees, notify the employer of the options and protections available to the employer under Iowa Code chapter </w:t>
      </w:r>
      <w:hyperlink r:id="rId24">
        <w:r>
          <w:rPr>
            <w:rStyle w:val="Hyperlink"/>
            <w:rFonts w:ascii="Times New Roman" w:hAnsi="Times New Roman"/>
            <w:b w:val="false"/>
            <w:i w:val="false"/>
            <w:color w:val="000000"/>
            <w:sz w:val="22"/>
          </w:rPr>
          <w:t>513B</w:t>
        </w:r>
      </w:hyperlink>
      <w:r>
        <w:rPr>
          <w:rFonts w:ascii="Times New Roman" w:hAnsi="Times New Roman"/>
          <w:b w:val="false"/>
          <w:i w:val="false"/>
          <w:color w:val="000000"/>
          <w:sz w:val="22"/>
        </w:rPr>
        <w:t>, including the employer’s option to purchase a small employer health insurance coverage from any small employer carrier. It is the responsibility of the employer to notify the carrier of changes in employment levels which could change the employer’s status as a small employer for the purposes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71.3(6)</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a small employer has employees in more than one state, Iowa Code chapter </w:t>
      </w:r>
      <w:hyperlink r:id="rId25">
        <w:r>
          <w:rPr>
            <w:rStyle w:val="Hyperlink"/>
            <w:rFonts w:ascii="Times New Roman" w:hAnsi="Times New Roman"/>
            <w:b w:val="false"/>
            <w:i w:val="false"/>
            <w:color w:val="000000"/>
            <w:sz w:val="22"/>
          </w:rPr>
          <w:t>513B</w:t>
        </w:r>
      </w:hyperlink>
      <w:r>
        <w:rPr>
          <w:rFonts w:ascii="Times New Roman" w:hAnsi="Times New Roman"/>
          <w:b w:val="false"/>
          <w:i w:val="false"/>
          <w:color w:val="000000"/>
          <w:sz w:val="22"/>
        </w:rPr>
        <w:t xml:space="preserve"> and this chapter shall apply to health insurance coverage issued to the small employer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majority of eligible employees of such small employer are employed in this state;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no state contains a majority of the eligible employees of the small employer, the primary business location of the small employer is in this state.</w:t>
      </w:r>
    </w:p>
    <w:p>
      <w:pPr>
        <w:spacing w:before="0" w:after="0"/>
        <w:ind w:left="120"/>
        <w:jc w:val="both"/>
      </w:pP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the laws of this state or another state apply to health insurance coverage issued to a small employer described in subparagraph (1), the provisions of the paragraph shall be applied as of the date the health insurance coverage was issued to the small employer for the period that the health insurance coverage remains in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health insurance coverage is subject to Iowa Code chapter </w:t>
      </w:r>
      <w:hyperlink r:id="rId26">
        <w:r>
          <w:rPr>
            <w:rStyle w:val="Hyperlink"/>
            <w:rFonts w:ascii="Times New Roman" w:hAnsi="Times New Roman"/>
            <w:b w:val="false"/>
            <w:i w:val="false"/>
            <w:color w:val="000000"/>
            <w:sz w:val="22"/>
          </w:rPr>
          <w:t>513B</w:t>
        </w:r>
      </w:hyperlink>
      <w:r>
        <w:rPr>
          <w:rFonts w:ascii="Times New Roman" w:hAnsi="Times New Roman"/>
          <w:b w:val="false"/>
          <w:i w:val="false"/>
          <w:color w:val="000000"/>
          <w:sz w:val="22"/>
        </w:rPr>
        <w:t xml:space="preserve"> and this chapter, the provisions of </w:t>
      </w:r>
      <w:hyperlink r:id="rId27">
        <w:r>
          <w:rPr>
            <w:rStyle w:val="Hyperlink"/>
            <w:rFonts w:ascii="Times New Roman" w:hAnsi="Times New Roman"/>
            <w:b w:val="false"/>
            <w:i w:val="false"/>
            <w:color w:val="000000"/>
            <w:sz w:val="22"/>
          </w:rPr>
          <w:t>513B</w:t>
        </w:r>
      </w:hyperlink>
      <w:r>
        <w:rPr>
          <w:rFonts w:ascii="Times New Roman" w:hAnsi="Times New Roman"/>
          <w:b w:val="false"/>
          <w:i w:val="false"/>
          <w:color w:val="000000"/>
          <w:sz w:val="22"/>
        </w:rPr>
        <w:t xml:space="preserve"> and those set forth herein shall apply to all individuals covered under the health insurance coverage whether they reside in this state or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71.3(7)</w:t>
      </w:r>
      <w:r>
        <w:rPr>
          <w:rFonts w:ascii="Times New Roman" w:hAnsi="Times New Roman"/>
          <w:b w:val="false"/>
          <w:i w:val="false"/>
          <w:color w:val="000000"/>
          <w:sz w:val="22"/>
        </w:rPr>
        <w:t> </w:t>
      </w:r>
      <w:r>
        <w:rPr>
          <w:rFonts w:ascii="Times New Roman" w:hAnsi="Times New Roman"/>
          <w:b w:val="false"/>
          <w:i w:val="false"/>
          <w:color w:val="000000"/>
          <w:sz w:val="22"/>
        </w:rPr>
        <w:t>A carrier that is not operating as a small employer carrier in this state shall not become subject to the provisions of the Act and this regulation solely because a small employer that was issued health insurance coverage in another state by that carrier moves to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3682C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191—71.4</w:t>
      </w:r>
      <w:r>
        <w:rPr>
          <w:rFonts w:ascii="Times New Roman" w:hAnsi="Times New Roman"/>
          <w:b/>
          <w:i w:val="false"/>
          <w:color w:val="000000"/>
          <w:sz w:val="22"/>
        </w:rPr>
        <w:t xml:space="preserve">(513B) </w:t>
      </w:r>
      <w:r>
        <w:rPr>
          <w:rFonts w:ascii="Times New Roman" w:hAnsi="Times New Roman"/>
          <w:b/>
          <w:i w:val="false"/>
          <w:color w:val="000000"/>
          <w:sz w:val="22"/>
        </w:rPr>
        <w:t xml:space="preserve">Establishment of classes of business.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71.4(1)</w:t>
      </w:r>
      <w:r>
        <w:rPr>
          <w:rFonts w:ascii="Times New Roman" w:hAnsi="Times New Roman"/>
          <w:b w:val="false"/>
          <w:i w:val="false"/>
          <w:color w:val="000000"/>
          <w:sz w:val="22"/>
        </w:rPr>
        <w:t> </w:t>
      </w:r>
      <w:r>
        <w:rPr>
          <w:rFonts w:ascii="Times New Roman" w:hAnsi="Times New Roman"/>
          <w:b w:val="false"/>
          <w:i w:val="false"/>
          <w:color w:val="000000"/>
          <w:sz w:val="22"/>
        </w:rPr>
        <w:t xml:space="preserve">A small employer carrier that establishes more than one class of business as defined in Iowa Code section </w:t>
      </w:r>
      <w:hyperlink r:id="rId28">
        <w:r>
          <w:rPr>
            <w:rStyle w:val="Hyperlink"/>
            <w:rFonts w:ascii="Times New Roman" w:hAnsi="Times New Roman"/>
            <w:b w:val="false"/>
            <w:i w:val="false"/>
            <w:color w:val="000000"/>
            <w:sz w:val="22"/>
          </w:rPr>
          <w:t>513B.2</w:t>
        </w:r>
      </w:hyperlink>
      <w:r>
        <w:rPr>
          <w:rFonts w:ascii="Times New Roman" w:hAnsi="Times New Roman"/>
          <w:b w:val="false"/>
          <w:i w:val="false"/>
          <w:color w:val="000000"/>
          <w:sz w:val="22"/>
        </w:rPr>
        <w:t xml:space="preserve"> shall maintain on file for inspection by the commissioner the following information with respect to each class of business so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each criterion employed by the carrier (or any of its agents) for determining membership in the class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describing the justification for establishing the class as a separate class of business and documentation that the establishment of the class of business is intended to reflect substantial differences in expected claims experience or administrative costs related to the reasons as set forth in the definition of “class of business” in Iowa Code section </w:t>
      </w:r>
      <w:hyperlink r:id="rId29">
        <w:r>
          <w:rPr>
            <w:rStyle w:val="Hyperlink"/>
            <w:rFonts w:ascii="Times New Roman" w:hAnsi="Times New Roman"/>
            <w:b w:val="false"/>
            <w:i w:val="false"/>
            <w:color w:val="000000"/>
            <w:sz w:val="22"/>
          </w:rPr>
          <w:t>513B.2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disclosing which, if any, health insurance coverages are currently available for purchase in the class and any significant limitations related to the purchase of such plans.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71.4(2)</w:t>
      </w:r>
      <w:r>
        <w:rPr>
          <w:rFonts w:ascii="Times New Roman" w:hAnsi="Times New Roman"/>
          <w:b w:val="false"/>
          <w:i w:val="false"/>
          <w:color w:val="000000"/>
          <w:sz w:val="22"/>
        </w:rPr>
        <w:t> </w:t>
      </w:r>
      <w:r>
        <w:rPr>
          <w:rFonts w:ascii="Times New Roman" w:hAnsi="Times New Roman"/>
          <w:b w:val="false"/>
          <w:i w:val="false"/>
          <w:color w:val="000000"/>
          <w:sz w:val="22"/>
        </w:rPr>
        <w:t>A carrier may not directly or indirectly use group size as a criterion for establishing eligibility for health insurance coverage or for a class of business.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3682C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191—71.5</w:t>
      </w:r>
      <w:r>
        <w:rPr>
          <w:rFonts w:ascii="Times New Roman" w:hAnsi="Times New Roman"/>
          <w:b/>
          <w:i w:val="false"/>
          <w:color w:val="000000"/>
          <w:sz w:val="22"/>
        </w:rPr>
        <w:t xml:space="preserve">(513B) </w:t>
      </w:r>
      <w:r>
        <w:rPr>
          <w:rFonts w:ascii="Times New Roman" w:hAnsi="Times New Roman"/>
          <w:b/>
          <w:i w:val="false"/>
          <w:color w:val="000000"/>
          <w:sz w:val="22"/>
        </w:rPr>
        <w:t xml:space="preserve">Transition for assumptions of business from another carrier.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71.5(1)</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small employer carrier shall not transfer or assume the entire insurance obligation or risk of health insurance coverage covering a small employer in this state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transaction has been approved by the commissioner of the state of domicile of the assuming carrier;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transaction has been approved by the commissioner of the state of domicile of the ceding carrier;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transaction otherwise meets the requirements of this rule and Iowa Code section </w:t>
      </w:r>
      <w:hyperlink r:id="rId30">
        <w:r>
          <w:rPr>
            <w:rStyle w:val="Hyperlink"/>
            <w:rFonts w:ascii="Times New Roman" w:hAnsi="Times New Roman"/>
            <w:b w:val="false"/>
            <w:i w:val="false"/>
            <w:color w:val="000000"/>
            <w:sz w:val="22"/>
          </w:rPr>
          <w:t>513B.3(4)</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carrier domiciled in this state that proposes to assume or cede the entire insurance obligation or risk of one or more small employer health benefit plans from another carrier shall make a filing for approval with the commissioner at least 60 days prior to the date of the proposed assumption. The commissioner may approve the transaction upon a finding that the transaction is in the best interests of the individuals insured under the health insurance coverages to be transferred and is consistent with the purposes of Iowa Code chapter </w:t>
      </w:r>
      <w:hyperlink r:id="rId31">
        <w:r>
          <w:rPr>
            <w:rStyle w:val="Hyperlink"/>
            <w:rFonts w:ascii="Times New Roman" w:hAnsi="Times New Roman"/>
            <w:b w:val="false"/>
            <w:i w:val="false"/>
            <w:color w:val="000000"/>
            <w:sz w:val="22"/>
          </w:rPr>
          <w:t>513B</w:t>
        </w:r>
      </w:hyperlink>
      <w:r>
        <w:rPr>
          <w:rFonts w:ascii="Times New Roman" w:hAnsi="Times New Roman"/>
          <w:b w:val="false"/>
          <w:i w:val="false"/>
          <w:color w:val="000000"/>
          <w:sz w:val="22"/>
        </w:rPr>
        <w:t xml:space="preserve"> and this chapter. The commissioner shall not approve the transaction until at least 30 days after the date of the filing except that, if the ceding carrier is in hazardous financial condition, the commissioner may approve the transaction as soon as the commissioner deems reasonable after the filing.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filing required under paragraph </w:t>
      </w:r>
      <w:hyperlink r:id="rId32">
        <w:r>
          <w:rPr>
            <w:rStyle w:val="Hyperlink"/>
            <w:rFonts w:ascii="Times New Roman" w:hAnsi="Times New Roman"/>
            <w:b w:val="false"/>
            <w:i w:val="false"/>
            <w:color w:val="000000"/>
            <w:sz w:val="22"/>
          </w:rPr>
          <w:t>71.5(1)</w:t>
        </w:r>
        <w:r>
          <w:rPr>
            <w:rFonts w:ascii="Times New Roman" w:hAnsi="Times New Roman"/>
            <w:b w:val="false"/>
            <w:i/>
            <w:color w:val="000000"/>
            <w:sz w:val="22"/>
          </w:rPr>
          <w:t>“b”</w:t>
        </w:r>
      </w:hyperlink>
      <w:r>
        <w:rPr>
          <w:rFonts w:ascii="Times New Roman" w:hAnsi="Times New Roman"/>
          <w:b w:val="false"/>
          <w:i w:val="false"/>
          <w:color w:val="000000"/>
          <w:sz w:val="22"/>
        </w:rPr>
        <w:t xml:space="preserv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Describe the class of business (including any eligibility requirements) of the ceding carrier from which the health insurance coverage will be ceded;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Describe whether the assuming carrier will maintain the assumed health insurance coverage as a separate class of business (pursuant to </w:t>
      </w:r>
      <w:hyperlink r:id="rId33">
        <w:r>
          <w:rPr>
            <w:rStyle w:val="Hyperlink"/>
            <w:rFonts w:ascii="Times New Roman" w:hAnsi="Times New Roman"/>
            <w:b w:val="false"/>
            <w:i w:val="false"/>
            <w:color w:val="000000"/>
            <w:sz w:val="22"/>
          </w:rPr>
          <w:t>71.5(3)</w:t>
        </w:r>
      </w:hyperlink>
      <w:r>
        <w:rPr>
          <w:rFonts w:ascii="Times New Roman" w:hAnsi="Times New Roman"/>
          <w:b w:val="false"/>
          <w:i w:val="false"/>
          <w:color w:val="000000"/>
          <w:sz w:val="22"/>
        </w:rPr>
        <w:t xml:space="preserve">) or will incorporate them into an existing class of business (pursuant to </w:t>
      </w:r>
      <w:hyperlink r:id="rId34">
        <w:r>
          <w:rPr>
            <w:rStyle w:val="Hyperlink"/>
            <w:rFonts w:ascii="Times New Roman" w:hAnsi="Times New Roman"/>
            <w:b w:val="false"/>
            <w:i w:val="false"/>
            <w:color w:val="000000"/>
            <w:sz w:val="22"/>
          </w:rPr>
          <w:t>71.5(4)</w:t>
        </w:r>
      </w:hyperlink>
      <w:r>
        <w:rPr>
          <w:rFonts w:ascii="Times New Roman" w:hAnsi="Times New Roman"/>
          <w:b w:val="false"/>
          <w:i w:val="false"/>
          <w:color w:val="000000"/>
          <w:sz w:val="22"/>
        </w:rPr>
        <w:t>). If the assumed health insurance coverage will be incorporated into an existing class of business, the filing shall describe the class of business of the assuming carrier into which the health insurance coverages will be incorporated;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Describe whether the health insurance coverages being assumed are currently available for purchase by small employers;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Describe the potential effect of the assumption (if any) on the benefits provided by the health insurance coverages to be assumed;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Describe the potential effect of the assumption (if any) on the premiums for the health insurance coverages to be assumed;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Describe any other potential material effects of the assumption on the coverage provided to the small employers covered by the health insurance coverages to be assumed;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Include any other information required by the commissioner.</w:t>
      </w:r>
    </w:p>
    <w:p>
      <w:pPr>
        <w:spacing w:before="0" w:after="0"/>
        <w:ind w:left="120"/>
        <w:jc w:val="both"/>
      </w:pP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small employer carrier required to make a filing under </w:t>
      </w:r>
      <w:hyperlink r:id="rId35">
        <w:r>
          <w:rPr>
            <w:rStyle w:val="Hyperlink"/>
            <w:rFonts w:ascii="Times New Roman" w:hAnsi="Times New Roman"/>
            <w:b w:val="false"/>
            <w:i w:val="false"/>
            <w:color w:val="000000"/>
            <w:sz w:val="22"/>
          </w:rPr>
          <w:t>71.5(1)</w:t>
        </w:r>
        <w:r>
          <w:rPr>
            <w:rFonts w:ascii="Times New Roman" w:hAnsi="Times New Roman"/>
            <w:b w:val="false"/>
            <w:i/>
            <w:color w:val="000000"/>
            <w:sz w:val="22"/>
          </w:rPr>
          <w:t>“b”</w:t>
        </w:r>
      </w:hyperlink>
      <w:r>
        <w:rPr>
          <w:rFonts w:ascii="Times New Roman" w:hAnsi="Times New Roman"/>
          <w:b w:val="false"/>
          <w:i w:val="false"/>
          <w:color w:val="000000"/>
          <w:sz w:val="22"/>
        </w:rPr>
        <w:t xml:space="preserve"> shall also make an informational filing with the commissioner of each state in which there are small employer health insurance coverages that would be included in the transaction. The informational filing to each state shall be made concurrently with the filing made under </w:t>
      </w:r>
      <w:hyperlink r:id="rId36">
        <w:r>
          <w:rPr>
            <w:rStyle w:val="Hyperlink"/>
            <w:rFonts w:ascii="Times New Roman" w:hAnsi="Times New Roman"/>
            <w:b w:val="false"/>
            <w:i w:val="false"/>
            <w:color w:val="000000"/>
            <w:sz w:val="22"/>
          </w:rPr>
          <w:t>71.5(1)</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shall include at least the information specified in </w:t>
      </w:r>
      <w:hyperlink r:id="rId37">
        <w:r>
          <w:rPr>
            <w:rStyle w:val="Hyperlink"/>
            <w:rFonts w:ascii="Times New Roman" w:hAnsi="Times New Roman"/>
            <w:b w:val="false"/>
            <w:i w:val="false"/>
            <w:color w:val="000000"/>
            <w:sz w:val="22"/>
          </w:rPr>
          <w:t>71.5(1)</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for the small employer health insurance coverages in that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small employer carrier shall not transfer or assume the entire insurance obligation or risk of health insurance coverage covering a small employer in this state unless it complies with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carrier has provided notice to the commissioner at least 60 days prior to the date of the proposed assumption. The notice shall contain the information specified in </w:t>
      </w:r>
      <w:hyperlink r:id="rId38">
        <w:r>
          <w:rPr>
            <w:rStyle w:val="Hyperlink"/>
            <w:rFonts w:ascii="Times New Roman" w:hAnsi="Times New Roman"/>
            <w:b w:val="false"/>
            <w:i w:val="false"/>
            <w:color w:val="000000"/>
            <w:sz w:val="22"/>
          </w:rPr>
          <w:t>71.5(1)</w:t>
        </w:r>
        <w:r>
          <w:rPr>
            <w:rFonts w:ascii="Times New Roman" w:hAnsi="Times New Roman"/>
            <w:b w:val="false"/>
            <w:i/>
            <w:color w:val="000000"/>
            <w:sz w:val="22"/>
          </w:rPr>
          <w:t>“c”</w:t>
        </w:r>
      </w:hyperlink>
      <w:r>
        <w:rPr>
          <w:rFonts w:ascii="Times New Roman" w:hAnsi="Times New Roman"/>
          <w:b w:val="false"/>
          <w:i w:val="false"/>
          <w:color w:val="000000"/>
          <w:sz w:val="22"/>
        </w:rPr>
        <w:t xml:space="preserve"> for the health insurance coverages covering small employers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assumption of a class of business would result in the assuming small employer carrier’s being out of compliance with the limitations related to premium rates contained in Iowa Code section </w:t>
      </w:r>
      <w:hyperlink r:id="rId39">
        <w:r>
          <w:rPr>
            <w:rStyle w:val="Hyperlink"/>
            <w:rFonts w:ascii="Times New Roman" w:hAnsi="Times New Roman"/>
            <w:b w:val="false"/>
            <w:i w:val="false"/>
            <w:color w:val="000000"/>
            <w:sz w:val="22"/>
          </w:rPr>
          <w:t>513B.4(1)</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assuming carrier shall make a filing with the commissioner pursuant to Iowa Code section </w:t>
      </w:r>
      <w:hyperlink r:id="rId40">
        <w:r>
          <w:rPr>
            <w:rStyle w:val="Hyperlink"/>
            <w:rFonts w:ascii="Times New Roman" w:hAnsi="Times New Roman"/>
            <w:b w:val="false"/>
            <w:i w:val="false"/>
            <w:color w:val="000000"/>
            <w:sz w:val="22"/>
          </w:rPr>
          <w:t>513B.17</w:t>
        </w:r>
      </w:hyperlink>
      <w:r>
        <w:rPr>
          <w:rFonts w:ascii="Times New Roman" w:hAnsi="Times New Roman"/>
          <w:b w:val="false"/>
          <w:i w:val="false"/>
          <w:color w:val="000000"/>
          <w:sz w:val="22"/>
        </w:rPr>
        <w:t xml:space="preserve"> seeking suspension of the application of Iowa Code section </w:t>
      </w:r>
      <w:hyperlink r:id="rId41">
        <w:r>
          <w:rPr>
            <w:rStyle w:val="Hyperlink"/>
            <w:rFonts w:ascii="Times New Roman" w:hAnsi="Times New Roman"/>
            <w:b w:val="false"/>
            <w:i w:val="false"/>
            <w:color w:val="000000"/>
            <w:sz w:val="22"/>
          </w:rPr>
          <w:t>513B.4(1)</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 assuming carrier seeking suspension of the application of Iowa Code section </w:t>
      </w:r>
      <w:hyperlink r:id="rId42">
        <w:r>
          <w:rPr>
            <w:rStyle w:val="Hyperlink"/>
            <w:rFonts w:ascii="Times New Roman" w:hAnsi="Times New Roman"/>
            <w:b w:val="false"/>
            <w:i w:val="false"/>
            <w:color w:val="000000"/>
            <w:sz w:val="22"/>
          </w:rPr>
          <w:t>513B.4(1)</w:t>
        </w:r>
        <w:r>
          <w:rPr>
            <w:rFonts w:ascii="Times New Roman" w:hAnsi="Times New Roman"/>
            <w:b w:val="false"/>
            <w:i/>
            <w:color w:val="000000"/>
            <w:sz w:val="22"/>
          </w:rPr>
          <w:t>“a”</w:t>
        </w:r>
      </w:hyperlink>
      <w:r>
        <w:rPr>
          <w:rFonts w:ascii="Times New Roman" w:hAnsi="Times New Roman"/>
          <w:b w:val="false"/>
          <w:i w:val="false"/>
          <w:color w:val="000000"/>
          <w:sz w:val="22"/>
        </w:rPr>
        <w:t xml:space="preserve"> shall not complete the assumption of health insurance coverages covering small employers in this state unless the commissioner grants the suspension requested pursuant to </w:t>
      </w:r>
      <w:hyperlink r:id="rId43">
        <w:r>
          <w:rPr>
            <w:rStyle w:val="Hyperlink"/>
            <w:rFonts w:ascii="Times New Roman" w:hAnsi="Times New Roman"/>
            <w:b w:val="false"/>
            <w:i w:val="false"/>
            <w:color w:val="000000"/>
            <w:sz w:val="22"/>
          </w:rPr>
          <w:t>71.5(1)</w:t>
        </w:r>
        <w:r>
          <w:rPr>
            <w:rFonts w:ascii="Times New Roman" w:hAnsi="Times New Roman"/>
            <w:b w:val="false"/>
            <w:i/>
            <w:color w:val="000000"/>
            <w:sz w:val="22"/>
          </w:rPr>
          <w:t>“d”</w:t>
        </w:r>
        <w:r>
          <w:rPr>
            <w:rFonts w:ascii="Times New Roman" w:hAnsi="Times New Roman"/>
            <w:b w:val="false"/>
            <w:i w:val="false"/>
            <w:color w:val="000000"/>
            <w:sz w:val="22"/>
          </w:rPr>
          <w:t>(2)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a different period is approved by the commissioner, a suspension of the application of </w:t>
      </w:r>
      <w:hyperlink r:id="rId44">
        <w:r>
          <w:rPr>
            <w:rStyle w:val="Hyperlink"/>
            <w:rFonts w:ascii="Times New Roman" w:hAnsi="Times New Roman"/>
            <w:b w:val="false"/>
            <w:i w:val="false"/>
            <w:color w:val="000000"/>
            <w:sz w:val="22"/>
          </w:rPr>
          <w:t>513B.4(1)</w:t>
        </w:r>
        <w:r>
          <w:rPr>
            <w:rFonts w:ascii="Times New Roman" w:hAnsi="Times New Roman"/>
            <w:b w:val="false"/>
            <w:i/>
            <w:color w:val="000000"/>
            <w:sz w:val="22"/>
          </w:rPr>
          <w:t>“a”</w:t>
        </w:r>
      </w:hyperlink>
      <w:r>
        <w:rPr>
          <w:rFonts w:ascii="Times New Roman" w:hAnsi="Times New Roman"/>
          <w:b w:val="false"/>
          <w:i w:val="false"/>
          <w:color w:val="000000"/>
          <w:sz w:val="22"/>
        </w:rPr>
        <w:t xml:space="preserve"> shall, with respect to an assumed class of business, be for no more than 15 months and, with respect to each individual small employer, last only until the anniversary date of such employer’s coverage (except that the period with respect to an individual small employer may be extended beyond its first anniversary date for a period of up to 12 months if the anniversary date occurs within 3 months of the date of assumption of the class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71.5(2)</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45">
        <w:r>
          <w:rPr>
            <w:rStyle w:val="Hyperlink"/>
            <w:rFonts w:ascii="Times New Roman" w:hAnsi="Times New Roman"/>
            <w:b w:val="false"/>
            <w:i w:val="false"/>
            <w:color w:val="000000"/>
            <w:sz w:val="22"/>
          </w:rPr>
          <w:t>71.5(1)</w:t>
        </w:r>
        <w:r>
          <w:rPr>
            <w:rFonts w:ascii="Times New Roman" w:hAnsi="Times New Roman"/>
            <w:b w:val="false"/>
            <w:i/>
            <w:color w:val="000000"/>
            <w:sz w:val="22"/>
          </w:rPr>
          <w:t>“b,”</w:t>
        </w:r>
      </w:hyperlink>
      <w:r>
        <w:rPr>
          <w:rFonts w:ascii="Times New Roman" w:hAnsi="Times New Roman"/>
          <w:b w:val="false"/>
          <w:i w:val="false"/>
          <w:color w:val="000000"/>
          <w:sz w:val="22"/>
        </w:rPr>
        <w:t xml:space="preserve"> a small employer carrier shall not cede or assume the entire insurance obligation or risk for small employer health insurance coverage unless the transaction includes ceding to the assuming carrier the entire class of business that includes such health insurance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small employer carrier may cede less than an entire class of business to an assuming carrier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or more small employers in the class have exercised their right under contract or state law to reject (either directly or by implication) the ceding of their health insurance coverage to another carrier. In that instance, the transaction shall include each health insurance coverage in the class of business except those health insurance coverages for which a small employer has rejected the proposed cession;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After a written request from the transferring carrier, the commissioner determines that the transfer of less than the entire class of business is in the best interests of the small employers insured in that class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71.5(3)</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w:t>
      </w:r>
      <w:hyperlink r:id="rId46">
        <w:r>
          <w:rPr>
            <w:rStyle w:val="Hyperlink"/>
            <w:rFonts w:ascii="Times New Roman" w:hAnsi="Times New Roman"/>
            <w:b w:val="false"/>
            <w:i w:val="false"/>
            <w:color w:val="000000"/>
            <w:sz w:val="22"/>
          </w:rPr>
          <w:t>71.5(4)</w:t>
        </w:r>
      </w:hyperlink>
      <w:r>
        <w:rPr>
          <w:rFonts w:ascii="Times New Roman" w:hAnsi="Times New Roman"/>
          <w:b w:val="false"/>
          <w:i w:val="false"/>
          <w:color w:val="000000"/>
          <w:sz w:val="22"/>
        </w:rPr>
        <w:t>, a small employer carrier that assumes one or more health insurance coverages from another carrier shall maintain such health insurance coverages as a separate class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71.5(4)</w:t>
      </w:r>
      <w:r>
        <w:rPr>
          <w:rFonts w:ascii="Times New Roman" w:hAnsi="Times New Roman"/>
          <w:b w:val="false"/>
          <w:i w:val="false"/>
          <w:color w:val="000000"/>
          <w:sz w:val="22"/>
        </w:rPr>
        <w:t> </w:t>
      </w:r>
      <w:r>
        <w:rPr>
          <w:rFonts w:ascii="Times New Roman" w:hAnsi="Times New Roman"/>
          <w:b w:val="false"/>
          <w:i w:val="false"/>
          <w:color w:val="000000"/>
          <w:sz w:val="22"/>
        </w:rPr>
        <w:t xml:space="preserve">A small employer carrier that assumes one or more health insurance coverages from another carrier may exceed the limitation contained in Iowa Code section </w:t>
      </w:r>
      <w:hyperlink r:id="rId47">
        <w:r>
          <w:rPr>
            <w:rStyle w:val="Hyperlink"/>
            <w:rFonts w:ascii="Times New Roman" w:hAnsi="Times New Roman"/>
            <w:b w:val="false"/>
            <w:i w:val="false"/>
            <w:color w:val="000000"/>
            <w:sz w:val="22"/>
          </w:rPr>
          <w:t>513B.2</w:t>
        </w:r>
      </w:hyperlink>
      <w:r>
        <w:rPr>
          <w:rFonts w:ascii="Times New Roman" w:hAnsi="Times New Roman"/>
          <w:b w:val="false"/>
          <w:i w:val="false"/>
          <w:color w:val="000000"/>
          <w:sz w:val="22"/>
        </w:rPr>
        <w:t xml:space="preserve"> (relating to the maximum number of classes of business a carrier may establish) due solely to such assumption for a period of up to 15 months after the date of the assumption, provided that the carrier complies with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assumption of the health insurance coverages, such health insurance coverages shall be maintained as a separate class of business. During the 15-month period following the assumption, each of the assumed small employer health insurance coverages shall be transferred by the assuming small employer carrier into a single class of business operated by the assuming small employer carrier. The assuming small employer carrier shall select the class of business into which the assumed health insurance coverages will be transferred in a manner that results in the least possible change to the coverages and rating method of the assumed health insurance coverages.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transfers authorized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shall occur, with respect to each small employer, on the anniversary date of the small employer’s coverage, except that an individual small employer period may be extended beyond the first anniversary date up to 12 months if the anniversary date occurs within 3 months of the date of assumption of the class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small employer carrier making a transfer pursuant to paragraph </w:t>
      </w:r>
      <w:r>
        <w:rPr>
          <w:rFonts w:ascii="Times New Roman" w:hAnsi="Times New Roman"/>
          <w:b w:val="false"/>
          <w:i/>
          <w:color w:val="000000"/>
          <w:sz w:val="22"/>
        </w:rPr>
        <w:t>“a”</w:t>
      </w:r>
      <w:r>
        <w:rPr>
          <w:rFonts w:ascii="Times New Roman" w:hAnsi="Times New Roman"/>
          <w:b w:val="false"/>
          <w:i w:val="false"/>
          <w:color w:val="000000"/>
          <w:sz w:val="22"/>
        </w:rPr>
        <w:t xml:space="preserve"> may alter the benefits of the assumed health insurance coverages to conform to the benefits currently offered by the carrier in the class of business into which the health insurance coverages have been transferred.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premium rate for an assumed small employer health insurance coverage shall not be modified by the assuming small employer carrier until the health insurance coverage is transferred pursuant to paragraph </w:t>
      </w:r>
      <w:r>
        <w:rPr>
          <w:rFonts w:ascii="Times New Roman" w:hAnsi="Times New Roman"/>
          <w:b w:val="false"/>
          <w:i/>
          <w:color w:val="000000"/>
          <w:sz w:val="22"/>
        </w:rPr>
        <w:t>“a.”</w:t>
      </w:r>
      <w:r>
        <w:rPr>
          <w:rFonts w:ascii="Times New Roman" w:hAnsi="Times New Roman"/>
          <w:b w:val="false"/>
          <w:i w:val="false"/>
          <w:color w:val="000000"/>
          <w:sz w:val="22"/>
        </w:rPr>
        <w:t xml:space="preserve"> Upon transfer, the assuming small employer carrier shall calculate a new premium rate for the health insurance coverage from the rate manual established for the class of business into which the health insurance coverage is transferred. In making such calculation, the risk load applied to the health insurance coverage shall be no higher than the risk load applicable to such health insurance coverage prior to the assumption.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During the 15-month period provided in this subrule, the transfer of small employer health insurance coverages from the assumed class of business in accordance with this subrule shall not be considered a violation of the first sentence of Iowa Code section </w:t>
      </w:r>
      <w:hyperlink r:id="rId48">
        <w:r>
          <w:rPr>
            <w:rStyle w:val="Hyperlink"/>
            <w:rFonts w:ascii="Times New Roman" w:hAnsi="Times New Roman"/>
            <w:b w:val="false"/>
            <w:i w:val="false"/>
            <w:color w:val="000000"/>
            <w:sz w:val="22"/>
          </w:rPr>
          <w:t>513B.4(4)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71.5(5)</w:t>
      </w:r>
      <w:r>
        <w:rPr>
          <w:rFonts w:ascii="Times New Roman" w:hAnsi="Times New Roman"/>
          <w:b w:val="false"/>
          <w:i w:val="false"/>
          <w:color w:val="000000"/>
          <w:sz w:val="22"/>
        </w:rPr>
        <w:t> </w:t>
      </w:r>
      <w:r>
        <w:rPr>
          <w:rFonts w:ascii="Times New Roman" w:hAnsi="Times New Roman"/>
          <w:b w:val="false"/>
          <w:i w:val="false"/>
          <w:color w:val="000000"/>
          <w:sz w:val="22"/>
        </w:rPr>
        <w:t>An assuming carrier may not apply eligibility requirements (including minimum participation and contribution requirements) with respect to an assumed health insurance coverage (or with respect to any health insurance coverage subsequently offered to a small employer covered by such an assumed health insurance coverage) that are more stringent than the requirements applicable to such health insurance coverage prior to the assumption.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71.5(6)</w:t>
      </w:r>
      <w:r>
        <w:rPr>
          <w:rFonts w:ascii="Times New Roman" w:hAnsi="Times New Roman"/>
          <w:b w:val="false"/>
          <w:i w:val="false"/>
          <w:color w:val="000000"/>
          <w:sz w:val="22"/>
        </w:rPr>
        <w:t> </w:t>
      </w:r>
      <w:r>
        <w:rPr>
          <w:rFonts w:ascii="Times New Roman" w:hAnsi="Times New Roman"/>
          <w:b w:val="false"/>
          <w:i w:val="false"/>
          <w:color w:val="000000"/>
          <w:sz w:val="22"/>
        </w:rPr>
        <w:t>The commissioner may approve a longer period of transition upon application of a small employer carrier. The application shall be made within 60 days after the date of assumption of the class of business and shall clearly state the justification for a longer transition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71.5(7)</w:t>
      </w:r>
      <w:r>
        <w:rPr>
          <w:rFonts w:ascii="Times New Roman" w:hAnsi="Times New Roman"/>
          <w:b w:val="false"/>
          <w:i w:val="false"/>
          <w:color w:val="000000"/>
          <w:sz w:val="22"/>
        </w:rPr>
        <w:t> </w:t>
      </w:r>
      <w:r>
        <w:rPr>
          <w:rFonts w:ascii="Times New Roman" w:hAnsi="Times New Roman"/>
          <w:b w:val="false"/>
          <w:i w:val="false"/>
          <w:color w:val="000000"/>
          <w:sz w:val="22"/>
        </w:rPr>
        <w:t xml:space="preserve">Nothing in this rule or in Iowa Code chapter </w:t>
      </w:r>
      <w:hyperlink r:id="rId49">
        <w:r>
          <w:rPr>
            <w:rStyle w:val="Hyperlink"/>
            <w:rFonts w:ascii="Times New Roman" w:hAnsi="Times New Roman"/>
            <w:b w:val="false"/>
            <w:i w:val="false"/>
            <w:color w:val="000000"/>
            <w:sz w:val="22"/>
          </w:rPr>
          <w:t>513B</w:t>
        </w:r>
      </w:hyperlink>
      <w:r>
        <w:rPr>
          <w:rFonts w:ascii="Times New Roman" w:hAnsi="Times New Roman"/>
          <w:b w:val="false"/>
          <w:i w:val="false"/>
          <w:color w:val="000000"/>
          <w:sz w:val="22"/>
        </w:rPr>
        <w:t xml:space="preserve"> is intended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Reduce or diminish any legal or contractual obligation or requirement, including any obligation provided in Iowa Code chapters </w:t>
      </w:r>
      <w:hyperlink r:id="rId50">
        <w:r>
          <w:rPr>
            <w:rStyle w:val="Hyperlink"/>
            <w:rFonts w:ascii="Times New Roman" w:hAnsi="Times New Roman"/>
            <w:b w:val="false"/>
            <w:i w:val="false"/>
            <w:color w:val="000000"/>
            <w:sz w:val="22"/>
          </w:rPr>
          <w:t>521</w:t>
        </w:r>
      </w:hyperlink>
      <w:r>
        <w:rPr>
          <w:rFonts w:ascii="Times New Roman" w:hAnsi="Times New Roman"/>
          <w:b w:val="false"/>
          <w:i w:val="false"/>
          <w:color w:val="000000"/>
          <w:sz w:val="22"/>
        </w:rPr>
        <w:t xml:space="preserve"> and </w:t>
      </w:r>
      <w:hyperlink r:id="rId51">
        <w:r>
          <w:rPr>
            <w:rStyle w:val="Hyperlink"/>
            <w:rFonts w:ascii="Times New Roman" w:hAnsi="Times New Roman"/>
            <w:b w:val="false"/>
            <w:i w:val="false"/>
            <w:color w:val="000000"/>
            <w:sz w:val="22"/>
          </w:rPr>
          <w:t>521B</w:t>
        </w:r>
      </w:hyperlink>
      <w:r>
        <w:rPr>
          <w:rFonts w:ascii="Times New Roman" w:hAnsi="Times New Roman"/>
          <w:b w:val="false"/>
          <w:i w:val="false"/>
          <w:color w:val="000000"/>
          <w:sz w:val="22"/>
        </w:rPr>
        <w:t>, of the ceding or assuming carrier related to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Authorize a carrier that is not admitted to transact the business of insurance in this state to offer health insurance coverages in this state;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Reduce or diminish the protections related to an assumption reinsurance transaction provided in Iowa Code chapters </w:t>
      </w:r>
      <w:hyperlink r:id="rId52">
        <w:r>
          <w:rPr>
            <w:rStyle w:val="Hyperlink"/>
            <w:rFonts w:ascii="Times New Roman" w:hAnsi="Times New Roman"/>
            <w:b w:val="false"/>
            <w:i w:val="false"/>
            <w:color w:val="000000"/>
            <w:sz w:val="22"/>
          </w:rPr>
          <w:t>521</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521B</w:t>
        </w:r>
      </w:hyperlink>
      <w:r>
        <w:rPr>
          <w:rFonts w:ascii="Times New Roman" w:hAnsi="Times New Roman"/>
          <w:b w:val="false"/>
          <w:i w:val="false"/>
          <w:color w:val="000000"/>
          <w:sz w:val="22"/>
        </w:rPr>
        <w:t xml:space="preserve"> or otherwise provided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3682C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191—71.6</w:t>
      </w:r>
      <w:r>
        <w:rPr>
          <w:rFonts w:ascii="Times New Roman" w:hAnsi="Times New Roman"/>
          <w:b/>
          <w:i w:val="false"/>
          <w:color w:val="000000"/>
          <w:sz w:val="22"/>
        </w:rPr>
        <w:t xml:space="preserve">(513B) </w:t>
      </w:r>
      <w:r>
        <w:rPr>
          <w:rFonts w:ascii="Times New Roman" w:hAnsi="Times New Roman"/>
          <w:b/>
          <w:i w:val="false"/>
          <w:color w:val="000000"/>
          <w:sz w:val="22"/>
        </w:rPr>
        <w:t xml:space="preserve">Restrictions relating to premium rates.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71.6(1)</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small employer carrier shall develop a separate rate manual for each class of business. Base premium rates and new business premium rates charged to small employers by the small employer carrier shall be computed solely from the applicable rate manual developed pursuant to this rule. To the extent that a portion of the premium rates charged by a small employer carrier is based on the carrier’s discretion, the manual shall specify the criteria and factors considered by the carrier in exercising such discretion.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small employer carrier shall not modify the rating method used in the rate manual for a class of business until the change has been approved as provided in this paragraph. The commissioner may approve a change to a rating method if the commissioner finds that the change is reasonable, actuarially appropriate, and consistent with the purpose of Iowa Code chapter </w:t>
      </w:r>
      <w:hyperlink r:id="rId54">
        <w:r>
          <w:rPr>
            <w:rStyle w:val="Hyperlink"/>
            <w:rFonts w:ascii="Times New Roman" w:hAnsi="Times New Roman"/>
            <w:b w:val="false"/>
            <w:i w:val="false"/>
            <w:color w:val="000000"/>
            <w:sz w:val="22"/>
          </w:rPr>
          <w:t>513B</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carrier may modify the rating method for a class of business only with prior approval of the commissioner. A carrier requesting to change the rating method for a class of business shall make a filing with the commissioner at least 30 days prior to the proposed date of the change. The filing shall contain at least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reasons the change in rating method is being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complete description of each of the proposed modifications to the rating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how the change in rating method would affect the premium rates currently charged to small employers in the class of business, including an estimate from a qualified actuary of the number of groups or individuals (and a description of the types of groups or individuals) whose premium rates may change by more than 10 percent due to the proposed change in rating method (not generally including increases in premium rates applicable to all small employers in health insurance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certification from a qualified actuary that the new rating method would be based on objective and credible data and would be actuarially sound and appropriate;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certification from a qualified actuary that the proposed change in rating method would not produce premium rates for small employers that would be in violation of Iowa Code section </w:t>
      </w:r>
      <w:hyperlink r:id="rId55">
        <w:r>
          <w:rPr>
            <w:rStyle w:val="Hyperlink"/>
            <w:rFonts w:ascii="Times New Roman" w:hAnsi="Times New Roman"/>
            <w:b w:val="false"/>
            <w:i w:val="false"/>
            <w:color w:val="000000"/>
            <w:sz w:val="22"/>
          </w:rPr>
          <w:t>513B.4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the purpose of this rule, a change in rating method shall mean: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change in the number of case characteristics used by a small employer carrier to determine premium rates for health insurance coverages in a class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change in the manner or procedures by which insureds are assigned into categories for the purpose of applying a case characteristic to determine premium rates for health insurance coverages in a class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change in the method of allocating expenses among health insurance coverages in a class of business;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change in a rating factor with respect to any case characteristic if the change would produce a change in premium for any small employer that exceeds 10 percent.</w:t>
      </w:r>
    </w:p>
    <w:p>
      <w:pPr>
        <w:spacing w:before="0" w:after="0"/>
        <w:ind w:left="120"/>
        <w:jc w:val="both"/>
      </w:pPr>
      <w:r>
        <w:rPr>
          <w:rFonts w:ascii="Times New Roman" w:hAnsi="Times New Roman"/>
          <w:b w:val="false"/>
          <w:i w:val="false"/>
          <w:color w:val="000000"/>
          <w:sz w:val="22"/>
        </w:rPr>
        <w:t>For the purpose of 71.6(1)</w:t>
      </w:r>
      <w:r>
        <w:rPr>
          <w:rFonts w:ascii="Times New Roman" w:hAnsi="Times New Roman"/>
          <w:b w:val="false"/>
          <w:i/>
          <w:color w:val="000000"/>
          <w:sz w:val="22"/>
        </w:rPr>
        <w:t>“b”</w:t>
      </w:r>
      <w:r>
        <w:rPr>
          <w:rFonts w:ascii="Times New Roman" w:hAnsi="Times New Roman"/>
          <w:b w:val="false"/>
          <w:i w:val="false"/>
          <w:color w:val="000000"/>
          <w:sz w:val="22"/>
        </w:rPr>
        <w:t>(3)“1,” a change in a rating factor shall mean the cumulative change, with respect to such factor, considered over a 12-month period. If a small employer carrier changes rating factors with respect to more than one case characteristic in a 12-month period, the carrier shall consider the cumulative effect of all such changes in applying the 10 percent test under paragraph 71.6(1)</w:t>
      </w:r>
      <w:r>
        <w:rPr>
          <w:rFonts w:ascii="Times New Roman" w:hAnsi="Times New Roman"/>
          <w:b w:val="false"/>
          <w:i/>
          <w:color w:val="000000"/>
          <w:sz w:val="22"/>
        </w:rPr>
        <w:t>“b”</w:t>
      </w:r>
      <w:r>
        <w:rPr>
          <w:rFonts w:ascii="Times New Roman" w:hAnsi="Times New Roman"/>
          <w:b w:val="false"/>
          <w:i w:val="false"/>
          <w:color w:val="000000"/>
          <w:sz w:val="22"/>
        </w:rPr>
        <w:t>(3)“1.” A filing which has not previously been approved, denied, or questioned is deemed approved on or after 30 days from receipt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71.6(2)</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rate manual developed pursuant to </w:t>
      </w:r>
      <w:hyperlink r:id="rId56">
        <w:r>
          <w:rPr>
            <w:rStyle w:val="Hyperlink"/>
            <w:rFonts w:ascii="Times New Roman" w:hAnsi="Times New Roman"/>
            <w:b w:val="false"/>
            <w:i w:val="false"/>
            <w:color w:val="000000"/>
            <w:sz w:val="22"/>
          </w:rPr>
          <w:t>71.6(1)</w:t>
        </w:r>
      </w:hyperlink>
      <w:r>
        <w:rPr>
          <w:rFonts w:ascii="Times New Roman" w:hAnsi="Times New Roman"/>
          <w:b w:val="false"/>
          <w:i w:val="false"/>
          <w:color w:val="000000"/>
          <w:sz w:val="22"/>
        </w:rPr>
        <w:t xml:space="preserve"> shall specify the case characteristics and rate factors to be applied by the small employer carrier in establishing premium rates for the class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small employer carrier may not use case characteristics other than those specified in </w:t>
      </w:r>
      <w:hyperlink r:id="rId57">
        <w:r>
          <w:rPr>
            <w:rStyle w:val="Hyperlink"/>
            <w:rFonts w:ascii="Times New Roman" w:hAnsi="Times New Roman"/>
            <w:b w:val="false"/>
            <w:i w:val="false"/>
            <w:color w:val="000000"/>
            <w:sz w:val="22"/>
          </w:rPr>
          <w:t>513B.4(2)</w:t>
        </w:r>
      </w:hyperlink>
      <w:r>
        <w:rPr>
          <w:rFonts w:ascii="Times New Roman" w:hAnsi="Times New Roman"/>
          <w:b w:val="false"/>
          <w:i w:val="false"/>
          <w:color w:val="000000"/>
          <w:sz w:val="22"/>
        </w:rPr>
        <w:t xml:space="preserve"> without the prior approval of the commissioner. A small employer carrier seeking such an approval shall make a filing with the commissioner for a change in rating method under </w:t>
      </w:r>
      <w:hyperlink r:id="rId58">
        <w:r>
          <w:rPr>
            <w:rStyle w:val="Hyperlink"/>
            <w:rFonts w:ascii="Times New Roman" w:hAnsi="Times New Roman"/>
            <w:b w:val="false"/>
            <w:i w:val="false"/>
            <w:color w:val="000000"/>
            <w:sz w:val="22"/>
          </w:rPr>
          <w:t>71.6(1)</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small employer carrier shall use the same case characteristics in establishing premium rates for each health insurance coverage in a class of business and shall apply them in the same manner in establishing premium rates for each health insurance coverage. Case characteristics shall be applied without regard to the risk characteristics of a small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rate manual developed pursuant to </w:t>
      </w:r>
      <w:hyperlink r:id="rId59">
        <w:r>
          <w:rPr>
            <w:rStyle w:val="Hyperlink"/>
            <w:rFonts w:ascii="Times New Roman" w:hAnsi="Times New Roman"/>
            <w:b w:val="false"/>
            <w:i w:val="false"/>
            <w:color w:val="000000"/>
            <w:sz w:val="22"/>
          </w:rPr>
          <w:t>71.6(1)</w:t>
        </w:r>
      </w:hyperlink>
      <w:r>
        <w:rPr>
          <w:rFonts w:ascii="Times New Roman" w:hAnsi="Times New Roman"/>
          <w:b w:val="false"/>
          <w:i w:val="false"/>
          <w:color w:val="000000"/>
          <w:sz w:val="22"/>
        </w:rPr>
        <w:t xml:space="preserve"> shall clearly illustrate the relationship among the base premium rates charged for each health insurance coverage in the class of business. If the new business premium rate is different than the base premium rate for a health insurance coverage, the rate manual shall illustrate the difference.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Differences among base premium rates for health insurance coverages shall be based solely on the reasonable and objective differences in the design and benefits of the health insurance coverages and shall not be based in any way on the actual or expected health status or claims experience of the small employer groups that choose, or are expected to choose, a particular health insurance coverage. A small employer carrier shall apply case characteristics and rate factors within a class of business in a manner that ensures that premium differences among health insurance coverages for identical small employer groups vary only due to reasonable and objective differences in the design and benefits of the health insurance coverages and are not due to the actual or expected health status or claims experience of the small employer groups that choose, or are expected to choose, a particular health insurance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rate manual developed pursuant to </w:t>
      </w:r>
      <w:hyperlink r:id="rId60">
        <w:r>
          <w:rPr>
            <w:rStyle w:val="Hyperlink"/>
            <w:rFonts w:ascii="Times New Roman" w:hAnsi="Times New Roman"/>
            <w:b w:val="false"/>
            <w:i w:val="false"/>
            <w:color w:val="000000"/>
            <w:sz w:val="22"/>
          </w:rPr>
          <w:t>71.6(1)</w:t>
        </w:r>
      </w:hyperlink>
      <w:r>
        <w:rPr>
          <w:rFonts w:ascii="Times New Roman" w:hAnsi="Times New Roman"/>
          <w:b w:val="false"/>
          <w:i w:val="false"/>
          <w:color w:val="000000"/>
          <w:sz w:val="22"/>
        </w:rPr>
        <w:t xml:space="preserve"> shall provide for premium rates to be developed in a two-step process. In the first step, a base premium rate shall be developed for the small employer group without regard to any risk characteristics of the group. In the second step, the resulting base premium rate may be adjusted by a risk load, subject to the provisions of Iowa Code section </w:t>
      </w:r>
      <w:hyperlink r:id="rId61">
        <w:r>
          <w:rPr>
            <w:rStyle w:val="Hyperlink"/>
            <w:rFonts w:ascii="Times New Roman" w:hAnsi="Times New Roman"/>
            <w:b w:val="false"/>
            <w:i w:val="false"/>
            <w:color w:val="000000"/>
            <w:sz w:val="22"/>
          </w:rPr>
          <w:t>513B.4</w:t>
        </w:r>
      </w:hyperlink>
      <w:r>
        <w:rPr>
          <w:rFonts w:ascii="Times New Roman" w:hAnsi="Times New Roman"/>
          <w:b w:val="false"/>
          <w:i w:val="false"/>
          <w:color w:val="000000"/>
          <w:sz w:val="22"/>
        </w:rPr>
        <w:t>, to reflect the risk characteristics of the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Except as provided in subparagraph (2), a premium charged to a small employer for a health insurance coverage shall not include a separate application fee, underwriting fee or any other separate fee or 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carrier may charge a separate fee with respect to a health insurance coverage (but only one fee with respect to such plan) provided the fee is no more than $5 per month per employee and is applied in a uniform manner to each health insurance coverage in a class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small employer carrier shall allocate administrative expenses to the basic and standard health benefit plans on no less favorable a basis than expenses are allocated to other health insurance coverages in the class of business. The rate manual developed pursuant to </w:t>
      </w:r>
      <w:hyperlink r:id="rId62">
        <w:r>
          <w:rPr>
            <w:rStyle w:val="Hyperlink"/>
            <w:rFonts w:ascii="Times New Roman" w:hAnsi="Times New Roman"/>
            <w:b w:val="false"/>
            <w:i w:val="false"/>
            <w:color w:val="000000"/>
            <w:sz w:val="22"/>
          </w:rPr>
          <w:t>71.6(1)</w:t>
        </w:r>
      </w:hyperlink>
      <w:r>
        <w:rPr>
          <w:rFonts w:ascii="Times New Roman" w:hAnsi="Times New Roman"/>
          <w:b w:val="false"/>
          <w:i w:val="false"/>
          <w:color w:val="000000"/>
          <w:sz w:val="22"/>
        </w:rPr>
        <w:t xml:space="preserve"> shall describe the method of allocating administrative expenses to the health insurance coverages in the class of business for which the manual was developed.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Each rate manual developed pursuant to </w:t>
      </w:r>
      <w:hyperlink r:id="rId63">
        <w:r>
          <w:rPr>
            <w:rStyle w:val="Hyperlink"/>
            <w:rFonts w:ascii="Times New Roman" w:hAnsi="Times New Roman"/>
            <w:b w:val="false"/>
            <w:i w:val="false"/>
            <w:color w:val="000000"/>
            <w:sz w:val="22"/>
          </w:rPr>
          <w:t>71.6(1)</w:t>
        </w:r>
      </w:hyperlink>
      <w:r>
        <w:rPr>
          <w:rFonts w:ascii="Times New Roman" w:hAnsi="Times New Roman"/>
          <w:b w:val="false"/>
          <w:i w:val="false"/>
          <w:color w:val="000000"/>
          <w:sz w:val="22"/>
        </w:rPr>
        <w:t xml:space="preserve"> shall be maintained by the carrier for a period of six years. Updates and changes to the manual shall be maintained with the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rate manual and rating practices of a small employer carrier shall comply with any guidelines issued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71.6(3)</w:t>
      </w:r>
      <w:r>
        <w:rPr>
          <w:rFonts w:ascii="Times New Roman" w:hAnsi="Times New Roman"/>
          <w:b w:val="false"/>
          <w:i w:val="false"/>
          <w:color w:val="000000"/>
          <w:sz w:val="22"/>
        </w:rPr>
        <w:t> </w:t>
      </w:r>
      <w:r>
        <w:rPr>
          <w:rFonts w:ascii="Times New Roman" w:hAnsi="Times New Roman"/>
          <w:b w:val="false"/>
          <w:i w:val="false"/>
          <w:color w:val="000000"/>
          <w:sz w:val="22"/>
        </w:rPr>
        <w:t>If group size is used as a case characteristic by a small employer carrier, the highest rate factor associated with a group size classification shall not exceed the lowest rate factor associated with such a classification by more than 20 percent.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71.6(4)</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restrictions related to changes in premium rates in Iowa Code sections </w:t>
      </w:r>
      <w:hyperlink r:id="rId64">
        <w:r>
          <w:rPr>
            <w:rStyle w:val="Hyperlink"/>
            <w:rFonts w:ascii="Times New Roman" w:hAnsi="Times New Roman"/>
            <w:b w:val="false"/>
            <w:i w:val="false"/>
            <w:color w:val="000000"/>
            <w:sz w:val="22"/>
          </w:rPr>
          <w:t>513B.4(1)</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w:t>
      </w:r>
      <w:hyperlink r:id="rId65">
        <w:r>
          <w:rPr>
            <w:rStyle w:val="Hyperlink"/>
            <w:rFonts w:ascii="Times New Roman" w:hAnsi="Times New Roman"/>
            <w:b w:val="false"/>
            <w:i w:val="false"/>
            <w:color w:val="000000"/>
            <w:sz w:val="22"/>
          </w:rPr>
          <w:t>513B.4(1)</w:t>
        </w:r>
        <w:r>
          <w:rPr>
            <w:rFonts w:ascii="Times New Roman" w:hAnsi="Times New Roman"/>
            <w:b w:val="false"/>
            <w:i/>
            <w:color w:val="000000"/>
            <w:sz w:val="22"/>
          </w:rPr>
          <w:t>“d”</w:t>
        </w:r>
      </w:hyperlink>
      <w:r>
        <w:rPr>
          <w:rFonts w:ascii="Times New Roman" w:hAnsi="Times New Roman"/>
          <w:b w:val="false"/>
          <w:i w:val="false"/>
          <w:color w:val="000000"/>
          <w:sz w:val="22"/>
        </w:rPr>
        <w:t xml:space="preserve"> shall be applied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small employer carrier shall revise its rate manual each rating period to reflect changes in base premium rates and changes in new business premium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for any health insurance coverage with respect to any rating period, the percentage change in the new business premium rate is less than or the same as the percentage change in the base premium rate, the change in the new business premium rate shall be deemed the change in the base premium rate for the purposes of Iowa Code sections </w:t>
      </w:r>
      <w:hyperlink r:id="rId66">
        <w:r>
          <w:rPr>
            <w:rStyle w:val="Hyperlink"/>
            <w:rFonts w:ascii="Times New Roman" w:hAnsi="Times New Roman"/>
            <w:b w:val="false"/>
            <w:i w:val="false"/>
            <w:color w:val="000000"/>
            <w:sz w:val="22"/>
          </w:rPr>
          <w:t>513B.4(1)</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w:t>
      </w:r>
      <w:hyperlink r:id="rId67">
        <w:r>
          <w:rPr>
            <w:rStyle w:val="Hyperlink"/>
            <w:rFonts w:ascii="Times New Roman" w:hAnsi="Times New Roman"/>
            <w:b w:val="false"/>
            <w:i w:val="false"/>
            <w:color w:val="000000"/>
            <w:sz w:val="22"/>
          </w:rPr>
          <w:t>513B.4(1)</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for any health insurance coverages with respect to any rating period, the percentage change in the new business premium rate exceeds the percentage change in the base premium rate, the health insurance coverage shall be considered health insurance coverage into which the small employer carrier is no longer enrolling new small employers for the purposes of Iowa Code sections </w:t>
      </w:r>
      <w:hyperlink r:id="rId68">
        <w:r>
          <w:rPr>
            <w:rStyle w:val="Hyperlink"/>
            <w:rFonts w:ascii="Times New Roman" w:hAnsi="Times New Roman"/>
            <w:b w:val="false"/>
            <w:i w:val="false"/>
            <w:color w:val="000000"/>
            <w:sz w:val="22"/>
          </w:rPr>
          <w:t>513B.4(1)</w:t>
        </w:r>
        <w:r>
          <w:rPr>
            <w:rFonts w:ascii="Times New Roman" w:hAnsi="Times New Roman"/>
            <w:b w:val="false"/>
            <w:i/>
            <w:color w:val="000000"/>
            <w:sz w:val="22"/>
          </w:rPr>
          <w:t>“c”</w:t>
        </w:r>
      </w:hyperlink>
      <w:r>
        <w:rPr>
          <w:rFonts w:ascii="Times New Roman" w:hAnsi="Times New Roman"/>
          <w:b w:val="false"/>
          <w:i w:val="false"/>
          <w:color w:val="000000"/>
          <w:sz w:val="22"/>
        </w:rPr>
        <w:t xml:space="preserve"> and </w:t>
      </w:r>
      <w:hyperlink r:id="rId69">
        <w:r>
          <w:rPr>
            <w:rStyle w:val="Hyperlink"/>
            <w:rFonts w:ascii="Times New Roman" w:hAnsi="Times New Roman"/>
            <w:b w:val="false"/>
            <w:i w:val="false"/>
            <w:color w:val="000000"/>
            <w:sz w:val="22"/>
          </w:rPr>
          <w:t>513B.4(1)</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for any rating period, the change in the new business premium rate for health insurance coverage differs from the change in the new business premium rate for any other health insurance coverage in the same class of business by more than 20 percent, the carrier shall make a filing with the commissioner containing a complete explanation of how the respective changes in new business premium rates were established and the reason for the difference. The filing shall be made within 30 days of the beginning of the rating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small employer carrier shall keep on file, for a period of at least six years, the calculations used to determine the change in base premium rates and new business premium rates for each health insurance coverage for each rating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71.6(5)</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paragraphs </w:t>
      </w:r>
      <w:r>
        <w:rPr>
          <w:rFonts w:ascii="Times New Roman" w:hAnsi="Times New Roman"/>
          <w:b w:val="false"/>
          <w:i/>
          <w:color w:val="000000"/>
          <w:sz w:val="22"/>
        </w:rPr>
        <w:t>“b”</w:t>
      </w:r>
      <w:r>
        <w:rPr>
          <w:rFonts w:ascii="Times New Roman" w:hAnsi="Times New Roman"/>
          <w:b w:val="false"/>
          <w:i w:val="false"/>
          <w:color w:val="000000"/>
          <w:sz w:val="22"/>
        </w:rPr>
        <w:t xml:space="preserve"> through </w:t>
      </w:r>
      <w:r>
        <w:rPr>
          <w:rFonts w:ascii="Times New Roman" w:hAnsi="Times New Roman"/>
          <w:b w:val="false"/>
          <w:i/>
          <w:color w:val="000000"/>
          <w:sz w:val="22"/>
        </w:rPr>
        <w:t>“d,”</w:t>
      </w:r>
      <w:r>
        <w:rPr>
          <w:rFonts w:ascii="Times New Roman" w:hAnsi="Times New Roman"/>
          <w:b w:val="false"/>
          <w:i w:val="false"/>
          <w:color w:val="000000"/>
          <w:sz w:val="22"/>
        </w:rPr>
        <w:t xml:space="preserve"> a change in premium rate for a small employer shall produce a revised premium rate that is no more than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base premium rate for the small employer (as shown in the rate manual as revised for the rating period), multiplied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plus the sum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risk load applicable to the small employer during the previous rating period,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Fifteen percent (prorated for periods of less than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case of health insurance coverage into which a small employer carrier is no longer enrolling new small employers, a change in a premium rate for a small employer shall produce a revised premium rate that is no more than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base premium rate for the small employer (given its present composition and as shown in the rate manual in effect for the small employer at the beginning of the previous rating period), multiplied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plus the lesser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change in the base rate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percentage change in the new business premium for the most similar health insurance coverage into which the small employer carrier is enrolling new small employers, multiplied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One plus the sum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risk load applicable to the small employer during the previous rating period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Fifteen percent (prorated for periods of less than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health insurance coverage described in Iowa Code section </w:t>
      </w:r>
      <w:hyperlink r:id="rId70">
        <w:r>
          <w:rPr>
            <w:rStyle w:val="Hyperlink"/>
            <w:rFonts w:ascii="Times New Roman" w:hAnsi="Times New Roman"/>
            <w:b w:val="false"/>
            <w:i w:val="false"/>
            <w:color w:val="000000"/>
            <w:sz w:val="22"/>
          </w:rPr>
          <w:t>513B.4(2)</w:t>
        </w:r>
      </w:hyperlink>
      <w:r>
        <w:rPr>
          <w:rFonts w:ascii="Times New Roman" w:hAnsi="Times New Roman"/>
          <w:b w:val="false"/>
          <w:i w:val="false"/>
          <w:color w:val="000000"/>
          <w:sz w:val="22"/>
        </w:rPr>
        <w:t xml:space="preserve">, if the current premium rate for the health insurance coverage exceeds the ranges set forth in Iowa Code section </w:t>
      </w:r>
      <w:hyperlink r:id="rId71">
        <w:r>
          <w:rPr>
            <w:rStyle w:val="Hyperlink"/>
            <w:rFonts w:ascii="Times New Roman" w:hAnsi="Times New Roman"/>
            <w:b w:val="false"/>
            <w:i w:val="false"/>
            <w:color w:val="000000"/>
            <w:sz w:val="22"/>
          </w:rPr>
          <w:t>513B.4(1)</w:t>
        </w:r>
      </w:hyperlink>
      <w:r>
        <w:rPr>
          <w:rFonts w:ascii="Times New Roman" w:hAnsi="Times New Roman"/>
          <w:b w:val="false"/>
          <w:i w:val="false"/>
          <w:color w:val="000000"/>
          <w:sz w:val="22"/>
        </w:rPr>
        <w:t xml:space="preserve">, the formulae set forth in paragraphs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 xml:space="preserve">“b” </w:t>
      </w:r>
      <w:r>
        <w:rPr>
          <w:rFonts w:ascii="Times New Roman" w:hAnsi="Times New Roman"/>
          <w:b w:val="false"/>
          <w:i w:val="false"/>
          <w:color w:val="000000"/>
          <w:sz w:val="22"/>
        </w:rPr>
        <w:t xml:space="preserve">will be applied as if the 15 percent adjustment provided in </w:t>
      </w:r>
      <w:hyperlink r:id="rId72">
        <w:r>
          <w:rPr>
            <w:rStyle w:val="Hyperlink"/>
            <w:rFonts w:ascii="Times New Roman" w:hAnsi="Times New Roman"/>
            <w:b w:val="false"/>
            <w:i w:val="false"/>
            <w:color w:val="000000"/>
            <w:sz w:val="22"/>
          </w:rPr>
          <w:t>71.6(5)</w:t>
        </w:r>
      </w:hyperlink>
      <w:r>
        <w:rPr>
          <w:rFonts w:ascii="Times New Roman" w:hAnsi="Times New Roman"/>
          <w:b w:val="false"/>
          <w:i/>
          <w:color w:val="000000"/>
          <w:sz w:val="22"/>
        </w:rPr>
        <w:t>“a”</w:t>
      </w:r>
      <w:r>
        <w:rPr>
          <w:rFonts w:ascii="Times New Roman" w:hAnsi="Times New Roman"/>
          <w:b w:val="false"/>
          <w:i w:val="false"/>
          <w:color w:val="000000"/>
          <w:sz w:val="22"/>
        </w:rPr>
        <w:t xml:space="preserve">(2)“2” and </w:t>
      </w:r>
      <w:hyperlink r:id="rId73">
        <w:r>
          <w:rPr>
            <w:rStyle w:val="Hyperlink"/>
            <w:rFonts w:ascii="Times New Roman" w:hAnsi="Times New Roman"/>
            <w:b w:val="false"/>
            <w:i w:val="false"/>
            <w:color w:val="000000"/>
            <w:sz w:val="22"/>
          </w:rPr>
          <w:t>71.6(5)</w:t>
        </w:r>
      </w:hyperlink>
      <w:r>
        <w:rPr>
          <w:rFonts w:ascii="Times New Roman" w:hAnsi="Times New Roman"/>
          <w:b w:val="false"/>
          <w:i/>
          <w:color w:val="000000"/>
          <w:sz w:val="22"/>
        </w:rPr>
        <w:t>“b”</w:t>
      </w:r>
      <w:r>
        <w:rPr>
          <w:rFonts w:ascii="Times New Roman" w:hAnsi="Times New Roman"/>
          <w:b w:val="false"/>
          <w:i w:val="false"/>
          <w:color w:val="000000"/>
          <w:sz w:val="22"/>
        </w:rPr>
        <w:t>(3)“2” were a zero percent adjustment.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provisions of paragraphs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a change in premium rate for a small employer shall not produce a revised premium rate that would exceed the limitations on rates provided in Iowa Code section </w:t>
      </w:r>
      <w:hyperlink r:id="rId74">
        <w:r>
          <w:rPr>
            <w:rStyle w:val="Hyperlink"/>
            <w:rFonts w:ascii="Times New Roman" w:hAnsi="Times New Roman"/>
            <w:b w:val="false"/>
            <w:i w:val="false"/>
            <w:color w:val="000000"/>
            <w:sz w:val="22"/>
          </w:rPr>
          <w:t>513B.4(1)</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71.6(6)</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representative of a Taft Hartley trust (including a carrier upon the written request of such a trust) may file in writing with the commissioner a request for the waiver of application of the provisions of Iowa Code section </w:t>
      </w:r>
      <w:hyperlink r:id="rId75">
        <w:r>
          <w:rPr>
            <w:rStyle w:val="Hyperlink"/>
            <w:rFonts w:ascii="Times New Roman" w:hAnsi="Times New Roman"/>
            <w:b w:val="false"/>
            <w:i w:val="false"/>
            <w:color w:val="000000"/>
            <w:sz w:val="22"/>
          </w:rPr>
          <w:t>513B.4</w:t>
        </w:r>
      </w:hyperlink>
      <w:r>
        <w:rPr>
          <w:rFonts w:ascii="Times New Roman" w:hAnsi="Times New Roman"/>
          <w:b w:val="false"/>
          <w:i w:val="false"/>
          <w:color w:val="000000"/>
          <w:sz w:val="22"/>
        </w:rPr>
        <w:t xml:space="preserve"> with respect to such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request made under paragraph </w:t>
      </w:r>
      <w:r>
        <w:rPr>
          <w:rFonts w:ascii="Times New Roman" w:hAnsi="Times New Roman"/>
          <w:b w:val="false"/>
          <w:i/>
          <w:color w:val="000000"/>
          <w:sz w:val="22"/>
        </w:rPr>
        <w:t>“a”</w:t>
      </w:r>
      <w:r>
        <w:rPr>
          <w:rFonts w:ascii="Times New Roman" w:hAnsi="Times New Roman"/>
          <w:b w:val="false"/>
          <w:i w:val="false"/>
          <w:color w:val="000000"/>
          <w:sz w:val="22"/>
        </w:rPr>
        <w:t xml:space="preserve"> shall identify the provisions for which the trust is seeking the waiver and shall describe, with respect to each provision, the extent to which application of such provisions would: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Adversely affect the participants and beneficiaries of the trust;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Require modifications to one or more of the collective bargaining agreements under or pursuant to which the trust was or is established or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waiver granted under Iowa Code section </w:t>
      </w:r>
      <w:hyperlink r:id="rId76">
        <w:r>
          <w:rPr>
            <w:rStyle w:val="Hyperlink"/>
            <w:rFonts w:ascii="Times New Roman" w:hAnsi="Times New Roman"/>
            <w:b w:val="false"/>
            <w:i w:val="false"/>
            <w:color w:val="000000"/>
            <w:sz w:val="22"/>
          </w:rPr>
          <w:t>513B.4A</w:t>
        </w:r>
      </w:hyperlink>
      <w:r>
        <w:rPr>
          <w:rFonts w:ascii="Times New Roman" w:hAnsi="Times New Roman"/>
          <w:b w:val="false"/>
          <w:i w:val="false"/>
          <w:color w:val="000000"/>
          <w:sz w:val="22"/>
        </w:rPr>
        <w:t xml:space="preserve"> shall not apply to an individual who participates in the trust because the individual is an associate member of an employee organization or the beneficiary of such an individual.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3682C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191—71.7</w:t>
      </w:r>
      <w:r>
        <w:rPr>
          <w:rFonts w:ascii="Times New Roman" w:hAnsi="Times New Roman"/>
          <w:b/>
          <w:i w:val="false"/>
          <w:color w:val="000000"/>
          <w:sz w:val="22"/>
        </w:rPr>
        <w:t xml:space="preserve">(513B) </w:t>
      </w:r>
      <w:r>
        <w:rPr>
          <w:rFonts w:ascii="Times New Roman" w:hAnsi="Times New Roman"/>
          <w:b/>
          <w:i w:val="false"/>
          <w:color w:val="000000"/>
          <w:sz w:val="22"/>
        </w:rPr>
        <w:t xml:space="preserve">Requirement to insure entire groups.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71.7(1)</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small employer carrier that offers coverage to a small employer shall offer to provide coverage to each eligible employee and to each dependent of an eligible employee. The small employer carrier shall provide the same health insurance coverage to each employee and dependent.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Iowa Code section </w:t>
      </w:r>
      <w:hyperlink r:id="rId77">
        <w:r>
          <w:rPr>
            <w:rStyle w:val="Hyperlink"/>
            <w:rFonts w:ascii="Times New Roman" w:hAnsi="Times New Roman"/>
            <w:b w:val="false"/>
            <w:i w:val="false"/>
            <w:color w:val="000000"/>
            <w:sz w:val="22"/>
          </w:rPr>
          <w:t>513B.10(4)</w:t>
        </w:r>
      </w:hyperlink>
      <w:r>
        <w:rPr>
          <w:rFonts w:ascii="Times New Roman" w:hAnsi="Times New Roman"/>
          <w:b w:val="false"/>
          <w:i w:val="false"/>
          <w:color w:val="000000"/>
          <w:sz w:val="22"/>
        </w:rPr>
        <w:t xml:space="preserve"> (with respect to exclusions for preexisting conditions), the choice among insurance coverages may not be limited, restricted or conditioned upon the risk characteristics of the employees or their dependents.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71.7(2)</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 as provided in this subrule, a small employer carrier may not issue health insurance coverage to a small employer unless the health insurance coverage covers all eligible employees and all dependents of eligible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small employer carrier may issue health insurance coverage to a small employer that excludes an eligible employee or the dependent of an eligible employee only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excluded individual has coverage under health insurance coverage or other health coverage arrangement, including that set forth in Iowa Code chapter </w:t>
      </w:r>
      <w:hyperlink r:id="rId78">
        <w:r>
          <w:rPr>
            <w:rStyle w:val="Hyperlink"/>
            <w:rFonts w:ascii="Times New Roman" w:hAnsi="Times New Roman"/>
            <w:b w:val="false"/>
            <w:i w:val="false"/>
            <w:color w:val="000000"/>
            <w:sz w:val="22"/>
          </w:rPr>
          <w:t>514E</w:t>
        </w:r>
      </w:hyperlink>
      <w:r>
        <w:rPr>
          <w:rFonts w:ascii="Times New Roman" w:hAnsi="Times New Roman"/>
          <w:b w:val="false"/>
          <w:i w:val="false"/>
          <w:color w:val="000000"/>
          <w:sz w:val="22"/>
        </w:rPr>
        <w:t>, that provides coverage similar to or exceeding benefits provided under the basic health insurance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excluded individual does not have a risk characteristic or other attribute that would cause the carrier to make a decision with respect to premiums or eligibility for health insurance coverage that is adverse to the small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excluded individual states in a signed waiver that the individual has had coverage under health insurance coverage or other health arrangement, including that set forth in Iowa Code chapter </w:t>
      </w:r>
      <w:hyperlink r:id="rId79">
        <w:r>
          <w:rPr>
            <w:rStyle w:val="Hyperlink"/>
            <w:rFonts w:ascii="Times New Roman" w:hAnsi="Times New Roman"/>
            <w:b w:val="false"/>
            <w:i w:val="false"/>
            <w:color w:val="000000"/>
            <w:sz w:val="22"/>
          </w:rPr>
          <w:t>514E</w:t>
        </w:r>
      </w:hyperlink>
      <w:r>
        <w:rPr>
          <w:rFonts w:ascii="Times New Roman" w:hAnsi="Times New Roman"/>
          <w:b w:val="false"/>
          <w:i w:val="false"/>
          <w:color w:val="000000"/>
          <w:sz w:val="22"/>
        </w:rPr>
        <w:t>, within the previous six months and reasonably expects to have coverage within the succeeding six months under health insurance coverage or other health arrangement that provides benefits similar to or exceeding benefits provided under the basic health benefit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small employer carrier shall require each small employer that applies for coverage, as part of the application process, to provide a complete list of eligible employees and dependents of eligible employees. The small employer carrier shall require the small employer to provide appropriate supporting documentation in the form of a W-2 Summary Wage and Tax Form and federal or state quarterly withholding statements for the current year and the year immediately preceding the year of application for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small employer carrier shall secure a waiver, with respect to each eligible employee and each dependent of an eligible employee, declining an offer of coverage under health insurance coverage provided to a small employer. The waiver shall be signed by the eligible employee (on behalf of such employee or the dependent of such employee) and shall certify that the individual who declined coverage was informed of the availability of coverage under the health insurance coverage. The waiver form shall require that the reason for declining coverage be stated on the form and shall include a written warning of the penalties imposed on late enrollees. Waivers shall be maintained by the small employer carrier for a period of six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small employer carrier shall obtain, with respect to each individual who submits a waiver under </w:t>
      </w:r>
      <w:hyperlink r:id="rId80">
        <w:r>
          <w:rPr>
            <w:rStyle w:val="Hyperlink"/>
            <w:rFonts w:ascii="Times New Roman" w:hAnsi="Times New Roman"/>
            <w:b w:val="false"/>
            <w:i w:val="false"/>
            <w:color w:val="000000"/>
            <w:sz w:val="22"/>
          </w:rPr>
          <w:t>71.7(2)</w:t>
        </w:r>
      </w:hyperlink>
      <w:r>
        <w:rPr>
          <w:rFonts w:ascii="Times New Roman" w:hAnsi="Times New Roman"/>
          <w:b w:val="false"/>
          <w:i/>
          <w:color w:val="000000"/>
          <w:sz w:val="22"/>
        </w:rPr>
        <w:t>“c”</w:t>
      </w:r>
      <w:r>
        <w:rPr>
          <w:rFonts w:ascii="Times New Roman" w:hAnsi="Times New Roman"/>
          <w:b w:val="false"/>
          <w:i w:val="false"/>
          <w:color w:val="000000"/>
          <w:sz w:val="22"/>
        </w:rPr>
        <w:t xml:space="preserve">(1), information sufficient to establish that the waiver is permitted under </w:t>
      </w:r>
      <w:hyperlink r:id="rId81">
        <w:r>
          <w:rPr>
            <w:rStyle w:val="Hyperlink"/>
            <w:rFonts w:ascii="Times New Roman" w:hAnsi="Times New Roman"/>
            <w:b w:val="false"/>
            <w:i w:val="false"/>
            <w:color w:val="000000"/>
            <w:sz w:val="22"/>
          </w:rPr>
          <w:t>71.7(2)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small employer carrier shall not issue coverage to a small employer if the carrier is unable to obtain the list required under </w:t>
      </w:r>
      <w:hyperlink r:id="rId82">
        <w:r>
          <w:rPr>
            <w:rStyle w:val="Hyperlink"/>
            <w:rFonts w:ascii="Times New Roman" w:hAnsi="Times New Roman"/>
            <w:b w:val="false"/>
            <w:i w:val="false"/>
            <w:color w:val="000000"/>
            <w:sz w:val="22"/>
          </w:rPr>
          <w:t>71.7(2)</w:t>
        </w:r>
      </w:hyperlink>
      <w:r>
        <w:rPr>
          <w:rFonts w:ascii="Times New Roman" w:hAnsi="Times New Roman"/>
          <w:b w:val="false"/>
          <w:i/>
          <w:color w:val="000000"/>
          <w:sz w:val="22"/>
        </w:rPr>
        <w:t>“c,”</w:t>
      </w:r>
      <w:r>
        <w:rPr>
          <w:rFonts w:ascii="Times New Roman" w:hAnsi="Times New Roman"/>
          <w:b w:val="false"/>
          <w:i w:val="false"/>
          <w:color w:val="000000"/>
          <w:sz w:val="22"/>
        </w:rPr>
        <w:t xml:space="preserve"> a waiver required under 71.7(2</w:t>
      </w:r>
      <w:r>
        <w:rPr>
          <w:rFonts w:ascii="Times New Roman" w:hAnsi="Times New Roman"/>
          <w:b w:val="false"/>
          <w:i/>
          <w:color w:val="000000"/>
          <w:sz w:val="22"/>
        </w:rPr>
        <w:t>)“c”</w:t>
      </w:r>
      <w:r>
        <w:rPr>
          <w:rFonts w:ascii="Times New Roman" w:hAnsi="Times New Roman"/>
          <w:b w:val="false"/>
          <w:i w:val="false"/>
          <w:color w:val="000000"/>
          <w:sz w:val="22"/>
        </w:rPr>
        <w:t xml:space="preserve">(1) or the information required under </w:t>
      </w:r>
      <w:hyperlink r:id="rId83">
        <w:r>
          <w:rPr>
            <w:rStyle w:val="Hyperlink"/>
            <w:rFonts w:ascii="Times New Roman" w:hAnsi="Times New Roman"/>
            <w:b w:val="false"/>
            <w:i w:val="false"/>
            <w:color w:val="000000"/>
            <w:sz w:val="22"/>
          </w:rPr>
          <w:t>71.7(2)</w:t>
        </w:r>
      </w:hyperlink>
      <w:r>
        <w:rPr>
          <w:rFonts w:ascii="Times New Roman" w:hAnsi="Times New Roman"/>
          <w:b w:val="false"/>
          <w:i/>
          <w:color w:val="000000"/>
          <w:sz w:val="22"/>
        </w:rPr>
        <w:t>“c”</w:t>
      </w:r>
      <w:r>
        <w:rPr>
          <w:rFonts w:ascii="Times New Roman" w:hAnsi="Times New Roman"/>
          <w:b w:val="false"/>
          <w:i w:val="false"/>
          <w:color w:val="000000"/>
          <w:sz w:val="22"/>
        </w:rPr>
        <w:t>(2) in circumstances set forth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1. A small employer carrier shall not offer coverage to a small employer if the carrier, or a producer for such carrier, has reason to believe that the small employer has induced or pressured an eligible employee (or dependent of an eligible employee) to decline coverage due to the individual’s risk characteristics.</w:t>
      </w:r>
    </w:p>
    <w:p>
      <w:pPr>
        <w:spacing w:before="0" w:after="0"/>
        <w:ind w:left="120"/>
        <w:jc w:val="both"/>
      </w:pPr>
      <w:r>
        <w:rPr>
          <w:rFonts w:ascii="Times New Roman" w:hAnsi="Times New Roman"/>
          <w:b w:val="false"/>
          <w:i w:val="false"/>
          <w:color w:val="000000"/>
          <w:sz w:val="22"/>
        </w:rPr>
        <w:t>2. A producer shall notify a small employer carrier, prior to submitting an application for coverage with the carrier on behalf of a small employer, of any circumstances that would indicate that the small employer has induced or pressured an eligible employee (or dependent of an eligible employee) to decline coverage due to the individual’s risk characteristics.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71.7(3)</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New entrants to a small employer group shall be offered an opportunity to enroll in the health insurance coverage currently held by such group. A new entrant who does not exercise the opportunity to enroll in the health insurance coverage within the period provided by the small employer carrier may be treated as a late enrollee by the carrier, provided that the period provided to enroll in the health insurance coverage extends at least 30 days after the date the new entrant is notified of the opportunity to enroll. If a small employer carrier has offered more than one health insurance coverage to a small employer group pursuant to </w:t>
      </w:r>
      <w:hyperlink r:id="rId84">
        <w:r>
          <w:rPr>
            <w:rStyle w:val="Hyperlink"/>
            <w:rFonts w:ascii="Times New Roman" w:hAnsi="Times New Roman"/>
            <w:b w:val="false"/>
            <w:i w:val="false"/>
            <w:color w:val="000000"/>
            <w:sz w:val="22"/>
          </w:rPr>
          <w:t>71.7(1)</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new entrant shall be offered the same choice of health insurance coverages as the other members of the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small employer carrier shall not apply a waiting period, elimination period or other similar limitation of coverage (other than an exclusion for preexisting medical conditions consistent with Iowa Code section </w:t>
      </w:r>
      <w:hyperlink r:id="rId85">
        <w:r>
          <w:rPr>
            <w:rStyle w:val="Hyperlink"/>
            <w:rFonts w:ascii="Times New Roman" w:hAnsi="Times New Roman"/>
            <w:b w:val="false"/>
            <w:i w:val="false"/>
            <w:color w:val="000000"/>
            <w:sz w:val="22"/>
          </w:rPr>
          <w:t>513B.10(4)</w:t>
        </w:r>
      </w:hyperlink>
      <w:r>
        <w:rPr>
          <w:rFonts w:ascii="Times New Roman" w:hAnsi="Times New Roman"/>
          <w:b w:val="false"/>
          <w:i w:val="false"/>
          <w:color w:val="000000"/>
          <w:sz w:val="22"/>
        </w:rPr>
        <w:t>), with respect to a new entrant that is longer than 60 days. This subrule does not affect an employer’s ability to determine an employee’s probationary period of work prior to the commencement of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New entrants to a group shall be accepted for coverage by the small employer carrier without any restrictions or limitations on coverage related to the risk characteristics of the employees or their dependents except that a carrier may exclude coverage for preexisting medical conditions consistent with the provisions provided in Iowa Code section </w:t>
      </w:r>
      <w:hyperlink r:id="rId86">
        <w:r>
          <w:rPr>
            <w:rStyle w:val="Hyperlink"/>
            <w:rFonts w:ascii="Times New Roman" w:hAnsi="Times New Roman"/>
            <w:b w:val="false"/>
            <w:i w:val="false"/>
            <w:color w:val="000000"/>
            <w:sz w:val="22"/>
          </w:rPr>
          <w:t>513B.10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small employer carrier may assess a risk load to the premium rate associated with a new entrant consistent with the requirements of Iowa Code section </w:t>
      </w:r>
      <w:hyperlink r:id="rId87">
        <w:r>
          <w:rPr>
            <w:rStyle w:val="Hyperlink"/>
            <w:rFonts w:ascii="Times New Roman" w:hAnsi="Times New Roman"/>
            <w:b w:val="false"/>
            <w:i w:val="false"/>
            <w:color w:val="000000"/>
            <w:sz w:val="22"/>
          </w:rPr>
          <w:t>513B.4</w:t>
        </w:r>
      </w:hyperlink>
      <w:r>
        <w:rPr>
          <w:rFonts w:ascii="Times New Roman" w:hAnsi="Times New Roman"/>
          <w:b w:val="false"/>
          <w:i w:val="false"/>
          <w:color w:val="000000"/>
          <w:sz w:val="22"/>
        </w:rPr>
        <w:t>. The risk load shall be the same risk load charged to the small employer group immediately prior to acceptance of the new entrant into the group.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71.7(4)</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Opportunity to enroll.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an eligible employee (or dependent of an eligible employee) who, prior to July 1, 1993, was excluded from coverage or denied coverage by a small employer carrier in the process of providing health insurance coverage to an eligible small employer (as defined in Iowa Code section </w:t>
      </w:r>
      <w:hyperlink r:id="rId88">
        <w:r>
          <w:rPr>
            <w:rStyle w:val="Hyperlink"/>
            <w:rFonts w:ascii="Times New Roman" w:hAnsi="Times New Roman"/>
            <w:b w:val="false"/>
            <w:i w:val="false"/>
            <w:color w:val="000000"/>
            <w:sz w:val="22"/>
          </w:rPr>
          <w:t>513B.2(16)</w:t>
        </w:r>
      </w:hyperlink>
      <w:r>
        <w:rPr>
          <w:rFonts w:ascii="Times New Roman" w:hAnsi="Times New Roman"/>
          <w:b w:val="false"/>
          <w:i w:val="false"/>
          <w:color w:val="000000"/>
          <w:sz w:val="22"/>
        </w:rPr>
        <w:t>), the small employer carrier shall provide an opportunity for the eligible employee (or dependent of such eligible employee) to enroll in health insurance coverage currently held by the small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small employer carrier may require an individual who requests enrollment under this subrule to sign a statement indicating that such individual sought coverage under the group contract (other than as a late enrollee) and that the coverage was not offered to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opportunity to enroll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opportunity to enroll shall begin October 1, 1993, and extend for a period of at least three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Eligible employees and dependents of eligible employees who are provided an opportunity to enroll pursuant to this subrule shall be treated as new entrants. Premium rates related to such individuals shall be set in accordance with </w:t>
      </w:r>
      <w:hyperlink r:id="rId89">
        <w:r>
          <w:rPr>
            <w:rStyle w:val="Hyperlink"/>
            <w:rFonts w:ascii="Times New Roman" w:hAnsi="Times New Roman"/>
            <w:b w:val="false"/>
            <w:i w:val="false"/>
            <w:color w:val="000000"/>
            <w:sz w:val="22"/>
          </w:rPr>
          <w:t>71.7(3)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terms of coverage offered to an individual described in subparagraph </w:t>
      </w:r>
      <w:r>
        <w:rPr>
          <w:rFonts w:ascii="Times New Roman" w:hAnsi="Times New Roman"/>
          <w:b w:val="false"/>
          <w:i/>
          <w:color w:val="000000"/>
          <w:sz w:val="22"/>
        </w:rPr>
        <w:t>“a”</w:t>
      </w:r>
      <w:r>
        <w:rPr>
          <w:rFonts w:ascii="Times New Roman" w:hAnsi="Times New Roman"/>
          <w:b w:val="false"/>
          <w:i w:val="false"/>
          <w:color w:val="000000"/>
          <w:sz w:val="22"/>
        </w:rPr>
        <w:t>(1) may exclude coverage for preexisting medical conditions if the health insurance coverage currently held by the small employer contains such an exclusion, provided that the exclusion period shall be reduced by the number of days between the date the individual was excluded or denied coverage and the date coverage is provided to the individual pursuant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small employer carrier shall provide written notice at least 45 days prior to the opportunity to enroll provided in </w:t>
      </w:r>
      <w:hyperlink r:id="rId90">
        <w:r>
          <w:rPr>
            <w:rStyle w:val="Hyperlink"/>
            <w:rFonts w:ascii="Times New Roman" w:hAnsi="Times New Roman"/>
            <w:b w:val="false"/>
            <w:i w:val="false"/>
            <w:color w:val="000000"/>
            <w:sz w:val="22"/>
          </w:rPr>
          <w:t>71.7(4)</w:t>
        </w:r>
      </w:hyperlink>
      <w:r>
        <w:rPr>
          <w:rFonts w:ascii="Times New Roman" w:hAnsi="Times New Roman"/>
          <w:b w:val="false"/>
          <w:i/>
          <w:color w:val="000000"/>
          <w:sz w:val="22"/>
        </w:rPr>
        <w:t>“a”</w:t>
      </w:r>
      <w:r>
        <w:rPr>
          <w:rFonts w:ascii="Times New Roman" w:hAnsi="Times New Roman"/>
          <w:b w:val="false"/>
          <w:i w:val="false"/>
          <w:color w:val="000000"/>
          <w:sz w:val="22"/>
        </w:rPr>
        <w:t>(1) to each small employer insured under health insurance coverage offered by such carrier. The notice shall clearly describe the rights granted under this subrule to employees and dependents previously excluded or denied coverage and the process for enrollment of such individuals in the employer’s health insurance coverage.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3682C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191—71.8</w:t>
      </w:r>
      <w:r>
        <w:rPr>
          <w:rFonts w:ascii="Times New Roman" w:hAnsi="Times New Roman"/>
          <w:b/>
          <w:i w:val="false"/>
          <w:color w:val="000000"/>
          <w:sz w:val="22"/>
        </w:rPr>
        <w:t xml:space="preserve">(513B) </w:t>
      </w:r>
      <w:r>
        <w:rPr>
          <w:rFonts w:ascii="Times New Roman" w:hAnsi="Times New Roman"/>
          <w:b/>
          <w:i w:val="false"/>
          <w:color w:val="000000"/>
          <w:sz w:val="22"/>
        </w:rPr>
        <w:t xml:space="preserve">Case characteristics.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71.8(1)</w:t>
      </w:r>
      <w:r>
        <w:rPr>
          <w:rFonts w:ascii="Times New Roman" w:hAnsi="Times New Roman"/>
          <w:b w:val="false"/>
          <w:i w:val="false"/>
          <w:color w:val="000000"/>
          <w:sz w:val="22"/>
        </w:rPr>
        <w:t> </w:t>
      </w:r>
      <w:r>
        <w:rPr>
          <w:rFonts w:ascii="Times New Roman" w:hAnsi="Times New Roman"/>
          <w:b w:val="false"/>
          <w:i w:val="false"/>
          <w:color w:val="000000"/>
          <w:sz w:val="22"/>
        </w:rPr>
        <w:t xml:space="preserve">A small employer carrier may use age, geographic area, family composition, and group size in establishing premium rates, subject to Iowa Code section </w:t>
      </w:r>
      <w:hyperlink r:id="rId91">
        <w:r>
          <w:rPr>
            <w:rStyle w:val="Hyperlink"/>
            <w:rFonts w:ascii="Times New Roman" w:hAnsi="Times New Roman"/>
            <w:b w:val="false"/>
            <w:i w:val="false"/>
            <w:color w:val="000000"/>
            <w:sz w:val="22"/>
          </w:rPr>
          <w:t>513B.4(2)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71.8(2)</w:t>
      </w:r>
      <w:r>
        <w:rPr>
          <w:rFonts w:ascii="Times New Roman" w:hAnsi="Times New Roman"/>
          <w:b w:val="false"/>
          <w:i w:val="false"/>
          <w:color w:val="000000"/>
          <w:sz w:val="22"/>
        </w:rPr>
        <w:t> </w:t>
      </w:r>
      <w:r>
        <w:rPr>
          <w:rFonts w:ascii="Times New Roman" w:hAnsi="Times New Roman"/>
          <w:b w:val="false"/>
          <w:i w:val="false"/>
          <w:color w:val="000000"/>
          <w:sz w:val="22"/>
        </w:rPr>
        <w:t>Additional rating factors are not allowed without the prior approval of the commissioner.</w:t>
      </w:r>
    </w:p>
    <w:p>
      <w:pPr>
        <w:spacing w:before="0" w:after="0"/>
        <w:ind w:left="120"/>
        <w:jc w:val="both"/>
      </w:pPr>
      <w:r>
        <w:rPr>
          <w:rFonts w:ascii="Times New Roman" w:hAnsi="Times New Roman"/>
          <w:b/>
          <w:i w:val="false"/>
          <w:color w:val="000000"/>
          <w:sz w:val="22"/>
        </w:rPr>
        <w:t>191—71.9</w:t>
      </w:r>
      <w:r>
        <w:rPr>
          <w:rFonts w:ascii="Times New Roman" w:hAnsi="Times New Roman"/>
          <w:b/>
          <w:i w:val="false"/>
          <w:color w:val="000000"/>
          <w:sz w:val="22"/>
        </w:rPr>
        <w:t xml:space="preserve">(513B) </w:t>
      </w:r>
      <w:r>
        <w:rPr>
          <w:rFonts w:ascii="Times New Roman" w:hAnsi="Times New Roman"/>
          <w:b/>
          <w:i w:val="false"/>
          <w:color w:val="000000"/>
          <w:sz w:val="22"/>
        </w:rPr>
        <w:t xml:space="preserve">Application to reenter state.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71.9(1)</w:t>
      </w:r>
      <w:r>
        <w:rPr>
          <w:rFonts w:ascii="Times New Roman" w:hAnsi="Times New Roman"/>
          <w:b w:val="false"/>
          <w:i w:val="false"/>
          <w:color w:val="000000"/>
          <w:sz w:val="22"/>
        </w:rPr>
        <w:t> </w:t>
      </w:r>
      <w:r>
        <w:rPr>
          <w:rFonts w:ascii="Times New Roman" w:hAnsi="Times New Roman"/>
          <w:b w:val="false"/>
          <w:i w:val="false"/>
          <w:color w:val="000000"/>
          <w:sz w:val="22"/>
        </w:rPr>
        <w:t xml:space="preserve">A carrier prohibited from writing coverage for small employers in this state pursuant to Iowa Code section </w:t>
      </w:r>
      <w:hyperlink r:id="rId92">
        <w:r>
          <w:rPr>
            <w:rStyle w:val="Hyperlink"/>
            <w:rFonts w:ascii="Times New Roman" w:hAnsi="Times New Roman"/>
            <w:b w:val="false"/>
            <w:i w:val="false"/>
            <w:color w:val="000000"/>
            <w:sz w:val="22"/>
          </w:rPr>
          <w:t>513B.5(2)</w:t>
        </w:r>
      </w:hyperlink>
      <w:r>
        <w:rPr>
          <w:rFonts w:ascii="Times New Roman" w:hAnsi="Times New Roman"/>
          <w:b w:val="false"/>
          <w:i w:val="false"/>
          <w:color w:val="000000"/>
          <w:sz w:val="22"/>
        </w:rPr>
        <w:t xml:space="preserve"> may not resume offering health insurance coverage to small employers in this state until the carrier has made a petition to the commissioner or director to be reinstated as a small employer carrier and the petition has been approved by the commissioner or director. In reviewing a petition, the commissioner or director may ask for such information and assurances as the commissioner or director finds reasonable and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71.9(2)</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 small employer carrier doing business in only one established geographic service area of the state, if the small employer carrier elects to nonrenew health insurance coverage under Iowa Code section </w:t>
      </w:r>
      <w:hyperlink r:id="rId93">
        <w:r>
          <w:rPr>
            <w:rStyle w:val="Hyperlink"/>
            <w:rFonts w:ascii="Times New Roman" w:hAnsi="Times New Roman"/>
            <w:b w:val="false"/>
            <w:i w:val="false"/>
            <w:color w:val="000000"/>
            <w:sz w:val="22"/>
          </w:rPr>
          <w:t>513B.5</w:t>
        </w:r>
      </w:hyperlink>
      <w:r>
        <w:rPr>
          <w:rFonts w:ascii="Times New Roman" w:hAnsi="Times New Roman"/>
          <w:b w:val="false"/>
          <w:i w:val="false"/>
          <w:color w:val="000000"/>
          <w:sz w:val="22"/>
        </w:rPr>
        <w:t>, the small employer carrier shall be prohibited from offering health insurance coverages to small employers in any other geographic area of the state without the prior approval of the commissioner or director. In considering whether to grant approval, the commissioner or director may ask for such information and assurances as the commissioner or director finds reasonable and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3682C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191—71.10</w:t>
      </w:r>
      <w:r>
        <w:rPr>
          <w:rFonts w:ascii="Times New Roman" w:hAnsi="Times New Roman"/>
          <w:b/>
          <w:i w:val="false"/>
          <w:color w:val="000000"/>
          <w:sz w:val="22"/>
        </w:rPr>
        <w:t xml:space="preserve">(513B) </w:t>
      </w:r>
      <w:r>
        <w:rPr>
          <w:rFonts w:ascii="Times New Roman" w:hAnsi="Times New Roman"/>
          <w:b/>
          <w:i w:val="false"/>
          <w:color w:val="000000"/>
          <w:sz w:val="22"/>
        </w:rPr>
        <w:t xml:space="preserve">Creditable coverage. </w:t>
      </w:r>
      <w:r>
        <w:rPr>
          <w:rFonts w:ascii="Times New Roman" w:hAnsi="Times New Roman"/>
          <w:b w:val="false"/>
          <w:i w:val="false"/>
          <w:color w:val="000000"/>
          <w:sz w:val="22"/>
        </w:rPr>
        <w:t xml:space="preserve">For purposes of this chapter, creditable coverage shall have the same definition as Iowa Code section </w:t>
      </w:r>
      <w:hyperlink r:id="rId94">
        <w:r>
          <w:rPr>
            <w:rStyle w:val="Hyperlink"/>
            <w:rFonts w:ascii="Times New Roman" w:hAnsi="Times New Roman"/>
            <w:b w:val="false"/>
            <w:i w:val="false"/>
            <w:color w:val="000000"/>
            <w:sz w:val="22"/>
          </w:rPr>
          <w:t>513B.2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6121C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191—71.11</w:t>
      </w:r>
      <w:r>
        <w:rPr>
          <w:rFonts w:ascii="Times New Roman" w:hAnsi="Times New Roman"/>
          <w:b/>
          <w:i w:val="false"/>
          <w:color w:val="000000"/>
          <w:sz w:val="22"/>
        </w:rPr>
        <w:t xml:space="preserve">(513B) </w:t>
      </w:r>
      <w:r>
        <w:rPr>
          <w:rFonts w:ascii="Times New Roman" w:hAnsi="Times New Roman"/>
          <w:b/>
          <w:i w:val="false"/>
          <w:color w:val="000000"/>
          <w:sz w:val="22"/>
        </w:rPr>
        <w:t xml:space="preserve">Rules related to fair marketing.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71.11(1)</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small employer carrier shall actively market health insurance coverages including one basic and one standard health benefit plan to small employers in this state. A small employer carrier may not suspend the marketing or issuance of the basic and standard health benefit plans unless the carrier has good cause and has received the prior approval of the commissioner or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marketing the basic and standard health benefit plans to small employers, a small employer carrier shall use at least the same sources and methods of distribution that it uses to market other health insurance coverages to small employers.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71.11(2)</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small employer carrier, in accordance with the provisions of Iowa Code section </w:t>
      </w:r>
      <w:hyperlink r:id="rId95">
        <w:r>
          <w:rPr>
            <w:rStyle w:val="Hyperlink"/>
            <w:rFonts w:ascii="Times New Roman" w:hAnsi="Times New Roman"/>
            <w:b w:val="false"/>
            <w:i w:val="false"/>
            <w:color w:val="000000"/>
            <w:sz w:val="22"/>
          </w:rPr>
          <w:t>513B.10</w:t>
        </w:r>
      </w:hyperlink>
      <w:r>
        <w:rPr>
          <w:rFonts w:ascii="Times New Roman" w:hAnsi="Times New Roman"/>
          <w:b w:val="false"/>
          <w:i w:val="false"/>
          <w:color w:val="000000"/>
          <w:sz w:val="22"/>
        </w:rPr>
        <w:t>, shall accept every small employer that applies for health insurance coverage from the small employer carrier and shall accept every eligible individual who applies for enrollment. The offer shall be in writing and shall include at least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general description of the benefits contained in the basic and standard health benefit plans and any other health insurance coverage being offered to the small employer,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Information describing how the small employer may enroll in the plans.</w:t>
      </w:r>
    </w:p>
    <w:p>
      <w:pPr>
        <w:spacing w:before="0" w:after="0"/>
        <w:ind w:left="120"/>
        <w:jc w:val="both"/>
      </w:pPr>
      <w:r>
        <w:rPr>
          <w:rFonts w:ascii="Times New Roman" w:hAnsi="Times New Roman"/>
          <w:b w:val="false"/>
          <w:i w:val="false"/>
          <w:color w:val="000000"/>
          <w:sz w:val="22"/>
        </w:rPr>
        <w:t>The offer may be provided directly to the small employer or delivered through a producer.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small employer carrier shall provide a price quote to a small employer (directly or through an authorized producer) within ten working days of receiving a request for a quote and other information as necessary to provide the quote. A small employer carrier shall notify a small employer (directly or through an authorized producer) of any additional information needed by the small employer carrier to provide the quote within five working days of receiving a request for a price quote.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small employer carrier shall not apply more stringent or detailed requirements related to the application process for the basic and standard health benefit plans than applied for other health insurance coverage offered by the carrier.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71.11(3)</w:t>
      </w:r>
      <w:r>
        <w:rPr>
          <w:rFonts w:ascii="Times New Roman" w:hAnsi="Times New Roman"/>
          <w:b w:val="false"/>
          <w:i w:val="false"/>
          <w:color w:val="000000"/>
          <w:sz w:val="22"/>
        </w:rPr>
        <w:t> </w:t>
      </w:r>
      <w:r>
        <w:rPr>
          <w:rFonts w:ascii="Times New Roman" w:hAnsi="Times New Roman"/>
          <w:b w:val="false"/>
          <w:i w:val="false"/>
          <w:color w:val="000000"/>
          <w:sz w:val="22"/>
        </w:rPr>
        <w:t>A small employer carrier shall establish and maintain a toll-free telephone service to provide information to small employers regarding the availability of health insurance coverages in this state. The service shall provide information to callers regarding application for coverage from the carrier. The information may include the names and telephone numbers of producers located in geographic proximity to the caller or such other information reasonably designed to assist the caller to locate an authorized producer or to otherwise apply for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71.11(4)</w:t>
      </w:r>
      <w:r>
        <w:rPr>
          <w:rFonts w:ascii="Times New Roman" w:hAnsi="Times New Roman"/>
          <w:b w:val="false"/>
          <w:i w:val="false"/>
          <w:color w:val="000000"/>
          <w:sz w:val="22"/>
        </w:rPr>
        <w:t> </w:t>
      </w:r>
      <w:r>
        <w:rPr>
          <w:rFonts w:ascii="Times New Roman" w:hAnsi="Times New Roman"/>
          <w:b w:val="false"/>
          <w:i w:val="false"/>
          <w:color w:val="000000"/>
          <w:sz w:val="22"/>
        </w:rPr>
        <w:t>The small group carrier shall not require a small employer to join or contribute to any association or group as a condition of being accepted for coverage by the small employer carrier except, if membership in an association or other group is a requirement for accepting a small employer into health insurance coverage, a small employer carrier may apply such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71.11(5)</w:t>
      </w:r>
      <w:r>
        <w:rPr>
          <w:rFonts w:ascii="Times New Roman" w:hAnsi="Times New Roman"/>
          <w:b w:val="false"/>
          <w:i w:val="false"/>
          <w:color w:val="000000"/>
          <w:sz w:val="22"/>
        </w:rPr>
        <w:t> </w:t>
      </w:r>
      <w:r>
        <w:rPr>
          <w:rFonts w:ascii="Times New Roman" w:hAnsi="Times New Roman"/>
          <w:b w:val="false"/>
          <w:i w:val="false"/>
          <w:color w:val="000000"/>
          <w:sz w:val="22"/>
        </w:rPr>
        <w:t>A small employer carrier may not require, as a condition to the offer or sale of health insurance coverage to a small employer, that the small employer purchase or qualify for any other insurance product or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71.11(6)</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Carriers offering individual and group health insurance coverages in this state shall be responsible for determining whether the plans are subject to the requirements of Iowa Code chapter </w:t>
      </w:r>
      <w:hyperlink r:id="rId96">
        <w:r>
          <w:rPr>
            <w:rStyle w:val="Hyperlink"/>
            <w:rFonts w:ascii="Times New Roman" w:hAnsi="Times New Roman"/>
            <w:b w:val="false"/>
            <w:i w:val="false"/>
            <w:color w:val="000000"/>
            <w:sz w:val="22"/>
          </w:rPr>
          <w:t>513B</w:t>
        </w:r>
      </w:hyperlink>
      <w:r>
        <w:rPr>
          <w:rFonts w:ascii="Times New Roman" w:hAnsi="Times New Roman"/>
          <w:b w:val="false"/>
          <w:i w:val="false"/>
          <w:color w:val="000000"/>
          <w:sz w:val="22"/>
        </w:rPr>
        <w:t xml:space="preserve"> and this chapter. Carriers shall elicit the following information from applicants for such plans at the time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or not any portion of the premium will be paid by or on behalf of a small employer, either directly or through wage adjustments or other means of reimbursement;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or not the prospective policyholder, certificate holder or any prospective insured individual intends to treat the health insurance coverage as part of a plan or program under Section 162 (other than Section 162(1)), Section 125 or Section 106 of the United States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small employer carrier fails to comply with paragraph </w:t>
      </w:r>
      <w:r>
        <w:rPr>
          <w:rFonts w:ascii="Times New Roman" w:hAnsi="Times New Roman"/>
          <w:b w:val="false"/>
          <w:i/>
          <w:color w:val="000000"/>
          <w:sz w:val="22"/>
        </w:rPr>
        <w:t>“a,”</w:t>
      </w:r>
      <w:r>
        <w:rPr>
          <w:rFonts w:ascii="Times New Roman" w:hAnsi="Times New Roman"/>
          <w:b w:val="false"/>
          <w:i w:val="false"/>
          <w:color w:val="000000"/>
          <w:sz w:val="22"/>
        </w:rPr>
        <w:t xml:space="preserve"> the small employer carrier shall be deemed on notice regarding any information that could reasonably have been attained if the small employer carrier had complied with paragraph </w:t>
      </w:r>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71.11(7)</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small employer carrier shall annually file the following information with the commissioner related to health insurance coverages issued by the small employer carrier to small employers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number of small employers that were issued health insurance coverages in the previous calendar year (separated as to newly issued plans and renewals);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number of small employers that were issued the basic health benefit plan and the standard health benefit plan in the previous calendar year (separated as to newly issued plans and renewals and as to class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number of small employer health insurance coverages in force in each county (or by ZIP code) of the state as of December 31 of the previous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number of small employer health insurance coverages that were voluntarily not renewed by small employers in the previous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number of small employer health insurance coverages that were terminated or nonrenewed (for reasons other than nonpayment of premium) by the carrier in the previous calendar year;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number of small employer health insurance coverages that were issued to small employers that were uninsured for at least the three months prior to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information described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shall be filed no later than March 15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71.11(8)</w:t>
      </w:r>
      <w:r>
        <w:rPr>
          <w:rFonts w:ascii="Times New Roman" w:hAnsi="Times New Roman"/>
          <w:b w:val="false"/>
          <w:i w:val="false"/>
          <w:color w:val="000000"/>
          <w:sz w:val="22"/>
        </w:rPr>
        <w:t> </w:t>
      </w:r>
      <w:r>
        <w:rPr>
          <w:rFonts w:ascii="Times New Roman" w:hAnsi="Times New Roman"/>
          <w:b w:val="false"/>
          <w:i w:val="false"/>
          <w:color w:val="000000"/>
          <w:sz w:val="22"/>
        </w:rPr>
        <w:t>A small group carrier shall not price the basic and standard benefit plans nor set the commissions in such a way to make the plans unattractive for a producer to market. A small employer carrier shall provide reasonable compensation, as provided in the plan of operation, to a producer, if any, for the sale of a basic or standard health benefit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71.11(9)</w:t>
      </w:r>
      <w:r>
        <w:rPr>
          <w:rFonts w:ascii="Times New Roman" w:hAnsi="Times New Roman"/>
          <w:b w:val="false"/>
          <w:i w:val="false"/>
          <w:color w:val="000000"/>
          <w:sz w:val="22"/>
        </w:rPr>
        <w:t> </w:t>
      </w:r>
      <w:r>
        <w:rPr>
          <w:rFonts w:ascii="Times New Roman" w:hAnsi="Times New Roman"/>
          <w:b w:val="false"/>
          <w:i w:val="false"/>
          <w:color w:val="000000"/>
          <w:sz w:val="22"/>
        </w:rPr>
        <w:t>A small employer carrier shall establish commission payments for the sale of basic and standard health benefit plans within each class of business at no less than 75 percent of the level of commission payments assessed on other small group health products.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3682C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191—71.12</w:t>
      </w:r>
      <w:r>
        <w:rPr>
          <w:rFonts w:ascii="Times New Roman" w:hAnsi="Times New Roman"/>
          <w:b/>
          <w:i w:val="false"/>
          <w:color w:val="000000"/>
          <w:sz w:val="22"/>
        </w:rPr>
        <w:t xml:space="preserve">(513B) </w:t>
      </w:r>
      <w:r>
        <w:rPr>
          <w:rFonts w:ascii="Times New Roman" w:hAnsi="Times New Roman"/>
          <w:b/>
          <w:i w:val="false"/>
          <w:color w:val="000000"/>
          <w:sz w:val="22"/>
        </w:rPr>
        <w:t xml:space="preserve">Status of carriers as small employer carriers.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71.12(1)</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w:t>
      </w:r>
      <w:hyperlink r:id="rId97">
        <w:r>
          <w:rPr>
            <w:rStyle w:val="Hyperlink"/>
            <w:rFonts w:ascii="Times New Roman" w:hAnsi="Times New Roman"/>
            <w:b w:val="false"/>
            <w:i w:val="false"/>
            <w:color w:val="000000"/>
            <w:sz w:val="22"/>
          </w:rPr>
          <w:t>71.12(2)</w:t>
        </w:r>
      </w:hyperlink>
      <w:r>
        <w:rPr>
          <w:rFonts w:ascii="Times New Roman" w:hAnsi="Times New Roman"/>
          <w:b w:val="false"/>
          <w:i w:val="false"/>
          <w:color w:val="000000"/>
          <w:sz w:val="22"/>
        </w:rPr>
        <w:t>, a carrier shall not offer health insurance coverages to small employers or continue to provide coverage under health insurance coverages previously issued to small employers in this state unless the carrier has made a filing with the commissioner or director that the carrier intends to operate as a small employer carrier in this state under the terms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71.12(2)</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carrier does not intend to operate as a small employer carrier in this state, the carrier may continue to provide coverage under health insurance coverages previously issued to small employers in this state only if the carrier complies with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carrier complies with the requirements of Iowa Code chapter </w:t>
      </w:r>
      <w:hyperlink r:id="rId98">
        <w:r>
          <w:rPr>
            <w:rStyle w:val="Hyperlink"/>
            <w:rFonts w:ascii="Times New Roman" w:hAnsi="Times New Roman"/>
            <w:b w:val="false"/>
            <w:i w:val="false"/>
            <w:color w:val="000000"/>
            <w:sz w:val="22"/>
          </w:rPr>
          <w:t>513B</w:t>
        </w:r>
      </w:hyperlink>
      <w:r>
        <w:rPr>
          <w:rFonts w:ascii="Times New Roman" w:hAnsi="Times New Roman"/>
          <w:b w:val="false"/>
          <w:i w:val="false"/>
          <w:color w:val="000000"/>
          <w:sz w:val="22"/>
        </w:rPr>
        <w:t xml:space="preserve"> (other than Iowa Code sections </w:t>
      </w:r>
      <w:hyperlink r:id="rId99">
        <w:r>
          <w:rPr>
            <w:rStyle w:val="Hyperlink"/>
            <w:rFonts w:ascii="Times New Roman" w:hAnsi="Times New Roman"/>
            <w:b w:val="false"/>
            <w:i w:val="false"/>
            <w:color w:val="000000"/>
            <w:sz w:val="22"/>
          </w:rPr>
          <w:t>513B.11 to 513B.13</w:t>
        </w:r>
      </w:hyperlink>
      <w:r>
        <w:rPr>
          <w:rFonts w:ascii="Times New Roman" w:hAnsi="Times New Roman"/>
          <w:b w:val="false"/>
          <w:i w:val="false"/>
          <w:color w:val="000000"/>
          <w:sz w:val="22"/>
        </w:rPr>
        <w:t>) with respect to each of the health insurance coverages previously issued to small employers by the carrier.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carrier provides coverage to each new entrant to health insurance coverage previously issued to a small employer by the carrier. The provisions of Iowa Code chapter </w:t>
      </w:r>
      <w:hyperlink r:id="rId100">
        <w:r>
          <w:rPr>
            <w:rStyle w:val="Hyperlink"/>
            <w:rFonts w:ascii="Times New Roman" w:hAnsi="Times New Roman"/>
            <w:b w:val="false"/>
            <w:i w:val="false"/>
            <w:color w:val="000000"/>
            <w:sz w:val="22"/>
          </w:rPr>
          <w:t>513B</w:t>
        </w:r>
      </w:hyperlink>
      <w:r>
        <w:rPr>
          <w:rFonts w:ascii="Times New Roman" w:hAnsi="Times New Roman"/>
          <w:b w:val="false"/>
          <w:i w:val="false"/>
          <w:color w:val="000000"/>
          <w:sz w:val="22"/>
        </w:rPr>
        <w:t xml:space="preserve"> (other than Iowa Code sections </w:t>
      </w:r>
      <w:hyperlink r:id="rId101">
        <w:r>
          <w:rPr>
            <w:rStyle w:val="Hyperlink"/>
            <w:rFonts w:ascii="Times New Roman" w:hAnsi="Times New Roman"/>
            <w:b w:val="false"/>
            <w:i w:val="false"/>
            <w:color w:val="000000"/>
            <w:sz w:val="22"/>
          </w:rPr>
          <w:t>513B.11 to 513B.13</w:t>
        </w:r>
      </w:hyperlink>
      <w:r>
        <w:rPr>
          <w:rFonts w:ascii="Times New Roman" w:hAnsi="Times New Roman"/>
          <w:b w:val="false"/>
          <w:i w:val="false"/>
          <w:color w:val="000000"/>
          <w:sz w:val="22"/>
        </w:rPr>
        <w:t>) and this chapter shall apply to the coverage issued new entrants.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carrier complies with the requirements of Iowa Code section </w:t>
      </w:r>
      <w:hyperlink r:id="rId102">
        <w:r>
          <w:rPr>
            <w:rStyle w:val="Hyperlink"/>
            <w:rFonts w:ascii="Times New Roman" w:hAnsi="Times New Roman"/>
            <w:b w:val="false"/>
            <w:i w:val="false"/>
            <w:color w:val="000000"/>
            <w:sz w:val="22"/>
          </w:rPr>
          <w:t>513B.17A</w:t>
        </w:r>
      </w:hyperlink>
      <w:r>
        <w:rPr>
          <w:rFonts w:ascii="Times New Roman" w:hAnsi="Times New Roman"/>
          <w:b w:val="false"/>
          <w:i w:val="false"/>
          <w:color w:val="000000"/>
          <w:sz w:val="22"/>
        </w:rPr>
        <w:t>, and rule 191—</w:t>
      </w:r>
      <w:hyperlink r:id="rId103">
        <w:r>
          <w:rPr>
            <w:rStyle w:val="Hyperlink"/>
            <w:rFonts w:ascii="Times New Roman" w:hAnsi="Times New Roman"/>
            <w:b w:val="false"/>
            <w:i w:val="false"/>
            <w:color w:val="000000"/>
            <w:sz w:val="22"/>
          </w:rPr>
          <w:t>71.13(513B)</w:t>
        </w:r>
      </w:hyperlink>
      <w:r>
        <w:rPr>
          <w:rFonts w:ascii="Times New Roman" w:hAnsi="Times New Roman"/>
          <w:b w:val="false"/>
          <w:i w:val="false"/>
          <w:color w:val="000000"/>
          <w:sz w:val="22"/>
        </w:rPr>
        <w:t>, as they apply to small employers whose coverage has been terminated by the carrier, and to individuals and small employers whose coverage has been limited or restricted by the carrier.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carrier that continues to provide coverage pursuant to this subrule shall not be eligible to participate in the reinsurance program established under Iowa Code section </w:t>
      </w:r>
      <w:hyperlink r:id="rId104">
        <w:r>
          <w:rPr>
            <w:rStyle w:val="Hyperlink"/>
            <w:rFonts w:ascii="Times New Roman" w:hAnsi="Times New Roman"/>
            <w:b w:val="false"/>
            <w:i w:val="false"/>
            <w:color w:val="000000"/>
            <w:sz w:val="22"/>
          </w:rPr>
          <w:t>513B.11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carrier does not intend to operate as a small employer carrier in this state, the carrier shall be precluded from operating as a small employer carrier in this state (except as provided for in </w:t>
      </w:r>
      <w:hyperlink r:id="rId105">
        <w:r>
          <w:rPr>
            <w:rStyle w:val="Hyperlink"/>
            <w:rFonts w:ascii="Times New Roman" w:hAnsi="Times New Roman"/>
            <w:b w:val="false"/>
            <w:i w:val="false"/>
            <w:color w:val="000000"/>
            <w:sz w:val="22"/>
          </w:rPr>
          <w:t>71.12(2)</w:t>
        </w:r>
      </w:hyperlink>
      <w:r>
        <w:rPr>
          <w:rFonts w:ascii="Times New Roman" w:hAnsi="Times New Roman"/>
          <w:b w:val="false"/>
          <w:i w:val="false"/>
          <w:color w:val="000000"/>
          <w:sz w:val="22"/>
        </w:rPr>
        <w:t>) for a period of five years from the date of this chapter. Upon a written request from such a carrier, the commissioner may reduce the period provided for in the previous sentence if the commissioner finds that permitting the carrier to operate as a small employer carrier would be in the best interests of the small employers in the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3682C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191—71.13</w:t>
      </w:r>
      <w:r>
        <w:rPr>
          <w:rFonts w:ascii="Times New Roman" w:hAnsi="Times New Roman"/>
          <w:b/>
          <w:i w:val="false"/>
          <w:color w:val="000000"/>
          <w:sz w:val="22"/>
        </w:rPr>
        <w:t xml:space="preserve">(513B) </w:t>
      </w:r>
      <w:r>
        <w:rPr>
          <w:rFonts w:ascii="Times New Roman" w:hAnsi="Times New Roman"/>
          <w:b/>
          <w:i w:val="false"/>
          <w:color w:val="000000"/>
          <w:sz w:val="22"/>
        </w:rPr>
        <w:t xml:space="preserve">Restoration of coverage.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71.13(1)</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w:t>
      </w:r>
      <w:hyperlink r:id="rId106">
        <w:r>
          <w:rPr>
            <w:rStyle w:val="Hyperlink"/>
            <w:rFonts w:ascii="Times New Roman" w:hAnsi="Times New Roman"/>
            <w:b w:val="false"/>
            <w:i w:val="false"/>
            <w:color w:val="000000"/>
            <w:sz w:val="22"/>
          </w:rPr>
          <w:t>71.13(1)</w:t>
        </w:r>
      </w:hyperlink>
      <w:r>
        <w:rPr>
          <w:rFonts w:ascii="Times New Roman" w:hAnsi="Times New Roman"/>
          <w:b w:val="false"/>
          <w:i/>
          <w:color w:val="000000"/>
          <w:sz w:val="22"/>
        </w:rPr>
        <w:t xml:space="preserve">“b,” </w:t>
      </w:r>
      <w:r>
        <w:rPr>
          <w:rFonts w:ascii="Times New Roman" w:hAnsi="Times New Roman"/>
          <w:b w:val="false"/>
          <w:i w:val="false"/>
          <w:color w:val="000000"/>
          <w:sz w:val="22"/>
        </w:rPr>
        <w:t xml:space="preserve">a small employer carrier shall, as a condition of continuing to transact business in this state with small employers, offer to provide health insurance coverage as described in </w:t>
      </w:r>
      <w:hyperlink r:id="rId107">
        <w:r>
          <w:rPr>
            <w:rStyle w:val="Hyperlink"/>
            <w:rFonts w:ascii="Times New Roman" w:hAnsi="Times New Roman"/>
            <w:b w:val="false"/>
            <w:i w:val="false"/>
            <w:color w:val="000000"/>
            <w:sz w:val="22"/>
          </w:rPr>
          <w:t>71.13(3)</w:t>
        </w:r>
      </w:hyperlink>
      <w:r>
        <w:rPr>
          <w:rFonts w:ascii="Times New Roman" w:hAnsi="Times New Roman"/>
          <w:b w:val="false"/>
          <w:i w:val="false"/>
          <w:color w:val="000000"/>
          <w:sz w:val="22"/>
        </w:rPr>
        <w:t xml:space="preserve"> to any small employer carrier after January 1, 1993, unless the carrier’s termination is pursuant to Iowa Code section </w:t>
      </w:r>
      <w:hyperlink r:id="rId108">
        <w:r>
          <w:rPr>
            <w:rStyle w:val="Hyperlink"/>
            <w:rFonts w:ascii="Times New Roman" w:hAnsi="Times New Roman"/>
            <w:b w:val="false"/>
            <w:i w:val="false"/>
            <w:color w:val="000000"/>
            <w:sz w:val="22"/>
          </w:rPr>
          <w:t>513B.5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offer required under </w:t>
      </w:r>
      <w:hyperlink r:id="rId109">
        <w:r>
          <w:rPr>
            <w:rStyle w:val="Hyperlink"/>
            <w:rFonts w:ascii="Times New Roman" w:hAnsi="Times New Roman"/>
            <w:b w:val="false"/>
            <w:i w:val="false"/>
            <w:color w:val="000000"/>
            <w:sz w:val="22"/>
          </w:rPr>
          <w:t>71.13(1)</w:t>
        </w:r>
      </w:hyperlink>
      <w:r>
        <w:rPr>
          <w:rFonts w:ascii="Times New Roman" w:hAnsi="Times New Roman"/>
          <w:b w:val="false"/>
          <w:i/>
          <w:color w:val="000000"/>
          <w:sz w:val="22"/>
        </w:rPr>
        <w:t>“a”</w:t>
      </w:r>
      <w:r>
        <w:rPr>
          <w:rFonts w:ascii="Times New Roman" w:hAnsi="Times New Roman"/>
          <w:b w:val="false"/>
          <w:i w:val="false"/>
          <w:color w:val="000000"/>
          <w:sz w:val="22"/>
        </w:rPr>
        <w:t xml:space="preserve"> shall not be required with respect to health insurance coverage that was not renewed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health insurance coverage was not renewed for reasons permitted in Iowa Code section </w:t>
      </w:r>
      <w:hyperlink r:id="rId110">
        <w:r>
          <w:rPr>
            <w:rStyle w:val="Hyperlink"/>
            <w:rFonts w:ascii="Times New Roman" w:hAnsi="Times New Roman"/>
            <w:b w:val="false"/>
            <w:i w:val="false"/>
            <w:color w:val="000000"/>
            <w:sz w:val="22"/>
          </w:rPr>
          <w:t>513B.5(1)</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nonrenewal was a result of the small employer voluntarily electing coverage under different health insurance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offer made under </w:t>
      </w:r>
      <w:hyperlink r:id="rId111">
        <w:r>
          <w:rPr>
            <w:rStyle w:val="Hyperlink"/>
            <w:rFonts w:ascii="Times New Roman" w:hAnsi="Times New Roman"/>
            <w:b w:val="false"/>
            <w:i w:val="false"/>
            <w:color w:val="000000"/>
            <w:sz w:val="22"/>
          </w:rPr>
          <w:t>71.13(1)</w:t>
        </w:r>
      </w:hyperlink>
      <w:r>
        <w:rPr>
          <w:rFonts w:ascii="Times New Roman" w:hAnsi="Times New Roman"/>
          <w:b w:val="false"/>
          <w:i w:val="false"/>
          <w:color w:val="000000"/>
          <w:sz w:val="22"/>
        </w:rPr>
        <w:t xml:space="preserve"> shall occur not later than 60 days after July 2, 1993. A small employer shall be given at least 60 days to accept an offer made pursuant to 71.13(1).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71.13(3)</w:t>
      </w:r>
      <w:r>
        <w:rPr>
          <w:rFonts w:ascii="Times New Roman" w:hAnsi="Times New Roman"/>
          <w:b w:val="false"/>
          <w:i w:val="false"/>
          <w:color w:val="000000"/>
          <w:sz w:val="22"/>
        </w:rPr>
        <w:t> </w:t>
      </w:r>
      <w:r>
        <w:rPr>
          <w:rFonts w:ascii="Times New Roman" w:hAnsi="Times New Roman"/>
          <w:b w:val="false"/>
          <w:i w:val="false"/>
          <w:color w:val="000000"/>
          <w:sz w:val="22"/>
        </w:rPr>
        <w:t xml:space="preserve">A health insurance coverage provided to a terminated small employer pursuant to </w:t>
      </w:r>
      <w:hyperlink r:id="rId112">
        <w:r>
          <w:rPr>
            <w:rStyle w:val="Hyperlink"/>
            <w:rFonts w:ascii="Times New Roman" w:hAnsi="Times New Roman"/>
            <w:b w:val="false"/>
            <w:i w:val="false"/>
            <w:color w:val="000000"/>
            <w:sz w:val="22"/>
          </w:rPr>
          <w:t>71.13(1)</w:t>
        </w:r>
      </w:hyperlink>
      <w:r>
        <w:rPr>
          <w:rFonts w:ascii="Times New Roman" w:hAnsi="Times New Roman"/>
          <w:b w:val="false"/>
          <w:i w:val="false"/>
          <w:color w:val="000000"/>
          <w:sz w:val="22"/>
        </w:rPr>
        <w:t xml:space="preserve"> shall meet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health insurance coverage shall contain benefits that are identical to the benefits in the health insurance coverage that was terminated or nonrenewed.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health insurance coverage shall not be subject to any waiting periods (including exclusion periods for preexisting conditions) or other limitations on coverage that exceed those contained in the health insurance coverage that was terminated or nonrenewed. In applying such exclusions or limitations, the health insurance coverage shall be treated as if it were continuously in force from the date it was originally issued to the date that it is restored pursuant to </w:t>
      </w:r>
      <w:hyperlink r:id="rId113">
        <w:r>
          <w:rPr>
            <w:rStyle w:val="Hyperlink"/>
            <w:rFonts w:ascii="Times New Roman" w:hAnsi="Times New Roman"/>
            <w:b w:val="false"/>
            <w:i w:val="false"/>
            <w:color w:val="000000"/>
            <w:sz w:val="22"/>
          </w:rPr>
          <w:t>191—71.13(513B)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health insurance coverage shall not be subject to any provisions that restrict or exclude coverage or benefits for specific diseases, medical conditions or services otherwise covered by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health insurance coverage shall provide coverage to all employees who are eligible employees as of the date the plan is restored. The carrier shall offer coverage to each dependent of such eligible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premium rate for the health insurance coverage shall be no more than the premium rate charged to the small employer on the date the health insurance coverage was terminated or nonrenewed provided that, if the number or case characteristics of the eligible employees (or their dependents) of the small employer has changed between the date the health insurance coverage was terminated or nonrenewed and the date that it is restored, the carrier may adjust the premium rates to reflect any changes in case characteristics of the small employer. If the carrier has increased premium rates for other similar groups with similar coverage to reflect general increases in health care costs and utilization, the premium rate may be further adjusted to reflect the lowest such increase given to a similar group. The premium rate for the health insurance coverage may not be increased to reflect any changes in risk characteristics of the small employer group until one year after the date the health insurance coverage is restored. Any such increase shall be subject to the provisions of Iowa Code section </w:t>
      </w:r>
      <w:hyperlink r:id="rId114">
        <w:r>
          <w:rPr>
            <w:rStyle w:val="Hyperlink"/>
            <w:rFonts w:ascii="Times New Roman" w:hAnsi="Times New Roman"/>
            <w:b w:val="false"/>
            <w:i w:val="false"/>
            <w:color w:val="000000"/>
            <w:sz w:val="22"/>
          </w:rPr>
          <w:t>513B.4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health insurance coverage shall not be eligible to be reinsured under the provisions of Iowa Code section </w:t>
      </w:r>
      <w:hyperlink r:id="rId115">
        <w:r>
          <w:rPr>
            <w:rStyle w:val="Hyperlink"/>
            <w:rFonts w:ascii="Times New Roman" w:hAnsi="Times New Roman"/>
            <w:b w:val="false"/>
            <w:i w:val="false"/>
            <w:color w:val="000000"/>
            <w:sz w:val="22"/>
          </w:rPr>
          <w:t>513B.12</w:t>
        </w:r>
      </w:hyperlink>
      <w:r>
        <w:rPr>
          <w:rFonts w:ascii="Times New Roman" w:hAnsi="Times New Roman"/>
          <w:b w:val="false"/>
          <w:i w:val="false"/>
          <w:color w:val="000000"/>
          <w:sz w:val="22"/>
        </w:rPr>
        <w:t>, except that the carrier may reinsure new entrants to the health insurance coverage who enroll after the restoration of coverage.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3682C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191—71.14</w:t>
      </w:r>
      <w:r>
        <w:rPr>
          <w:rFonts w:ascii="Times New Roman" w:hAnsi="Times New Roman"/>
          <w:b/>
          <w:i w:val="false"/>
          <w:color w:val="000000"/>
          <w:sz w:val="22"/>
        </w:rPr>
        <w:t xml:space="preserve">(513B) </w:t>
      </w:r>
      <w:r>
        <w:rPr>
          <w:rFonts w:ascii="Times New Roman" w:hAnsi="Times New Roman"/>
          <w:b/>
          <w:i w:val="false"/>
          <w:color w:val="000000"/>
          <w:sz w:val="22"/>
        </w:rPr>
        <w:t xml:space="preserve">Basic health benefit plan and standard health plan policy forms.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71.14(1)</w:t>
      </w:r>
      <w:r>
        <w:rPr>
          <w:rFonts w:ascii="Times New Roman" w:hAnsi="Times New Roman"/>
          <w:b w:val="false"/>
          <w:i w:val="false"/>
          <w:color w:val="000000"/>
          <w:sz w:val="22"/>
        </w:rPr>
        <w:t> </w:t>
      </w:r>
      <w:r>
        <w:rPr>
          <w:rFonts w:ascii="Times New Roman" w:hAnsi="Times New Roman"/>
          <w:b w:val="false"/>
          <w:i w:val="false"/>
          <w:color w:val="000000"/>
          <w:sz w:val="22"/>
        </w:rPr>
        <w:t>The form and level of coverage of the basic health benefit plan and the standard health benefit plan are contained in this rule. This rule provides the minimum benefit levels allowed and does not prevent carriers from voluntarily providing additional services to the basic health benefit plan or the standard health benefit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71.14(2)</w:t>
      </w:r>
      <w:r>
        <w:rPr>
          <w:rFonts w:ascii="Times New Roman" w:hAnsi="Times New Roman"/>
          <w:b w:val="false"/>
          <w:i w:val="false"/>
          <w:color w:val="000000"/>
          <w:sz w:val="22"/>
        </w:rPr>
        <w:t> </w:t>
      </w:r>
      <w:r>
        <w:rPr>
          <w:rFonts w:ascii="Times New Roman" w:hAnsi="Times New Roman"/>
          <w:b w:val="false"/>
          <w:i w:val="false"/>
          <w:color w:val="000000"/>
          <w:sz w:val="22"/>
        </w:rPr>
        <w:t>The matrix and acceptable exclusions following this chapter are a guideline for the minimum benefit levels in a basic and standard health policy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71.14(3)</w:t>
      </w:r>
      <w:r>
        <w:rPr>
          <w:rFonts w:ascii="Times New Roman" w:hAnsi="Times New Roman"/>
          <w:b w:val="false"/>
          <w:i w:val="false"/>
          <w:color w:val="000000"/>
          <w:sz w:val="22"/>
        </w:rPr>
        <w:t> </w:t>
      </w:r>
      <w:r>
        <w:rPr>
          <w:rFonts w:ascii="Times New Roman" w:hAnsi="Times New Roman"/>
          <w:b w:val="false"/>
          <w:i w:val="false"/>
          <w:color w:val="000000"/>
          <w:sz w:val="22"/>
        </w:rPr>
        <w:t>Termination of pregnancy is to be covered in both policy forms when performed for therapeutic reasons. Elective termination of pregnancy is not to be covered in either the basic or standard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71.14(4)</w:t>
      </w:r>
      <w:r>
        <w:rPr>
          <w:rFonts w:ascii="Times New Roman" w:hAnsi="Times New Roman"/>
          <w:b w:val="false"/>
          <w:i w:val="false"/>
          <w:color w:val="000000"/>
          <w:sz w:val="22"/>
        </w:rPr>
        <w:t> </w:t>
      </w:r>
      <w:r>
        <w:rPr>
          <w:rFonts w:ascii="Times New Roman" w:hAnsi="Times New Roman"/>
          <w:b w:val="false"/>
          <w:i w:val="false"/>
          <w:color w:val="000000"/>
          <w:sz w:val="22"/>
        </w:rPr>
        <w:t xml:space="preserve">A provision shall be made in the basic health benefit plan and the standard health benefit plan covering diagnosis and treatment of human ailments for payment or reimbursement for necessary diagnosis and treatment provided by a chiropractor licensed under Iowa Code chapter </w:t>
      </w:r>
      <w:hyperlink r:id="rId116">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 if the diagnosis or treatment is provided within the scope of the chiropractor’s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71.14(5)</w:t>
      </w:r>
      <w:r>
        <w:rPr>
          <w:rFonts w:ascii="Times New Roman" w:hAnsi="Times New Roman"/>
          <w:b w:val="false"/>
          <w:i w:val="false"/>
          <w:color w:val="000000"/>
          <w:sz w:val="22"/>
        </w:rPr>
        <w:t> </w:t>
      </w:r>
      <w:r>
        <w:rPr>
          <w:rFonts w:ascii="Times New Roman" w:hAnsi="Times New Roman"/>
          <w:b w:val="false"/>
          <w:i w:val="false"/>
          <w:color w:val="000000"/>
          <w:sz w:val="22"/>
        </w:rPr>
        <w:t>Prosthetic devices are covered when medically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71.14(6)</w:t>
      </w:r>
      <w:r>
        <w:rPr>
          <w:rFonts w:ascii="Times New Roman" w:hAnsi="Times New Roman"/>
          <w:b w:val="false"/>
          <w:i w:val="false"/>
          <w:color w:val="000000"/>
          <w:sz w:val="22"/>
        </w:rPr>
        <w:t> </w:t>
      </w:r>
      <w:r>
        <w:rPr>
          <w:rFonts w:ascii="Times New Roman" w:hAnsi="Times New Roman"/>
          <w:b w:val="false"/>
          <w:i w:val="false"/>
          <w:color w:val="000000"/>
          <w:sz w:val="22"/>
        </w:rPr>
        <w:t>Prescription oral contraceptives and contraceptive devices that are approved by the United States Food and Drug Administration are to be covered in both policy forms.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71.14(7)</w:t>
      </w:r>
      <w:r>
        <w:rPr>
          <w:rFonts w:ascii="Times New Roman" w:hAnsi="Times New Roman"/>
          <w:b w:val="false"/>
          <w:i w:val="false"/>
          <w:color w:val="000000"/>
          <w:sz w:val="22"/>
        </w:rPr>
        <w:t> </w:t>
      </w:r>
      <w:r>
        <w:rPr>
          <w:rFonts w:ascii="Times New Roman" w:hAnsi="Times New Roman"/>
          <w:b w:val="false"/>
          <w:i w:val="false"/>
          <w:color w:val="000000"/>
          <w:sz w:val="22"/>
        </w:rPr>
        <w:t xml:space="preserve">Both policy forms shall cover well baby care consistent with Iowa Administrative Code </w:t>
      </w:r>
      <w:hyperlink r:id="rId117">
        <w:r>
          <w:rPr>
            <w:rStyle w:val="Hyperlink"/>
            <w:rFonts w:ascii="Times New Roman" w:hAnsi="Times New Roman"/>
            <w:b w:val="false"/>
            <w:i w:val="false"/>
            <w:color w:val="000000"/>
            <w:sz w:val="22"/>
          </w:rPr>
          <w:t>191—Chapter 80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71.14(8)</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division has available “safe harbor” policy forms for the basic and standard health insurance plans required pursuant to Iowa Code chapter </w:t>
      </w:r>
      <w:hyperlink r:id="rId118">
        <w:r>
          <w:rPr>
            <w:rStyle w:val="Hyperlink"/>
            <w:rFonts w:ascii="Times New Roman" w:hAnsi="Times New Roman"/>
            <w:b w:val="false"/>
            <w:i w:val="false"/>
            <w:color w:val="000000"/>
            <w:sz w:val="22"/>
          </w:rPr>
          <w:t>513B</w:t>
        </w:r>
      </w:hyperlink>
      <w:r>
        <w:rPr>
          <w:rFonts w:ascii="Times New Roman" w:hAnsi="Times New Roman"/>
          <w:b w:val="false"/>
          <w:i w:val="false"/>
          <w:color w:val="000000"/>
          <w:sz w:val="22"/>
        </w:rPr>
        <w:t>. These are model forms approved by the division as meeting the minimum requirements of a basic and a standard policy.</w:t>
      </w:r>
    </w:p>
    <w:p>
      <w:pPr>
        <w:spacing w:before="60" w:after="0"/>
        <w:ind w:left="120"/>
        <w:jc w:val="center"/>
      </w:pPr>
      <w:r>
        <w:rPr>
          <w:rFonts w:ascii="Times New Roman" w:hAnsi="Times New Roman"/>
          <w:b w:val="false"/>
          <w:i w:val="false"/>
          <w:color w:val="000000"/>
          <w:sz w:val="13"/>
        </w:rPr>
        <w:t>SMALL EMPLOYER PRODUCTS</w:t>
      </w:r>
    </w:p>
    <w:tbl>
      <w:tblPr>
        <w:tblW w:w="5000" w:type="pct"/>
        <w:tblCellSpacing w:w="0" w:type="auto"/>
        <w:tblBorders>
          <w:top w:val="single" w:color="000000" w:sz="8"/>
          <w:left w:val="none"/>
          <w:bottom w:val="none"/>
          <w:right w:val="none"/>
          <w:insideH w:val="none"/>
          <w:insideV w:val="none"/>
        </w:tblBorders>
        <w:tblLayout w:type="fixed"/>
      </w:tblPr>
      <w:tblGrid>
        <w:gridCol w:w="2737"/>
        <w:gridCol w:w="2046"/>
        <w:gridCol w:w="2046"/>
        <w:gridCol w:w="2123"/>
        <w:gridCol w:w="2238"/>
      </w:tblGrid>
      <w:tr>
        <w:trPr>
          <w:trHeight w:val="195" w:hRule="atLeast"/>
        </w:trPr>
        <w:tc>
          <w:tcPr>
            <w:tcW w:w="273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3"/>
              </w:rPr>
              <w:t>MANDATED INDEMNITY</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3"/>
              </w:rPr>
              <w:t>MANDATED HMOs</w:t>
            </w:r>
          </w:p>
        </w:tc>
      </w:tr>
      <w:tr>
        <w:trPr>
          <w:trHeight w:val="195" w:hRule="atLeast"/>
        </w:trPr>
        <w:tc>
          <w:tcPr>
            <w:tcW w:w="273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204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3"/>
              </w:rPr>
              <w:t>BASIC</w:t>
            </w:r>
          </w:p>
        </w:tc>
        <w:tc>
          <w:tcPr>
            <w:tcW w:w="204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3"/>
              </w:rPr>
              <w:t>STANDARD</w:t>
            </w:r>
          </w:p>
        </w:tc>
        <w:tc>
          <w:tcPr>
            <w:tcW w:w="212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3"/>
              </w:rPr>
              <w:t>BASIC</w:t>
            </w:r>
          </w:p>
        </w:tc>
        <w:tc>
          <w:tcPr>
            <w:tcW w:w="2238"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3"/>
              </w:rPr>
              <w:t>STANDARD</w:t>
            </w:r>
          </w:p>
        </w:tc>
      </w:tr>
      <w:tr>
        <w:trPr>
          <w:trHeight w:val="345" w:hRule="atLeast"/>
        </w:trPr>
        <w:tc>
          <w:tcPr>
            <w:tcW w:w="2737"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3"/>
              </w:rPr>
              <w:t xml:space="preserve">Calendar Year </w:t>
            </w:r>
          </w:p>
          <w:p>
            <w:pPr>
              <w:spacing w:before="0" w:after="0"/>
              <w:ind w:left="160"/>
              <w:jc w:val="left"/>
            </w:pPr>
            <w:r>
              <w:rPr>
                <w:rFonts w:ascii="Times New Roman" w:hAnsi="Times New Roman"/>
                <w:b w:val="false"/>
                <w:i w:val="false"/>
                <w:color w:val="000000"/>
                <w:sz w:val="13"/>
              </w:rPr>
              <w:t>Deductibles (S/F)</w:t>
            </w:r>
          </w:p>
        </w:tc>
        <w:tc>
          <w:tcPr>
            <w:tcW w:w="204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$500 x 3</w:t>
            </w:r>
          </w:p>
        </w:tc>
        <w:tc>
          <w:tcPr>
            <w:tcW w:w="204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$500 x 2</w:t>
            </w:r>
          </w:p>
        </w:tc>
        <w:tc>
          <w:tcPr>
            <w:tcW w:w="21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r>
      <w:tr>
        <w:trPr>
          <w:trHeight w:val="345" w:hRule="atLeast"/>
        </w:trPr>
        <w:tc>
          <w:tcPr>
            <w:tcW w:w="273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E.R. Copayment</w:t>
            </w:r>
          </w:p>
        </w:tc>
        <w:tc>
          <w:tcPr>
            <w:tcW w:w="204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$50 (waived if admitted)</w:t>
            </w:r>
          </w:p>
        </w:tc>
        <w:tc>
          <w:tcPr>
            <w:tcW w:w="204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$50 (waived if admitted)</w:t>
            </w:r>
          </w:p>
        </w:tc>
        <w:tc>
          <w:tcPr>
            <w:tcW w:w="212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3"/>
              </w:rPr>
              <w:t xml:space="preserve">$50 (waived if </w:t>
            </w:r>
          </w:p>
          <w:p>
            <w:pPr>
              <w:spacing w:before="0" w:after="0"/>
              <w:ind w:left="160"/>
              <w:jc w:val="left"/>
            </w:pPr>
            <w:r>
              <w:rPr>
                <w:rFonts w:ascii="Times New Roman" w:hAnsi="Times New Roman"/>
                <w:b w:val="false"/>
                <w:i w:val="false"/>
                <w:color w:val="000000"/>
                <w:sz w:val="13"/>
              </w:rPr>
              <w:t>admitted)</w:t>
            </w:r>
          </w:p>
        </w:tc>
        <w:tc>
          <w:tcPr>
            <w:tcW w:w="2238"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3"/>
              </w:rPr>
              <w:t xml:space="preserve">$50 (waived if </w:t>
            </w:r>
          </w:p>
          <w:p>
            <w:pPr>
              <w:spacing w:before="0" w:after="0"/>
              <w:ind w:left="160"/>
              <w:jc w:val="left"/>
            </w:pPr>
            <w:r>
              <w:rPr>
                <w:rFonts w:ascii="Times New Roman" w:hAnsi="Times New Roman"/>
                <w:b w:val="false"/>
                <w:i w:val="false"/>
                <w:color w:val="000000"/>
                <w:sz w:val="13"/>
              </w:rPr>
              <w:t>admitted)</w:t>
            </w:r>
          </w:p>
        </w:tc>
      </w:tr>
      <w:tr>
        <w:trPr>
          <w:trHeight w:val="195" w:hRule="atLeast"/>
        </w:trPr>
        <w:tc>
          <w:tcPr>
            <w:tcW w:w="273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Coinsurance</w:t>
            </w:r>
          </w:p>
        </w:tc>
        <w:tc>
          <w:tcPr>
            <w:tcW w:w="204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60%</w:t>
            </w:r>
          </w:p>
        </w:tc>
        <w:tc>
          <w:tcPr>
            <w:tcW w:w="204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80%</w:t>
            </w:r>
          </w:p>
        </w:tc>
        <w:tc>
          <w:tcPr>
            <w:tcW w:w="21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60%</w:t>
            </w:r>
          </w:p>
        </w:tc>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80%</w:t>
            </w:r>
          </w:p>
        </w:tc>
      </w:tr>
      <w:tr>
        <w:trPr>
          <w:trHeight w:val="480" w:hRule="atLeast"/>
        </w:trPr>
        <w:tc>
          <w:tcPr>
            <w:tcW w:w="2737"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3"/>
              </w:rPr>
              <w:t xml:space="preserve">Out-of-pocket per </w:t>
            </w:r>
          </w:p>
          <w:p>
            <w:pPr>
              <w:spacing w:before="0" w:after="0"/>
              <w:ind w:left="160"/>
              <w:jc w:val="left"/>
            </w:pPr>
            <w:r>
              <w:rPr>
                <w:rFonts w:ascii="Times New Roman" w:hAnsi="Times New Roman"/>
                <w:b w:val="false"/>
                <w:i w:val="false"/>
                <w:color w:val="000000"/>
                <w:sz w:val="13"/>
              </w:rPr>
              <w:t>insured/family maximum</w:t>
            </w:r>
          </w:p>
        </w:tc>
        <w:tc>
          <w:tcPr>
            <w:tcW w:w="204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$4,800/$14,400</w:t>
            </w:r>
          </w:p>
        </w:tc>
        <w:tc>
          <w:tcPr>
            <w:tcW w:w="204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$2,000/$4,000</w:t>
            </w:r>
          </w:p>
        </w:tc>
        <w:tc>
          <w:tcPr>
            <w:tcW w:w="212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3"/>
              </w:rPr>
              <w:t>$4,000/$8,000</w:t>
            </w:r>
          </w:p>
          <w:p>
            <w:pPr>
              <w:spacing w:before="0" w:after="0"/>
              <w:ind w:left="160"/>
              <w:jc w:val="left"/>
            </w:pPr>
            <w:r>
              <w:rPr>
                <w:rFonts w:ascii="Times New Roman" w:hAnsi="Times New Roman"/>
                <w:b w:val="false"/>
                <w:i w:val="false"/>
                <w:color w:val="000000"/>
                <w:sz w:val="13"/>
              </w:rPr>
              <w:t>(excludes deductibles and copays)</w:t>
            </w:r>
          </w:p>
        </w:tc>
        <w:tc>
          <w:tcPr>
            <w:tcW w:w="2238"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3"/>
              </w:rPr>
              <w:t>$2,000/$4,000</w:t>
            </w:r>
          </w:p>
          <w:p>
            <w:pPr>
              <w:spacing w:before="0" w:after="0"/>
              <w:ind w:left="160"/>
              <w:jc w:val="left"/>
            </w:pPr>
            <w:r>
              <w:rPr>
                <w:rFonts w:ascii="Times New Roman" w:hAnsi="Times New Roman"/>
                <w:b w:val="false"/>
                <w:i w:val="false"/>
                <w:color w:val="000000"/>
                <w:sz w:val="13"/>
              </w:rPr>
              <w:t> </w:t>
            </w:r>
          </w:p>
        </w:tc>
      </w:tr>
      <w:tr>
        <w:trPr>
          <w:trHeight w:val="195" w:hRule="atLeast"/>
        </w:trPr>
        <w:tc>
          <w:tcPr>
            <w:tcW w:w="273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Annual Maximum</w:t>
            </w:r>
          </w:p>
        </w:tc>
        <w:tc>
          <w:tcPr>
            <w:tcW w:w="204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204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21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r>
      <w:tr>
        <w:trPr>
          <w:trHeight w:val="195" w:hRule="atLeast"/>
        </w:trPr>
        <w:tc>
          <w:tcPr>
            <w:tcW w:w="273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Lifetime Maximum</w:t>
            </w:r>
          </w:p>
        </w:tc>
        <w:tc>
          <w:tcPr>
            <w:tcW w:w="204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$250,000</w:t>
            </w:r>
          </w:p>
        </w:tc>
        <w:tc>
          <w:tcPr>
            <w:tcW w:w="204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$1,000,000</w:t>
            </w:r>
          </w:p>
        </w:tc>
        <w:tc>
          <w:tcPr>
            <w:tcW w:w="21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$250,000</w:t>
            </w:r>
          </w:p>
        </w:tc>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$1,000,000</w:t>
            </w:r>
          </w:p>
        </w:tc>
      </w:tr>
      <w:tr>
        <w:trPr>
          <w:trHeight w:val="195" w:hRule="atLeast"/>
        </w:trPr>
        <w:tc>
          <w:tcPr>
            <w:tcW w:w="273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Pre-Existing</w:t>
            </w:r>
          </w:p>
        </w:tc>
        <w:tc>
          <w:tcPr>
            <w:tcW w:w="204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513B.10(3)</w:t>
            </w:r>
          </w:p>
        </w:tc>
        <w:tc>
          <w:tcPr>
            <w:tcW w:w="204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513B.10(3)</w:t>
            </w:r>
          </w:p>
        </w:tc>
        <w:tc>
          <w:tcPr>
            <w:tcW w:w="21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513B.10(3)</w:t>
            </w:r>
          </w:p>
        </w:tc>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513B.10(3)</w:t>
            </w:r>
          </w:p>
        </w:tc>
      </w:tr>
      <w:tr>
        <w:trPr>
          <w:trHeight w:val="195" w:hRule="atLeast"/>
        </w:trPr>
        <w:tc>
          <w:tcPr>
            <w:tcW w:w="273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Late Entrant</w:t>
            </w:r>
          </w:p>
        </w:tc>
        <w:tc>
          <w:tcPr>
            <w:tcW w:w="204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513B.2(12)</w:t>
            </w:r>
          </w:p>
        </w:tc>
        <w:tc>
          <w:tcPr>
            <w:tcW w:w="204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513B.2(12)</w:t>
            </w:r>
          </w:p>
        </w:tc>
        <w:tc>
          <w:tcPr>
            <w:tcW w:w="21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513B.2(12)</w:t>
            </w:r>
          </w:p>
        </w:tc>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513B.2(12)</w:t>
            </w:r>
          </w:p>
        </w:tc>
      </w:tr>
      <w:tr>
        <w:trPr>
          <w:trHeight w:val="345" w:hRule="atLeast"/>
        </w:trPr>
        <w:tc>
          <w:tcPr>
            <w:tcW w:w="273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Wellness</w:t>
            </w:r>
          </w:p>
        </w:tc>
        <w:tc>
          <w:tcPr>
            <w:tcW w:w="2046"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3"/>
              </w:rPr>
              <w:t>100% first $100</w:t>
            </w:r>
          </w:p>
          <w:p>
            <w:pPr>
              <w:spacing w:before="0" w:after="0"/>
              <w:ind w:left="160"/>
              <w:jc w:val="left"/>
            </w:pPr>
            <w:r>
              <w:rPr>
                <w:rFonts w:ascii="Times New Roman" w:hAnsi="Times New Roman"/>
                <w:b w:val="false"/>
                <w:i w:val="false"/>
                <w:color w:val="000000"/>
                <w:sz w:val="13"/>
              </w:rPr>
              <w:t>60% over $100</w:t>
            </w:r>
          </w:p>
        </w:tc>
        <w:tc>
          <w:tcPr>
            <w:tcW w:w="2046"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3"/>
              </w:rPr>
              <w:t>100% first $150</w:t>
            </w:r>
          </w:p>
          <w:p>
            <w:pPr>
              <w:spacing w:before="0" w:after="0"/>
              <w:ind w:left="160"/>
              <w:jc w:val="left"/>
            </w:pPr>
            <w:r>
              <w:rPr>
                <w:rFonts w:ascii="Times New Roman" w:hAnsi="Times New Roman"/>
                <w:b w:val="false"/>
                <w:i w:val="false"/>
                <w:color w:val="000000"/>
                <w:sz w:val="13"/>
              </w:rPr>
              <w:t>80% over $150</w:t>
            </w:r>
          </w:p>
        </w:tc>
        <w:tc>
          <w:tcPr>
            <w:tcW w:w="212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3"/>
              </w:rPr>
              <w:t>100% after $20</w:t>
            </w:r>
          </w:p>
          <w:p>
            <w:pPr>
              <w:spacing w:before="0" w:after="0"/>
              <w:ind w:left="160"/>
              <w:jc w:val="left"/>
            </w:pPr>
            <w:r>
              <w:rPr>
                <w:rFonts w:ascii="Times New Roman" w:hAnsi="Times New Roman"/>
                <w:b w:val="false"/>
                <w:i w:val="false"/>
                <w:color w:val="000000"/>
                <w:sz w:val="13"/>
              </w:rPr>
              <w:t>copay per visit</w:t>
            </w:r>
          </w:p>
        </w:tc>
        <w:tc>
          <w:tcPr>
            <w:tcW w:w="2238"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3"/>
              </w:rPr>
              <w:t>100% after $15</w:t>
            </w:r>
          </w:p>
          <w:p>
            <w:pPr>
              <w:spacing w:before="0" w:after="0"/>
              <w:ind w:left="160"/>
              <w:jc w:val="left"/>
            </w:pPr>
            <w:r>
              <w:rPr>
                <w:rFonts w:ascii="Times New Roman" w:hAnsi="Times New Roman"/>
                <w:b w:val="false"/>
                <w:i w:val="false"/>
                <w:color w:val="000000"/>
                <w:sz w:val="13"/>
              </w:rPr>
              <w:t>copay per visit</w:t>
            </w:r>
          </w:p>
        </w:tc>
      </w:tr>
      <w:tr>
        <w:trPr>
          <w:trHeight w:val="345" w:hRule="atLeast"/>
        </w:trPr>
        <w:tc>
          <w:tcPr>
            <w:tcW w:w="273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Maternity</w:t>
            </w:r>
          </w:p>
        </w:tc>
        <w:tc>
          <w:tcPr>
            <w:tcW w:w="2046"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3"/>
              </w:rPr>
              <w:t>60% Enrollee or</w:t>
            </w:r>
          </w:p>
          <w:p>
            <w:pPr>
              <w:spacing w:before="0" w:after="0"/>
              <w:ind w:left="160"/>
              <w:jc w:val="left"/>
            </w:pPr>
            <w:r>
              <w:rPr>
                <w:rFonts w:ascii="Times New Roman" w:hAnsi="Times New Roman"/>
                <w:b w:val="false"/>
                <w:i w:val="false"/>
                <w:color w:val="000000"/>
                <w:sz w:val="13"/>
              </w:rPr>
              <w:t>Spouse Only</w:t>
            </w:r>
          </w:p>
        </w:tc>
        <w:tc>
          <w:tcPr>
            <w:tcW w:w="2046"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3"/>
              </w:rPr>
              <w:t xml:space="preserve">80% Enrollee </w:t>
            </w:r>
          </w:p>
          <w:p>
            <w:pPr>
              <w:spacing w:before="0" w:after="0"/>
              <w:ind w:left="160"/>
              <w:jc w:val="left"/>
            </w:pPr>
            <w:r>
              <w:rPr>
                <w:rFonts w:ascii="Times New Roman" w:hAnsi="Times New Roman"/>
                <w:b w:val="false"/>
                <w:i w:val="false"/>
                <w:color w:val="000000"/>
                <w:sz w:val="13"/>
              </w:rPr>
              <w:t>or Spouse</w:t>
            </w:r>
          </w:p>
        </w:tc>
        <w:tc>
          <w:tcPr>
            <w:tcW w:w="21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60%</w:t>
            </w:r>
          </w:p>
        </w:tc>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80%</w:t>
            </w:r>
          </w:p>
        </w:tc>
      </w:tr>
      <w:tr>
        <w:trPr>
          <w:trHeight w:val="195" w:hRule="atLeast"/>
        </w:trPr>
        <w:tc>
          <w:tcPr>
            <w:tcW w:w="273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PHYSICIAN SERVICES</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r>
      <w:tr>
        <w:trPr>
          <w:trHeight w:val="345" w:hRule="atLeast"/>
        </w:trPr>
        <w:tc>
          <w:tcPr>
            <w:tcW w:w="273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Office Visits</w:t>
            </w:r>
          </w:p>
        </w:tc>
        <w:tc>
          <w:tcPr>
            <w:tcW w:w="204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60%</w:t>
            </w:r>
            <w:r>
              <w:rPr>
                <w:rFonts w:ascii="Times New Roman" w:hAnsi="Times New Roman"/>
                <w:b w:val="false"/>
                <w:i w:val="false"/>
                <w:color w:val="000000"/>
                <w:sz w:val="18"/>
                <w:vertAlign w:val="superscript"/>
              </w:rPr>
              <w:t>(1)</w:t>
            </w:r>
          </w:p>
        </w:tc>
        <w:tc>
          <w:tcPr>
            <w:tcW w:w="204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80%</w:t>
            </w:r>
            <w:r>
              <w:rPr>
                <w:rFonts w:ascii="Times New Roman" w:hAnsi="Times New Roman"/>
                <w:b w:val="false"/>
                <w:i w:val="false"/>
                <w:color w:val="000000"/>
                <w:sz w:val="18"/>
                <w:vertAlign w:val="superscript"/>
              </w:rPr>
              <w:t>(2)</w:t>
            </w:r>
          </w:p>
        </w:tc>
        <w:tc>
          <w:tcPr>
            <w:tcW w:w="212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3"/>
              </w:rPr>
              <w:t xml:space="preserve">$20 copay per </w:t>
            </w:r>
          </w:p>
          <w:p>
            <w:pPr>
              <w:spacing w:before="0" w:after="0"/>
              <w:ind w:left="160"/>
              <w:jc w:val="left"/>
            </w:pPr>
            <w:r>
              <w:rPr>
                <w:rFonts w:ascii="Times New Roman" w:hAnsi="Times New Roman"/>
                <w:b w:val="false"/>
                <w:i w:val="false"/>
                <w:color w:val="000000"/>
                <w:sz w:val="13"/>
              </w:rPr>
              <w:t>office visit</w:t>
            </w:r>
          </w:p>
        </w:tc>
        <w:tc>
          <w:tcPr>
            <w:tcW w:w="2238"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3"/>
              </w:rPr>
              <w:t xml:space="preserve">$15 copay per </w:t>
            </w:r>
          </w:p>
          <w:p>
            <w:pPr>
              <w:spacing w:before="0" w:after="0"/>
              <w:ind w:left="160"/>
              <w:jc w:val="left"/>
            </w:pPr>
            <w:r>
              <w:rPr>
                <w:rFonts w:ascii="Times New Roman" w:hAnsi="Times New Roman"/>
                <w:b w:val="false"/>
                <w:i w:val="false"/>
                <w:color w:val="000000"/>
                <w:sz w:val="13"/>
              </w:rPr>
              <w:t>office visit</w:t>
            </w:r>
          </w:p>
        </w:tc>
      </w:tr>
      <w:tr>
        <w:trPr>
          <w:trHeight w:val="195" w:hRule="atLeast"/>
        </w:trPr>
        <w:tc>
          <w:tcPr>
            <w:tcW w:w="273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Urgent Care</w:t>
            </w:r>
          </w:p>
        </w:tc>
        <w:tc>
          <w:tcPr>
            <w:tcW w:w="204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60%</w:t>
            </w:r>
          </w:p>
        </w:tc>
        <w:tc>
          <w:tcPr>
            <w:tcW w:w="204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80%</w:t>
            </w:r>
          </w:p>
        </w:tc>
        <w:tc>
          <w:tcPr>
            <w:tcW w:w="21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60%</w:t>
            </w:r>
          </w:p>
        </w:tc>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80%</w:t>
            </w:r>
          </w:p>
        </w:tc>
      </w:tr>
      <w:tr>
        <w:trPr>
          <w:trHeight w:val="195" w:hRule="atLeast"/>
        </w:trPr>
        <w:tc>
          <w:tcPr>
            <w:tcW w:w="273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Inpatient</w:t>
            </w:r>
          </w:p>
        </w:tc>
        <w:tc>
          <w:tcPr>
            <w:tcW w:w="204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60%</w:t>
            </w:r>
          </w:p>
        </w:tc>
        <w:tc>
          <w:tcPr>
            <w:tcW w:w="204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80%</w:t>
            </w:r>
          </w:p>
        </w:tc>
        <w:tc>
          <w:tcPr>
            <w:tcW w:w="21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60%</w:t>
            </w:r>
          </w:p>
        </w:tc>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80%</w:t>
            </w:r>
          </w:p>
        </w:tc>
      </w:tr>
      <w:tr>
        <w:trPr>
          <w:trHeight w:val="225" w:hRule="atLeast"/>
        </w:trPr>
        <w:tc>
          <w:tcPr>
            <w:tcW w:w="273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Outpatient</w:t>
            </w:r>
          </w:p>
        </w:tc>
        <w:tc>
          <w:tcPr>
            <w:tcW w:w="204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60%</w:t>
            </w:r>
            <w:r>
              <w:rPr>
                <w:rFonts w:ascii="Times New Roman" w:hAnsi="Times New Roman"/>
                <w:b w:val="false"/>
                <w:i w:val="false"/>
                <w:color w:val="000000"/>
                <w:sz w:val="18"/>
                <w:vertAlign w:val="superscript"/>
              </w:rPr>
              <w:t>(1)</w:t>
            </w:r>
          </w:p>
        </w:tc>
        <w:tc>
          <w:tcPr>
            <w:tcW w:w="204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80%</w:t>
            </w:r>
            <w:r>
              <w:rPr>
                <w:rFonts w:ascii="Times New Roman" w:hAnsi="Times New Roman"/>
                <w:b w:val="false"/>
                <w:i w:val="false"/>
                <w:color w:val="000000"/>
                <w:sz w:val="18"/>
                <w:vertAlign w:val="superscript"/>
              </w:rPr>
              <w:t>(2)</w:t>
            </w:r>
          </w:p>
        </w:tc>
        <w:tc>
          <w:tcPr>
            <w:tcW w:w="21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60%</w:t>
            </w:r>
          </w:p>
        </w:tc>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80%</w:t>
            </w:r>
          </w:p>
        </w:tc>
      </w:tr>
      <w:tr>
        <w:trPr>
          <w:trHeight w:val="195" w:hRule="atLeast"/>
        </w:trPr>
        <w:tc>
          <w:tcPr>
            <w:tcW w:w="273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Vision Screening</w:t>
            </w:r>
          </w:p>
        </w:tc>
        <w:tc>
          <w:tcPr>
            <w:tcW w:w="204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204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21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r>
      <w:tr>
        <w:trPr>
          <w:trHeight w:val="195" w:hRule="atLeast"/>
        </w:trPr>
        <w:tc>
          <w:tcPr>
            <w:tcW w:w="273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Vision Examinations</w:t>
            </w:r>
          </w:p>
        </w:tc>
        <w:tc>
          <w:tcPr>
            <w:tcW w:w="204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204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21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r>
      <w:tr>
        <w:trPr>
          <w:trHeight w:val="225" w:hRule="atLeast"/>
        </w:trPr>
        <w:tc>
          <w:tcPr>
            <w:tcW w:w="273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Immunizations</w:t>
            </w:r>
          </w:p>
        </w:tc>
        <w:tc>
          <w:tcPr>
            <w:tcW w:w="204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60%</w:t>
            </w:r>
            <w:r>
              <w:rPr>
                <w:rFonts w:ascii="Times New Roman" w:hAnsi="Times New Roman"/>
                <w:b w:val="false"/>
                <w:i w:val="false"/>
                <w:color w:val="000000"/>
                <w:sz w:val="18"/>
                <w:vertAlign w:val="superscript"/>
              </w:rPr>
              <w:t>(1)</w:t>
            </w:r>
          </w:p>
        </w:tc>
        <w:tc>
          <w:tcPr>
            <w:tcW w:w="204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80%</w:t>
            </w:r>
            <w:r>
              <w:rPr>
                <w:rFonts w:ascii="Times New Roman" w:hAnsi="Times New Roman"/>
                <w:b w:val="false"/>
                <w:i w:val="false"/>
                <w:color w:val="000000"/>
                <w:sz w:val="18"/>
                <w:vertAlign w:val="superscript"/>
              </w:rPr>
              <w:t>(2)</w:t>
            </w:r>
          </w:p>
        </w:tc>
        <w:tc>
          <w:tcPr>
            <w:tcW w:w="21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60%</w:t>
            </w:r>
          </w:p>
        </w:tc>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80%</w:t>
            </w:r>
          </w:p>
        </w:tc>
      </w:tr>
      <w:tr>
        <w:trPr>
          <w:trHeight w:val="375" w:hRule="atLeast"/>
        </w:trPr>
        <w:tc>
          <w:tcPr>
            <w:tcW w:w="273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Well Child</w:t>
            </w:r>
          </w:p>
        </w:tc>
        <w:tc>
          <w:tcPr>
            <w:tcW w:w="2046"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3"/>
              </w:rPr>
              <w:t>60%</w:t>
            </w:r>
            <w:r>
              <w:rPr>
                <w:rFonts w:ascii="Times New Roman" w:hAnsi="Times New Roman"/>
                <w:b w:val="false"/>
                <w:i w:val="false"/>
                <w:color w:val="000000"/>
                <w:sz w:val="18"/>
                <w:vertAlign w:val="superscript"/>
              </w:rPr>
              <w:t>(1)</w:t>
            </w:r>
            <w:r>
              <w:rPr>
                <w:rFonts w:ascii="Times New Roman" w:hAnsi="Times New Roman"/>
                <w:b w:val="false"/>
                <w:i w:val="false"/>
                <w:color w:val="000000"/>
                <w:sz w:val="13"/>
              </w:rPr>
              <w:t xml:space="preserve"> (Deductible does not apply)</w:t>
            </w:r>
          </w:p>
        </w:tc>
        <w:tc>
          <w:tcPr>
            <w:tcW w:w="2046"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3"/>
              </w:rPr>
              <w:t>80%</w:t>
            </w:r>
            <w:r>
              <w:rPr>
                <w:rFonts w:ascii="Times New Roman" w:hAnsi="Times New Roman"/>
                <w:b w:val="false"/>
                <w:i w:val="false"/>
                <w:color w:val="000000"/>
                <w:sz w:val="18"/>
                <w:vertAlign w:val="superscript"/>
              </w:rPr>
              <w:t xml:space="preserve">(2) </w:t>
            </w:r>
            <w:r>
              <w:rPr>
                <w:rFonts w:ascii="Times New Roman" w:hAnsi="Times New Roman"/>
                <w:b w:val="false"/>
                <w:i w:val="false"/>
                <w:color w:val="000000"/>
                <w:sz w:val="13"/>
              </w:rPr>
              <w:t>(Deductible does not apply)</w:t>
            </w:r>
          </w:p>
        </w:tc>
        <w:tc>
          <w:tcPr>
            <w:tcW w:w="21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100% after $20 copay/visit</w:t>
            </w:r>
          </w:p>
        </w:tc>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100% after $15 copay/visit</w:t>
            </w:r>
          </w:p>
        </w:tc>
      </w:tr>
      <w:tr>
        <w:trPr>
          <w:trHeight w:val="330" w:hRule="atLeast"/>
        </w:trPr>
        <w:tc>
          <w:tcPr>
            <w:tcW w:w="273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3"/>
              </w:rPr>
              <w:t xml:space="preserve">Pre-Natal/Post-Natal </w:t>
            </w:r>
          </w:p>
          <w:p>
            <w:pPr>
              <w:spacing w:before="0" w:after="0"/>
              <w:ind w:left="160"/>
              <w:jc w:val="left"/>
            </w:pPr>
            <w:r>
              <w:rPr>
                <w:rFonts w:ascii="Times New Roman" w:hAnsi="Times New Roman"/>
                <w:b w:val="false"/>
                <w:i w:val="false"/>
                <w:color w:val="000000"/>
                <w:sz w:val="13"/>
              </w:rPr>
              <w:t>Outpatient Visits</w:t>
            </w:r>
          </w:p>
        </w:tc>
        <w:tc>
          <w:tcPr>
            <w:tcW w:w="204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60%</w:t>
            </w:r>
            <w:r>
              <w:rPr>
                <w:rFonts w:ascii="Times New Roman" w:hAnsi="Times New Roman"/>
                <w:b w:val="false"/>
                <w:i w:val="false"/>
                <w:color w:val="000000"/>
                <w:sz w:val="18"/>
                <w:vertAlign w:val="superscript"/>
              </w:rPr>
              <w:t>(1)</w:t>
            </w:r>
          </w:p>
        </w:tc>
        <w:tc>
          <w:tcPr>
            <w:tcW w:w="204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80%</w:t>
            </w:r>
            <w:r>
              <w:rPr>
                <w:rFonts w:ascii="Times New Roman" w:hAnsi="Times New Roman"/>
                <w:b w:val="false"/>
                <w:i w:val="false"/>
                <w:color w:val="000000"/>
                <w:sz w:val="18"/>
                <w:vertAlign w:val="superscript"/>
              </w:rPr>
              <w:t>(2)</w:t>
            </w:r>
          </w:p>
        </w:tc>
        <w:tc>
          <w:tcPr>
            <w:tcW w:w="21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100% after $50 copay/pregnancy</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100% after $50 copay/pregnancy</w:t>
            </w:r>
          </w:p>
        </w:tc>
      </w:tr>
      <w:tr>
        <w:trPr>
          <w:trHeight w:val="180" w:hRule="atLeast"/>
        </w:trPr>
        <w:tc>
          <w:tcPr>
            <w:tcW w:w="273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204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204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21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r>
      <w:tr>
        <w:trPr>
          <w:trHeight w:val="345" w:hRule="atLeast"/>
        </w:trPr>
        <w:tc>
          <w:tcPr>
            <w:tcW w:w="273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Inpatient</w:t>
            </w:r>
          </w:p>
        </w:tc>
        <w:tc>
          <w:tcPr>
            <w:tcW w:w="204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60%</w:t>
            </w:r>
          </w:p>
        </w:tc>
        <w:tc>
          <w:tcPr>
            <w:tcW w:w="204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80%</w:t>
            </w:r>
          </w:p>
        </w:tc>
        <w:tc>
          <w:tcPr>
            <w:tcW w:w="212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3"/>
              </w:rPr>
              <w:t xml:space="preserve">60% of </w:t>
            </w:r>
          </w:p>
          <w:p>
            <w:pPr>
              <w:spacing w:before="0" w:after="0"/>
              <w:ind w:left="160"/>
              <w:jc w:val="left"/>
            </w:pPr>
            <w:r>
              <w:rPr>
                <w:rFonts w:ascii="Times New Roman" w:hAnsi="Times New Roman"/>
                <w:b w:val="false"/>
                <w:i w:val="false"/>
                <w:color w:val="000000"/>
                <w:sz w:val="13"/>
              </w:rPr>
              <w:t>$400/admit</w:t>
            </w:r>
          </w:p>
        </w:tc>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80% $200/admit</w:t>
            </w:r>
          </w:p>
        </w:tc>
      </w:tr>
      <w:tr>
        <w:trPr>
          <w:trHeight w:val="195" w:hRule="atLeast"/>
        </w:trPr>
        <w:tc>
          <w:tcPr>
            <w:tcW w:w="273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Prostheses</w:t>
            </w:r>
          </w:p>
        </w:tc>
        <w:tc>
          <w:tcPr>
            <w:tcW w:w="204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60%</w:t>
            </w:r>
          </w:p>
        </w:tc>
        <w:tc>
          <w:tcPr>
            <w:tcW w:w="204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80%</w:t>
            </w:r>
          </w:p>
        </w:tc>
        <w:tc>
          <w:tcPr>
            <w:tcW w:w="21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60%</w:t>
            </w:r>
          </w:p>
        </w:tc>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80%</w:t>
            </w:r>
          </w:p>
        </w:tc>
      </w:tr>
      <w:tr>
        <w:trPr>
          <w:trHeight w:val="345" w:hRule="atLeast"/>
        </w:trPr>
        <w:tc>
          <w:tcPr>
            <w:tcW w:w="2737"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3"/>
              </w:rPr>
              <w:t xml:space="preserve">DME—including </w:t>
            </w:r>
          </w:p>
          <w:p>
            <w:pPr>
              <w:spacing w:before="0" w:after="0"/>
              <w:ind w:left="160"/>
              <w:jc w:val="left"/>
            </w:pPr>
            <w:r>
              <w:rPr>
                <w:rFonts w:ascii="Times New Roman" w:hAnsi="Times New Roman"/>
                <w:b w:val="false"/>
                <w:i w:val="false"/>
                <w:color w:val="000000"/>
                <w:sz w:val="13"/>
              </w:rPr>
              <w:t>medical supplies</w:t>
            </w:r>
          </w:p>
        </w:tc>
        <w:tc>
          <w:tcPr>
            <w:tcW w:w="204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60%</w:t>
            </w:r>
          </w:p>
        </w:tc>
        <w:tc>
          <w:tcPr>
            <w:tcW w:w="204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80%</w:t>
            </w:r>
          </w:p>
        </w:tc>
        <w:tc>
          <w:tcPr>
            <w:tcW w:w="21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60%</w:t>
            </w:r>
          </w:p>
        </w:tc>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80%</w:t>
            </w:r>
          </w:p>
        </w:tc>
      </w:tr>
      <w:tr>
        <w:trPr>
          <w:trHeight w:val="195" w:hRule="atLeast"/>
        </w:trPr>
        <w:tc>
          <w:tcPr>
            <w:tcW w:w="273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Ambulance-Emergency</w:t>
            </w:r>
          </w:p>
        </w:tc>
        <w:tc>
          <w:tcPr>
            <w:tcW w:w="204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60%</w:t>
            </w:r>
          </w:p>
        </w:tc>
        <w:tc>
          <w:tcPr>
            <w:tcW w:w="204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80%</w:t>
            </w:r>
          </w:p>
        </w:tc>
        <w:tc>
          <w:tcPr>
            <w:tcW w:w="21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60%</w:t>
            </w:r>
          </w:p>
        </w:tc>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80%</w:t>
            </w:r>
          </w:p>
        </w:tc>
      </w:tr>
      <w:tr>
        <w:trPr>
          <w:trHeight w:val="195" w:hRule="atLeast"/>
        </w:trPr>
        <w:tc>
          <w:tcPr>
            <w:tcW w:w="273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Hospice</w:t>
            </w:r>
          </w:p>
        </w:tc>
        <w:tc>
          <w:tcPr>
            <w:tcW w:w="204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60%</w:t>
            </w:r>
          </w:p>
        </w:tc>
        <w:tc>
          <w:tcPr>
            <w:tcW w:w="204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80%</w:t>
            </w:r>
          </w:p>
        </w:tc>
        <w:tc>
          <w:tcPr>
            <w:tcW w:w="21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60%</w:t>
            </w:r>
          </w:p>
        </w:tc>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80%</w:t>
            </w:r>
          </w:p>
        </w:tc>
      </w:tr>
      <w:tr>
        <w:trPr>
          <w:trHeight w:val="420" w:hRule="atLeast"/>
        </w:trPr>
        <w:tc>
          <w:tcPr>
            <w:tcW w:w="2737"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3"/>
              </w:rPr>
              <w:t xml:space="preserve">Home Health and </w:t>
            </w:r>
          </w:p>
          <w:p>
            <w:pPr>
              <w:spacing w:before="0" w:after="0"/>
              <w:ind w:left="160"/>
              <w:jc w:val="left"/>
            </w:pPr>
            <w:r>
              <w:rPr>
                <w:rFonts w:ascii="Times New Roman" w:hAnsi="Times New Roman"/>
                <w:b w:val="false"/>
                <w:i w:val="false"/>
                <w:color w:val="000000"/>
                <w:sz w:val="13"/>
              </w:rPr>
              <w:t>Physician House Calls</w:t>
            </w:r>
          </w:p>
        </w:tc>
        <w:tc>
          <w:tcPr>
            <w:tcW w:w="204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60%</w:t>
            </w:r>
          </w:p>
        </w:tc>
        <w:tc>
          <w:tcPr>
            <w:tcW w:w="204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80%</w:t>
            </w:r>
          </w:p>
        </w:tc>
        <w:tc>
          <w:tcPr>
            <w:tcW w:w="21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60%</w:t>
            </w:r>
          </w:p>
        </w:tc>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80%</w:t>
            </w:r>
          </w:p>
        </w:tc>
      </w:tr>
      <w:tr>
        <w:trPr>
          <w:trHeight w:val="345" w:hRule="atLeast"/>
        </w:trPr>
        <w:tc>
          <w:tcPr>
            <w:tcW w:w="2737"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3"/>
              </w:rPr>
              <w:t>ALCOHOLISM/</w:t>
            </w:r>
          </w:p>
          <w:p>
            <w:pPr>
              <w:spacing w:before="0" w:after="0"/>
              <w:ind w:left="160"/>
              <w:jc w:val="left"/>
            </w:pPr>
            <w:r>
              <w:rPr>
                <w:rFonts w:ascii="Times New Roman" w:hAnsi="Times New Roman"/>
                <w:b w:val="false"/>
                <w:i w:val="false"/>
                <w:color w:val="000000"/>
                <w:sz w:val="13"/>
              </w:rPr>
              <w:t>SUBSTANCE ABUSE</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r>
      <w:tr>
        <w:trPr>
          <w:trHeight w:val="225" w:hRule="atLeast"/>
        </w:trPr>
        <w:tc>
          <w:tcPr>
            <w:tcW w:w="273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Inpatient</w:t>
            </w:r>
          </w:p>
        </w:tc>
        <w:tc>
          <w:tcPr>
            <w:tcW w:w="204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204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80%</w:t>
            </w:r>
            <w:r>
              <w:rPr>
                <w:rFonts w:ascii="Times New Roman" w:hAnsi="Times New Roman"/>
                <w:b w:val="false"/>
                <w:i w:val="false"/>
                <w:color w:val="000000"/>
                <w:sz w:val="18"/>
                <w:vertAlign w:val="superscript"/>
              </w:rPr>
              <w:t>(3)</w:t>
            </w:r>
          </w:p>
        </w:tc>
        <w:tc>
          <w:tcPr>
            <w:tcW w:w="21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80%</w:t>
            </w:r>
            <w:r>
              <w:rPr>
                <w:rFonts w:ascii="Times New Roman" w:hAnsi="Times New Roman"/>
                <w:b w:val="false"/>
                <w:i w:val="false"/>
                <w:color w:val="000000"/>
                <w:sz w:val="18"/>
                <w:vertAlign w:val="superscript"/>
              </w:rPr>
              <w:t>(3)</w:t>
            </w:r>
          </w:p>
        </w:tc>
      </w:tr>
      <w:tr>
        <w:trPr>
          <w:trHeight w:val="375" w:hRule="atLeast"/>
        </w:trPr>
        <w:tc>
          <w:tcPr>
            <w:tcW w:w="273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Outpatient</w:t>
            </w:r>
          </w:p>
        </w:tc>
        <w:tc>
          <w:tcPr>
            <w:tcW w:w="204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204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80%</w:t>
            </w:r>
            <w:r>
              <w:rPr>
                <w:rFonts w:ascii="Times New Roman" w:hAnsi="Times New Roman"/>
                <w:b w:val="false"/>
                <w:i w:val="false"/>
                <w:color w:val="000000"/>
                <w:sz w:val="18"/>
                <w:vertAlign w:val="superscript"/>
              </w:rPr>
              <w:t>(3)</w:t>
            </w:r>
            <w:r>
              <w:rPr>
                <w:rFonts w:ascii="Times New Roman" w:hAnsi="Times New Roman"/>
                <w:b w:val="false"/>
                <w:i w:val="false"/>
                <w:color w:val="000000"/>
                <w:sz w:val="13"/>
              </w:rPr>
              <w:t xml:space="preserve"> ($50 max. eligible fee)</w:t>
            </w:r>
          </w:p>
        </w:tc>
        <w:tc>
          <w:tcPr>
            <w:tcW w:w="21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80%</w:t>
            </w:r>
            <w:r>
              <w:rPr>
                <w:rFonts w:ascii="Times New Roman" w:hAnsi="Times New Roman"/>
                <w:b w:val="false"/>
                <w:i w:val="false"/>
                <w:color w:val="000000"/>
                <w:sz w:val="18"/>
                <w:vertAlign w:val="superscript"/>
              </w:rPr>
              <w:t xml:space="preserve">(3) </w:t>
            </w:r>
          </w:p>
        </w:tc>
      </w:tr>
      <w:tr>
        <w:trPr>
          <w:trHeight w:val="195" w:hRule="atLeast"/>
        </w:trPr>
        <w:tc>
          <w:tcPr>
            <w:tcW w:w="273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MENTAL HEALTH</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r>
      <w:tr>
        <w:trPr>
          <w:trHeight w:val="225" w:hRule="atLeast"/>
        </w:trPr>
        <w:tc>
          <w:tcPr>
            <w:tcW w:w="273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Inpatient</w:t>
            </w:r>
          </w:p>
        </w:tc>
        <w:tc>
          <w:tcPr>
            <w:tcW w:w="204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204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80%</w:t>
            </w:r>
            <w:r>
              <w:rPr>
                <w:rFonts w:ascii="Times New Roman" w:hAnsi="Times New Roman"/>
                <w:b w:val="false"/>
                <w:i w:val="false"/>
                <w:color w:val="000000"/>
                <w:sz w:val="18"/>
                <w:vertAlign w:val="superscript"/>
              </w:rPr>
              <w:t>(3)</w:t>
            </w:r>
          </w:p>
        </w:tc>
        <w:tc>
          <w:tcPr>
            <w:tcW w:w="21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80%</w:t>
            </w:r>
            <w:r>
              <w:rPr>
                <w:rFonts w:ascii="Times New Roman" w:hAnsi="Times New Roman"/>
                <w:b w:val="false"/>
                <w:i w:val="false"/>
                <w:color w:val="000000"/>
                <w:sz w:val="18"/>
                <w:vertAlign w:val="superscript"/>
              </w:rPr>
              <w:t>(3)</w:t>
            </w:r>
          </w:p>
        </w:tc>
      </w:tr>
      <w:tr>
        <w:trPr>
          <w:trHeight w:val="375" w:hRule="atLeast"/>
        </w:trPr>
        <w:tc>
          <w:tcPr>
            <w:tcW w:w="273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Outpatient</w:t>
            </w:r>
          </w:p>
        </w:tc>
        <w:tc>
          <w:tcPr>
            <w:tcW w:w="204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204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80%</w:t>
            </w:r>
            <w:r>
              <w:rPr>
                <w:rFonts w:ascii="Times New Roman" w:hAnsi="Times New Roman"/>
                <w:b w:val="false"/>
                <w:i w:val="false"/>
                <w:color w:val="000000"/>
                <w:sz w:val="18"/>
                <w:vertAlign w:val="superscript"/>
              </w:rPr>
              <w:t>(3)</w:t>
            </w:r>
            <w:r>
              <w:rPr>
                <w:rFonts w:ascii="Times New Roman" w:hAnsi="Times New Roman"/>
                <w:b w:val="false"/>
                <w:i w:val="false"/>
                <w:color w:val="000000"/>
                <w:sz w:val="13"/>
              </w:rPr>
              <w:t xml:space="preserve"> ($50 max. eligible fee)</w:t>
            </w:r>
          </w:p>
        </w:tc>
        <w:tc>
          <w:tcPr>
            <w:tcW w:w="21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80%</w:t>
            </w:r>
            <w:r>
              <w:rPr>
                <w:rFonts w:ascii="Times New Roman" w:hAnsi="Times New Roman"/>
                <w:b w:val="false"/>
                <w:i w:val="false"/>
                <w:color w:val="000000"/>
                <w:sz w:val="18"/>
                <w:vertAlign w:val="superscript"/>
              </w:rPr>
              <w:t xml:space="preserve">(3) </w:t>
            </w:r>
          </w:p>
        </w:tc>
      </w:tr>
      <w:tr>
        <w:trPr>
          <w:trHeight w:val="345" w:hRule="atLeast"/>
        </w:trPr>
        <w:tc>
          <w:tcPr>
            <w:tcW w:w="273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RX</w:t>
            </w:r>
          </w:p>
        </w:tc>
        <w:tc>
          <w:tcPr>
            <w:tcW w:w="204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60%</w:t>
            </w:r>
          </w:p>
        </w:tc>
        <w:tc>
          <w:tcPr>
            <w:tcW w:w="204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80%</w:t>
            </w:r>
          </w:p>
        </w:tc>
        <w:tc>
          <w:tcPr>
            <w:tcW w:w="21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Copayment greater of $15 or 25%</w:t>
            </w:r>
          </w:p>
        </w:tc>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Copayment greater of $10 or 25%</w:t>
            </w:r>
          </w:p>
        </w:tc>
      </w:tr>
      <w:tr>
        <w:trPr>
          <w:trHeight w:val="180" w:hRule="atLeast"/>
        </w:trPr>
        <w:tc>
          <w:tcPr>
            <w:tcW w:w="27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Transplants</w:t>
            </w:r>
          </w:p>
        </w:tc>
        <w:tc>
          <w:tcPr>
            <w:tcW w:w="204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204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80%</w:t>
            </w:r>
          </w:p>
        </w:tc>
        <w:tc>
          <w:tcPr>
            <w:tcW w:w="21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80%</w:t>
            </w:r>
          </w:p>
        </w:tc>
      </w:tr>
      <w:tr>
        <w:trPr>
          <w:trHeight w:val="180" w:hRule="atLeast"/>
        </w:trPr>
        <w:tc>
          <w:tcPr>
            <w:tcW w:w="2737"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204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204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212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223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r>
      <w:tr>
        <w:trPr>
          <w:trHeight w:val="180" w:hRule="atLeast"/>
        </w:trPr>
        <w:tc>
          <w:tcPr>
            <w:tcW w:w="273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204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204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21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22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r>
      <w:tr>
        <w:trPr>
          <w:trHeight w:val="210" w:hRule="atLeast"/>
        </w:trPr>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vertAlign w:val="superscript"/>
              </w:rPr>
              <w:t>(1)</w:t>
            </w:r>
            <w:r>
              <w:rPr>
                <w:rFonts w:ascii="Times New Roman" w:hAnsi="Times New Roman"/>
                <w:b w:val="false"/>
                <w:i w:val="false"/>
                <w:color w:val="000000"/>
                <w:sz w:val="13"/>
              </w:rPr>
              <w:t>For wellness services, covered 100% first $100 and 60% over $100</w:t>
            </w:r>
          </w:p>
        </w:tc>
      </w:tr>
      <w:tr>
        <w:trPr>
          <w:trHeight w:val="210" w:hRule="atLeast"/>
        </w:trPr>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vertAlign w:val="superscript"/>
              </w:rPr>
              <w:t>(2)</w:t>
            </w:r>
            <w:r>
              <w:rPr>
                <w:rFonts w:ascii="Times New Roman" w:hAnsi="Times New Roman"/>
                <w:b w:val="false"/>
                <w:i w:val="false"/>
                <w:color w:val="000000"/>
                <w:sz w:val="13"/>
              </w:rPr>
              <w:t>For wellness services, covered 100% first $150 and 80% over $150</w:t>
            </w:r>
          </w:p>
        </w:tc>
      </w:tr>
      <w:tr>
        <w:trPr>
          <w:trHeight w:val="210" w:hRule="atLeast"/>
        </w:trPr>
        <w:tc>
          <w:tcPr>
            <w:tcW w:w="0" w:type="auto"/>
            <w:gridSpan w:val="5"/>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vertAlign w:val="superscript"/>
              </w:rPr>
              <w:t>(3)</w:t>
            </w:r>
            <w:r>
              <w:rPr>
                <w:rFonts w:ascii="Times New Roman" w:hAnsi="Times New Roman"/>
                <w:b w:val="false"/>
                <w:i w:val="false"/>
                <w:color w:val="000000"/>
                <w:sz w:val="13"/>
              </w:rPr>
              <w:t>$50,000 lifetime max.</w:t>
            </w:r>
          </w:p>
        </w:tc>
      </w:tr>
    </w:tbl>
    <w:p>
      <w:pPr>
        <w:spacing w:before="0" w:after="0"/>
        <w:ind w:left="120"/>
        <w:jc w:val="center"/>
      </w:pPr>
      <w:r>
        <w:rPr>
          <w:rFonts w:ascii="Times New Roman" w:hAnsi="Times New Roman"/>
          <w:b w:val="false"/>
          <w:i w:val="false"/>
          <w:color w:val="000000"/>
          <w:sz w:val="22"/>
        </w:rPr>
        <w:t>ACCEPTABLE EXCLUSIONS FOR USE IN BASIC AND STANDARD POLICIES</w:t>
      </w:r>
    </w:p>
    <w:p>
      <w:pPr>
        <w:spacing w:before="0" w:after="0"/>
        <w:ind w:left="120"/>
        <w:jc w:val="both"/>
      </w:pPr>
      <w:r>
        <w:rPr>
          <w:rFonts w:ascii="Times New Roman" w:hAnsi="Times New Roman"/>
          <w:b w:val="false"/>
          <w:i w:val="false"/>
          <w:color w:val="000000"/>
          <w:sz w:val="22"/>
        </w:rPr>
        <w:t>Except as specifically provided for, no benefits will be provided for services, supplies or charges:</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11520"/>
      </w:tblGrid>
      <w:tr>
        <w:trPr>
          <w:trHeight w:val="20385" w:hRule="atLeast"/>
        </w:trPr>
        <w:tc>
          <w:tcPr>
            <w:tcW w:w="11520"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     1.   </w:t>
            </w:r>
            <w:r>
              <w:rPr>
                <w:rFonts w:ascii="Times New Roman" w:hAnsi="Times New Roman"/>
                <w:b w:val="false"/>
                <w:i w:val="false"/>
                <w:color w:val="000000"/>
                <w:sz w:val="21"/>
              </w:rPr>
              <w:t>Which are not prescribed by, performed by, or upon the direction of a provider;</w:t>
            </w:r>
            <w:r>
              <w:br/>
            </w:r>
          </w:p>
          <w:p>
            <w:pPr>
              <w:spacing w:before="0" w:after="0"/>
              <w:ind w:left="160"/>
              <w:jc w:val="left"/>
            </w:pPr>
            <w:r>
              <w:rPr>
                <w:rFonts w:ascii="Times New Roman" w:hAnsi="Times New Roman"/>
                <w:b w:val="false"/>
                <w:i w:val="false"/>
                <w:color w:val="000000"/>
                <w:sz w:val="21"/>
              </w:rPr>
              <w:t>     2.   </w:t>
            </w:r>
            <w:r>
              <w:rPr>
                <w:rFonts w:ascii="Times New Roman" w:hAnsi="Times New Roman"/>
                <w:b w:val="false"/>
                <w:i w:val="false"/>
                <w:color w:val="000000"/>
                <w:sz w:val="21"/>
              </w:rPr>
              <w:t>Which are not medically necessary;</w:t>
            </w:r>
            <w:r>
              <w:br/>
            </w:r>
          </w:p>
          <w:p>
            <w:pPr>
              <w:spacing w:before="0" w:after="0"/>
              <w:ind w:left="160"/>
              <w:jc w:val="left"/>
            </w:pPr>
            <w:r>
              <w:rPr>
                <w:rFonts w:ascii="Times New Roman" w:hAnsi="Times New Roman"/>
                <w:b w:val="false"/>
                <w:i w:val="false"/>
                <w:color w:val="000000"/>
                <w:sz w:val="21"/>
              </w:rPr>
              <w:t>     3.   </w:t>
            </w:r>
            <w:r>
              <w:rPr>
                <w:rFonts w:ascii="Times New Roman" w:hAnsi="Times New Roman"/>
                <w:b w:val="false"/>
                <w:i w:val="false"/>
                <w:color w:val="000000"/>
                <w:sz w:val="21"/>
              </w:rPr>
              <w:t>Rendered by other than a hospital or a provider;</w:t>
            </w:r>
            <w:r>
              <w:br/>
            </w:r>
          </w:p>
          <w:p>
            <w:pPr>
              <w:spacing w:before="0" w:after="0"/>
              <w:ind w:left="160"/>
              <w:jc w:val="left"/>
            </w:pPr>
            <w:r>
              <w:rPr>
                <w:rFonts w:ascii="Times New Roman" w:hAnsi="Times New Roman"/>
                <w:b w:val="false"/>
                <w:i w:val="false"/>
                <w:color w:val="000000"/>
                <w:sz w:val="21"/>
              </w:rPr>
              <w:t>     4.   </w:t>
            </w:r>
            <w:r>
              <w:rPr>
                <w:rFonts w:ascii="Times New Roman" w:hAnsi="Times New Roman"/>
                <w:b w:val="false"/>
                <w:i w:val="false"/>
                <w:color w:val="000000"/>
                <w:sz w:val="21"/>
              </w:rPr>
              <w:t>Which are investigational in nature; including any service, procedure, or treatment directly related to an investigational treatment;</w:t>
            </w:r>
            <w:r>
              <w:br/>
            </w:r>
          </w:p>
          <w:p>
            <w:pPr>
              <w:spacing w:before="0" w:after="0"/>
              <w:ind w:left="160"/>
              <w:jc w:val="left"/>
            </w:pPr>
            <w:r>
              <w:rPr>
                <w:rFonts w:ascii="Times New Roman" w:hAnsi="Times New Roman"/>
                <w:b w:val="false"/>
                <w:i w:val="false"/>
                <w:color w:val="000000"/>
                <w:sz w:val="21"/>
              </w:rPr>
              <w:t>     5.   </w:t>
            </w:r>
            <w:r>
              <w:rPr>
                <w:rFonts w:ascii="Times New Roman" w:hAnsi="Times New Roman"/>
                <w:b w:val="false"/>
                <w:i w:val="false"/>
                <w:color w:val="000000"/>
                <w:sz w:val="21"/>
              </w:rPr>
              <w:t>For any condition, disease, illness, or bodily injury which occurs in the course of employment if benefits or compensation is carried or required, in whole or in part, under the provisions of any legislation or governmental unit. This exclusion applies whether or not the insured claims the benefits or compensation;</w:t>
            </w:r>
          </w:p>
          <w:p>
            <w:pPr>
              <w:spacing w:before="0" w:after="0"/>
              <w:ind w:left="160"/>
              <w:jc w:val="left"/>
            </w:pPr>
            <w:r>
              <w:rPr>
                <w:rFonts w:ascii="Times New Roman" w:hAnsi="Times New Roman"/>
                <w:b w:val="false"/>
                <w:i w:val="false"/>
                <w:color w:val="000000"/>
                <w:sz w:val="21"/>
              </w:rPr>
              <w:t>     6.   </w:t>
            </w:r>
            <w:r>
              <w:rPr>
                <w:rFonts w:ascii="Times New Roman" w:hAnsi="Times New Roman"/>
                <w:b w:val="false"/>
                <w:i w:val="false"/>
                <w:color w:val="000000"/>
                <w:sz w:val="21"/>
              </w:rPr>
              <w:t>To the extent benefits are provided by any governmental unit except as required by federal law for the treatment of veterans in Veterans Administration or armed forces facilities for non-service- related medical conditions;</w:t>
            </w:r>
            <w:r>
              <w:br/>
            </w:r>
          </w:p>
          <w:p>
            <w:pPr>
              <w:spacing w:before="0" w:after="0"/>
              <w:ind w:left="160"/>
              <w:jc w:val="left"/>
            </w:pPr>
            <w:r>
              <w:rPr>
                <w:rFonts w:ascii="Times New Roman" w:hAnsi="Times New Roman"/>
                <w:b w:val="false"/>
                <w:i w:val="false"/>
                <w:color w:val="000000"/>
                <w:sz w:val="21"/>
              </w:rPr>
              <w:t>     7.   </w:t>
            </w:r>
            <w:r>
              <w:rPr>
                <w:rFonts w:ascii="Times New Roman" w:hAnsi="Times New Roman"/>
                <w:b w:val="false"/>
                <w:i w:val="false"/>
                <w:color w:val="000000"/>
                <w:sz w:val="21"/>
              </w:rPr>
              <w:t>For any illness or injury suffered as a result of any act of war or while in the military service;</w:t>
            </w:r>
            <w:r>
              <w:br/>
            </w:r>
          </w:p>
          <w:p>
            <w:pPr>
              <w:spacing w:before="0" w:after="0"/>
              <w:ind w:left="160"/>
              <w:jc w:val="left"/>
            </w:pPr>
            <w:r>
              <w:rPr>
                <w:rFonts w:ascii="Times New Roman" w:hAnsi="Times New Roman"/>
                <w:b w:val="false"/>
                <w:i w:val="false"/>
                <w:color w:val="000000"/>
                <w:sz w:val="21"/>
              </w:rPr>
              <w:t>     8.   </w:t>
            </w:r>
            <w:r>
              <w:rPr>
                <w:rFonts w:ascii="Times New Roman" w:hAnsi="Times New Roman"/>
                <w:b w:val="false"/>
                <w:i w:val="false"/>
                <w:color w:val="000000"/>
                <w:sz w:val="21"/>
              </w:rPr>
              <w:t>For which the insured would have no legal obligation to pay in the absence of this or any similar</w:t>
            </w:r>
            <w:r>
              <w:br/>
            </w:r>
            <w:r>
              <w:rPr>
                <w:rFonts w:ascii="Times New Roman" w:hAnsi="Times New Roman"/>
                <w:b w:val="false"/>
                <w:i w:val="false"/>
                <w:color w:val="000000"/>
                <w:sz w:val="21"/>
              </w:rPr>
              <w:t xml:space="preserve"> coverage;</w:t>
            </w:r>
            <w:r>
              <w:br/>
            </w:r>
          </w:p>
          <w:p>
            <w:pPr>
              <w:spacing w:before="0" w:after="0"/>
              <w:ind w:left="160"/>
              <w:jc w:val="left"/>
            </w:pPr>
            <w:r>
              <w:rPr>
                <w:rFonts w:ascii="Times New Roman" w:hAnsi="Times New Roman"/>
                <w:b w:val="false"/>
                <w:i w:val="false"/>
                <w:color w:val="000000"/>
                <w:sz w:val="21"/>
              </w:rPr>
              <w:t>     9.   </w:t>
            </w:r>
            <w:r>
              <w:rPr>
                <w:rFonts w:ascii="Times New Roman" w:hAnsi="Times New Roman"/>
                <w:b w:val="false"/>
                <w:i w:val="false"/>
                <w:color w:val="000000"/>
                <w:sz w:val="21"/>
              </w:rPr>
              <w:t>Received from a dental or medical department maintained by or on behalf of an employer, a mutual benefit association, labor union, trust, or similar person or group;</w:t>
            </w:r>
            <w:r>
              <w:br/>
            </w:r>
          </w:p>
          <w:p>
            <w:pPr>
              <w:spacing w:before="0" w:after="0"/>
              <w:ind w:left="160"/>
              <w:jc w:val="left"/>
            </w:pPr>
            <w:r>
              <w:rPr>
                <w:rFonts w:ascii="Times New Roman" w:hAnsi="Times New Roman"/>
                <w:b w:val="false"/>
                <w:i w:val="false"/>
                <w:color w:val="000000"/>
                <w:sz w:val="21"/>
              </w:rPr>
              <w:t>     10.   </w:t>
            </w:r>
            <w:r>
              <w:rPr>
                <w:rFonts w:ascii="Times New Roman" w:hAnsi="Times New Roman"/>
                <w:b w:val="false"/>
                <w:i w:val="false"/>
                <w:color w:val="000000"/>
                <w:sz w:val="21"/>
              </w:rPr>
              <w:t>Surgery and any related services intended solely to improve appearance including but not limited to the restoration of hair and appearance of skin. This does not include those services or surgeries that restore bodily function or correct deformity resulting from disease, trauma, congenital or developmental anomalies of a newborn;</w:t>
            </w:r>
            <w:r>
              <w:br/>
            </w:r>
          </w:p>
          <w:p>
            <w:pPr>
              <w:spacing w:before="0" w:after="0"/>
              <w:ind w:left="160"/>
              <w:jc w:val="left"/>
            </w:pPr>
            <w:r>
              <w:rPr>
                <w:rFonts w:ascii="Times New Roman" w:hAnsi="Times New Roman"/>
                <w:b w:val="false"/>
                <w:i w:val="false"/>
                <w:color w:val="000000"/>
                <w:sz w:val="21"/>
              </w:rPr>
              <w:t>     11.   </w:t>
            </w:r>
            <w:r>
              <w:rPr>
                <w:rFonts w:ascii="Times New Roman" w:hAnsi="Times New Roman"/>
                <w:b w:val="false"/>
                <w:i w:val="false"/>
                <w:color w:val="000000"/>
                <w:sz w:val="21"/>
              </w:rPr>
              <w:t>Rendered by a provider that is a member of the insured’s immediate family;</w:t>
            </w:r>
            <w:r>
              <w:br/>
            </w:r>
          </w:p>
          <w:p>
            <w:pPr>
              <w:spacing w:before="0" w:after="0"/>
              <w:ind w:left="160"/>
              <w:jc w:val="left"/>
            </w:pPr>
            <w:r>
              <w:rPr>
                <w:rFonts w:ascii="Times New Roman" w:hAnsi="Times New Roman"/>
                <w:b w:val="false"/>
                <w:i w:val="false"/>
                <w:color w:val="000000"/>
                <w:sz w:val="21"/>
              </w:rPr>
              <w:t>     12.   </w:t>
            </w:r>
            <w:r>
              <w:rPr>
                <w:rFonts w:ascii="Times New Roman" w:hAnsi="Times New Roman"/>
                <w:b w:val="false"/>
                <w:i w:val="false"/>
                <w:color w:val="000000"/>
                <w:sz w:val="21"/>
              </w:rPr>
              <w:t>Incurred prior to the effective date or during an inpatient admission that commenced prior to the insured’s effective date of coverage;</w:t>
            </w:r>
            <w:r>
              <w:br/>
            </w:r>
          </w:p>
          <w:p>
            <w:pPr>
              <w:spacing w:before="0" w:after="0"/>
              <w:ind w:left="160"/>
              <w:jc w:val="left"/>
            </w:pPr>
            <w:r>
              <w:rPr>
                <w:rFonts w:ascii="Times New Roman" w:hAnsi="Times New Roman"/>
                <w:b w:val="false"/>
                <w:i w:val="false"/>
                <w:color w:val="000000"/>
                <w:sz w:val="21"/>
              </w:rPr>
              <w:t>     13.   </w:t>
            </w:r>
            <w:r>
              <w:rPr>
                <w:rFonts w:ascii="Times New Roman" w:hAnsi="Times New Roman"/>
                <w:b w:val="false"/>
                <w:i w:val="false"/>
                <w:color w:val="000000"/>
                <w:sz w:val="21"/>
              </w:rPr>
              <w:t>Incurred after the date of termination of the insured’s coverage;</w:t>
            </w:r>
            <w:r>
              <w:br/>
            </w:r>
          </w:p>
          <w:p>
            <w:pPr>
              <w:spacing w:before="0" w:after="0"/>
              <w:ind w:left="160"/>
              <w:jc w:val="left"/>
            </w:pPr>
            <w:r>
              <w:rPr>
                <w:rFonts w:ascii="Times New Roman" w:hAnsi="Times New Roman"/>
                <w:b w:val="false"/>
                <w:i w:val="false"/>
                <w:color w:val="000000"/>
                <w:sz w:val="21"/>
              </w:rPr>
              <w:t>     14.   </w:t>
            </w:r>
            <w:r>
              <w:rPr>
                <w:rFonts w:ascii="Times New Roman" w:hAnsi="Times New Roman"/>
                <w:b w:val="false"/>
                <w:i w:val="false"/>
                <w:color w:val="000000"/>
                <w:sz w:val="21"/>
              </w:rPr>
              <w:t>For personal hygiene and convenience items such as, but not limited to, air conditioners, humidifiers, or physical fitness equipment;</w:t>
            </w:r>
            <w:r>
              <w:br/>
            </w:r>
          </w:p>
          <w:p>
            <w:pPr>
              <w:spacing w:before="0" w:after="0"/>
              <w:ind w:left="160"/>
              <w:jc w:val="left"/>
            </w:pPr>
            <w:r>
              <w:rPr>
                <w:rFonts w:ascii="Times New Roman" w:hAnsi="Times New Roman"/>
                <w:b w:val="false"/>
                <w:i w:val="false"/>
                <w:color w:val="000000"/>
                <w:sz w:val="21"/>
              </w:rPr>
              <w:t>     15.   </w:t>
            </w:r>
            <w:r>
              <w:rPr>
                <w:rFonts w:ascii="Times New Roman" w:hAnsi="Times New Roman"/>
                <w:b w:val="false"/>
                <w:i w:val="false"/>
                <w:color w:val="000000"/>
                <w:sz w:val="21"/>
              </w:rPr>
              <w:t>For telephone consultations, charges for failure to keep scheduled appointments, charges for completion of any form or charges for medical information;</w:t>
            </w:r>
            <w:r>
              <w:br/>
            </w:r>
          </w:p>
          <w:p>
            <w:pPr>
              <w:spacing w:before="0" w:after="0"/>
              <w:ind w:left="160"/>
              <w:jc w:val="left"/>
            </w:pPr>
            <w:r>
              <w:rPr>
                <w:rFonts w:ascii="Times New Roman" w:hAnsi="Times New Roman"/>
                <w:b w:val="false"/>
                <w:i w:val="false"/>
                <w:color w:val="000000"/>
                <w:sz w:val="21"/>
              </w:rPr>
              <w:t>     16.   </w:t>
            </w:r>
            <w:r>
              <w:rPr>
                <w:rFonts w:ascii="Times New Roman" w:hAnsi="Times New Roman"/>
                <w:b w:val="false"/>
                <w:i w:val="false"/>
                <w:color w:val="000000"/>
                <w:sz w:val="21"/>
              </w:rPr>
              <w:t>For inpatient admissions which are primarily for diagnostic studies or physical therapy;</w:t>
            </w:r>
            <w:r>
              <w:br/>
            </w:r>
          </w:p>
          <w:p>
            <w:pPr>
              <w:spacing w:before="0" w:after="0"/>
              <w:ind w:left="160"/>
              <w:jc w:val="left"/>
            </w:pPr>
            <w:r>
              <w:rPr>
                <w:rFonts w:ascii="Times New Roman" w:hAnsi="Times New Roman"/>
                <w:b w:val="false"/>
                <w:i w:val="false"/>
                <w:color w:val="000000"/>
                <w:sz w:val="21"/>
              </w:rPr>
              <w:t>     17.   </w:t>
            </w:r>
            <w:r>
              <w:rPr>
                <w:rFonts w:ascii="Times New Roman" w:hAnsi="Times New Roman"/>
                <w:b w:val="false"/>
                <w:i w:val="false"/>
                <w:color w:val="000000"/>
                <w:sz w:val="21"/>
              </w:rPr>
              <w:t>For whole blood, blood components and blood derivatives which are not classified as drugs in the official formularies;</w:t>
            </w:r>
            <w:r>
              <w:br/>
            </w:r>
          </w:p>
          <w:p>
            <w:pPr>
              <w:spacing w:before="0" w:after="0"/>
              <w:ind w:left="160"/>
              <w:jc w:val="left"/>
            </w:pPr>
            <w:r>
              <w:rPr>
                <w:rFonts w:ascii="Times New Roman" w:hAnsi="Times New Roman"/>
                <w:b w:val="false"/>
                <w:i w:val="false"/>
                <w:color w:val="000000"/>
                <w:sz w:val="21"/>
              </w:rPr>
              <w:t>     18.   </w:t>
            </w:r>
            <w:r>
              <w:rPr>
                <w:rFonts w:ascii="Times New Roman" w:hAnsi="Times New Roman"/>
                <w:b w:val="false"/>
                <w:i w:val="false"/>
                <w:color w:val="000000"/>
                <w:sz w:val="21"/>
              </w:rPr>
              <w:t>For custodial care, domiciliary care or rest cures;</w:t>
            </w:r>
            <w:r>
              <w:br/>
            </w:r>
          </w:p>
          <w:p>
            <w:pPr>
              <w:spacing w:before="0" w:after="0"/>
              <w:ind w:left="160"/>
              <w:jc w:val="left"/>
            </w:pPr>
            <w:r>
              <w:rPr>
                <w:rFonts w:ascii="Times New Roman" w:hAnsi="Times New Roman"/>
                <w:b w:val="false"/>
                <w:i w:val="false"/>
                <w:color w:val="000000"/>
                <w:sz w:val="21"/>
              </w:rPr>
              <w:t>     19.   </w:t>
            </w:r>
            <w:r>
              <w:rPr>
                <w:rFonts w:ascii="Times New Roman" w:hAnsi="Times New Roman"/>
                <w:b w:val="false"/>
                <w:i w:val="false"/>
                <w:color w:val="000000"/>
                <w:sz w:val="21"/>
              </w:rPr>
              <w:t>For treatment in a facility, or part of a facility, that is mainly a place for: (a) rest; (b) convalescence; (c) custodial care; (d) the aged; (e) the care or treatment of alcoholism or drug addiction; (f) rehabilitation; or (g) training, schooling or occupational therapy;</w:t>
            </w:r>
            <w:r>
              <w:br/>
            </w:r>
          </w:p>
          <w:p>
            <w:pPr>
              <w:spacing w:before="0" w:after="0"/>
              <w:ind w:left="160"/>
              <w:jc w:val="left"/>
            </w:pPr>
            <w:r>
              <w:rPr>
                <w:rFonts w:ascii="Times New Roman" w:hAnsi="Times New Roman"/>
                <w:b w:val="false"/>
                <w:i w:val="false"/>
                <w:color w:val="000000"/>
                <w:sz w:val="21"/>
              </w:rPr>
              <w:t>     20.   </w:t>
            </w:r>
            <w:r>
              <w:rPr>
                <w:rFonts w:ascii="Times New Roman" w:hAnsi="Times New Roman"/>
                <w:b w:val="false"/>
                <w:i w:val="false"/>
                <w:color w:val="000000"/>
                <w:sz w:val="21"/>
              </w:rPr>
              <w:t>For screening examinations including X-ray examinations made without film;</w:t>
            </w:r>
            <w:r>
              <w:br/>
            </w:r>
          </w:p>
          <w:p>
            <w:pPr>
              <w:spacing w:before="0" w:after="0"/>
              <w:ind w:left="160"/>
              <w:jc w:val="left"/>
            </w:pPr>
            <w:r>
              <w:rPr>
                <w:rFonts w:ascii="Times New Roman" w:hAnsi="Times New Roman"/>
                <w:b w:val="false"/>
                <w:i w:val="false"/>
                <w:color w:val="000000"/>
                <w:sz w:val="21"/>
              </w:rPr>
              <w:t>     21.   </w:t>
            </w:r>
            <w:r>
              <w:rPr>
                <w:rFonts w:ascii="Times New Roman" w:hAnsi="Times New Roman"/>
                <w:b w:val="false"/>
                <w:i w:val="false"/>
                <w:color w:val="000000"/>
                <w:sz w:val="21"/>
              </w:rPr>
              <w:t>For sterilization or reversal of sterilizations, or both;</w:t>
            </w:r>
            <w:r>
              <w:br/>
            </w:r>
          </w:p>
          <w:p>
            <w:pPr>
              <w:spacing w:before="0" w:after="0"/>
              <w:ind w:left="160"/>
              <w:jc w:val="left"/>
            </w:pPr>
            <w:r>
              <w:rPr>
                <w:rFonts w:ascii="Times New Roman" w:hAnsi="Times New Roman"/>
                <w:b w:val="false"/>
                <w:i w:val="false"/>
                <w:color w:val="000000"/>
                <w:sz w:val="21"/>
              </w:rPr>
              <w:t>     22.   </w:t>
            </w:r>
            <w:r>
              <w:rPr>
                <w:rFonts w:ascii="Times New Roman" w:hAnsi="Times New Roman"/>
                <w:b w:val="false"/>
                <w:i w:val="false"/>
                <w:color w:val="000000"/>
                <w:sz w:val="21"/>
              </w:rPr>
              <w:t>For dental work or treatment except for removal of malignant tumors and cysts or accidental injury (eating and chewing mishaps are not accidental injuries for the purposes of this policy) to natural teeth, if the accident occurs while the person is insured and the treatment is received within 12 months after the accident;</w:t>
            </w:r>
            <w:r>
              <w:br/>
            </w:r>
          </w:p>
          <w:p>
            <w:pPr>
              <w:spacing w:before="0" w:after="0"/>
              <w:ind w:left="160"/>
              <w:jc w:val="left"/>
            </w:pPr>
            <w:r>
              <w:rPr>
                <w:rFonts w:ascii="Times New Roman" w:hAnsi="Times New Roman"/>
                <w:b w:val="false"/>
                <w:i w:val="false"/>
                <w:color w:val="000000"/>
                <w:sz w:val="21"/>
              </w:rPr>
              <w:t>     23.   </w:t>
            </w:r>
            <w:r>
              <w:rPr>
                <w:rFonts w:ascii="Times New Roman" w:hAnsi="Times New Roman"/>
                <w:b w:val="false"/>
                <w:i w:val="false"/>
                <w:color w:val="000000"/>
                <w:sz w:val="21"/>
              </w:rPr>
              <w:t>For treatment of weak, strained or flat feet, including orthopedic shoes or other supportive devices, or for cutting, removal or treatment of corns, callouses or nails, other than with corrective surgery, or for metabolic or peripheral vascular disease;</w:t>
            </w:r>
            <w:r>
              <w:br/>
            </w:r>
          </w:p>
          <w:p>
            <w:pPr>
              <w:spacing w:before="0" w:after="0"/>
              <w:ind w:left="160"/>
              <w:jc w:val="left"/>
            </w:pPr>
            <w:r>
              <w:rPr>
                <w:rFonts w:ascii="Times New Roman" w:hAnsi="Times New Roman"/>
                <w:b w:val="false"/>
                <w:i w:val="false"/>
                <w:color w:val="000000"/>
                <w:sz w:val="21"/>
              </w:rPr>
              <w:t>     24.   </w:t>
            </w:r>
            <w:r>
              <w:rPr>
                <w:rFonts w:ascii="Times New Roman" w:hAnsi="Times New Roman"/>
                <w:b w:val="false"/>
                <w:i w:val="false"/>
                <w:color w:val="000000"/>
                <w:sz w:val="21"/>
              </w:rPr>
              <w:t>For eyeglasses or contact lenses and the visual examination for prescribing or fitting eyeglasses or contact lenses (except for aphasic patients and soft lenses or sclera shells intended for use in the treatment of disease or injury);</w:t>
            </w:r>
            <w:r>
              <w:br/>
            </w:r>
          </w:p>
          <w:p>
            <w:pPr>
              <w:spacing w:before="0" w:after="0"/>
              <w:ind w:left="160"/>
              <w:jc w:val="left"/>
            </w:pPr>
            <w:r>
              <w:rPr>
                <w:rFonts w:ascii="Times New Roman" w:hAnsi="Times New Roman"/>
                <w:b w:val="false"/>
                <w:i w:val="false"/>
                <w:color w:val="000000"/>
                <w:sz w:val="21"/>
              </w:rPr>
              <w:t>     25.   </w:t>
            </w:r>
            <w:r>
              <w:rPr>
                <w:rFonts w:ascii="Times New Roman" w:hAnsi="Times New Roman"/>
                <w:b w:val="false"/>
                <w:i w:val="false"/>
                <w:color w:val="000000"/>
                <w:sz w:val="21"/>
              </w:rPr>
              <w:t>For radial keratotomy, myopic keratomileusis and any surgery which involves corneal tissue for the purpose of altering, modifying or correcting myopia, hyperopia or stigmatic error;</w:t>
            </w:r>
            <w:r>
              <w:br/>
            </w:r>
          </w:p>
          <w:p>
            <w:pPr>
              <w:spacing w:before="0" w:after="0"/>
              <w:ind w:left="160"/>
              <w:jc w:val="left"/>
            </w:pPr>
            <w:r>
              <w:rPr>
                <w:rFonts w:ascii="Times New Roman" w:hAnsi="Times New Roman"/>
                <w:b w:val="false"/>
                <w:i w:val="false"/>
                <w:color w:val="000000"/>
                <w:sz w:val="21"/>
              </w:rPr>
              <w:t>     26.   </w:t>
            </w:r>
            <w:r>
              <w:rPr>
                <w:rFonts w:ascii="Times New Roman" w:hAnsi="Times New Roman"/>
                <w:b w:val="false"/>
                <w:i w:val="false"/>
                <w:color w:val="000000"/>
                <w:sz w:val="21"/>
              </w:rPr>
              <w:t>For hearing aids and supplies, tinnitus maskers, or examinations for the prescription or fitting of hearing aids;</w:t>
            </w:r>
            <w:r>
              <w:br/>
            </w:r>
          </w:p>
          <w:p>
            <w:pPr>
              <w:spacing w:before="0" w:after="0"/>
              <w:ind w:left="160"/>
              <w:jc w:val="left"/>
            </w:pPr>
            <w:r>
              <w:rPr>
                <w:rFonts w:ascii="Times New Roman" w:hAnsi="Times New Roman"/>
                <w:b w:val="false"/>
                <w:i w:val="false"/>
                <w:color w:val="000000"/>
                <w:sz w:val="21"/>
              </w:rPr>
              <w:t>     27.   </w:t>
            </w:r>
            <w:r>
              <w:rPr>
                <w:rFonts w:ascii="Times New Roman" w:hAnsi="Times New Roman"/>
                <w:b w:val="false"/>
                <w:i w:val="false"/>
                <w:color w:val="000000"/>
                <w:sz w:val="21"/>
              </w:rPr>
              <w:t>For any treatment leading to or in connection with transsexualism, sex changes or modifications, including but not limited to surgery or the treatment of sexual dysfunction not related to organic disease;</w:t>
            </w:r>
            <w:r>
              <w:br/>
            </w:r>
          </w:p>
          <w:p>
            <w:pPr>
              <w:spacing w:before="0" w:after="0"/>
              <w:ind w:left="160"/>
              <w:jc w:val="left"/>
            </w:pPr>
            <w:r>
              <w:rPr>
                <w:rFonts w:ascii="Times New Roman" w:hAnsi="Times New Roman"/>
                <w:b w:val="false"/>
                <w:i w:val="false"/>
                <w:color w:val="000000"/>
                <w:sz w:val="21"/>
              </w:rPr>
              <w:t>     28.   </w:t>
            </w:r>
            <w:r>
              <w:rPr>
                <w:rFonts w:ascii="Times New Roman" w:hAnsi="Times New Roman"/>
                <w:b w:val="false"/>
                <w:i w:val="false"/>
                <w:color w:val="000000"/>
                <w:sz w:val="21"/>
              </w:rPr>
              <w:t>For any treatment or regimen, medical or surgical, for the purpose of reducing or controlling the insured’s weight or for the treatment of obesity;</w:t>
            </w:r>
            <w:r>
              <w:br/>
            </w:r>
          </w:p>
          <w:p>
            <w:pPr>
              <w:spacing w:before="0" w:after="0"/>
              <w:ind w:left="160"/>
              <w:jc w:val="left"/>
            </w:pPr>
            <w:r>
              <w:rPr>
                <w:rFonts w:ascii="Times New Roman" w:hAnsi="Times New Roman"/>
                <w:b w:val="false"/>
                <w:i w:val="false"/>
                <w:color w:val="000000"/>
                <w:sz w:val="21"/>
              </w:rPr>
              <w:t>     29.   </w:t>
            </w:r>
            <w:r>
              <w:rPr>
                <w:rFonts w:ascii="Times New Roman" w:hAnsi="Times New Roman"/>
                <w:b w:val="false"/>
                <w:i w:val="false"/>
                <w:color w:val="000000"/>
                <w:sz w:val="21"/>
              </w:rPr>
              <w:t>For conditions related to autistic disease of childhood, hyperkinetic syndromes, learning disabilities, behavioral problems, or for inpatient confinement for environmental change;</w:t>
            </w:r>
            <w:r>
              <w:br/>
            </w:r>
          </w:p>
          <w:p>
            <w:pPr>
              <w:spacing w:before="0" w:after="0"/>
              <w:ind w:left="160"/>
              <w:jc w:val="left"/>
            </w:pPr>
            <w:r>
              <w:rPr>
                <w:rFonts w:ascii="Times New Roman" w:hAnsi="Times New Roman"/>
                <w:b w:val="false"/>
                <w:i w:val="false"/>
                <w:color w:val="000000"/>
                <w:sz w:val="21"/>
              </w:rPr>
              <w:t>     30.   </w:t>
            </w:r>
            <w:r>
              <w:rPr>
                <w:rFonts w:ascii="Times New Roman" w:hAnsi="Times New Roman"/>
                <w:b w:val="false"/>
                <w:i w:val="false"/>
                <w:color w:val="000000"/>
                <w:sz w:val="21"/>
              </w:rPr>
              <w:t>For services and supplies for and related to fertility testing, treatment of infertility and conception by artificial means, including but not limited to: artificial insemination, in vitro fertilization, ovum or embryo placement or transfer, gamete intra-fallopian tube transfer, or cryogenic or other preservation techniques used in such or similar procedures;</w:t>
            </w:r>
            <w:r>
              <w:br/>
            </w:r>
          </w:p>
          <w:p>
            <w:pPr>
              <w:spacing w:before="0" w:after="0"/>
              <w:ind w:left="160"/>
              <w:jc w:val="left"/>
            </w:pPr>
            <w:r>
              <w:rPr>
                <w:rFonts w:ascii="Times New Roman" w:hAnsi="Times New Roman"/>
                <w:b w:val="false"/>
                <w:i w:val="false"/>
                <w:color w:val="000000"/>
                <w:sz w:val="21"/>
              </w:rPr>
              <w:t>     31.   </w:t>
            </w:r>
            <w:r>
              <w:rPr>
                <w:rFonts w:ascii="Times New Roman" w:hAnsi="Times New Roman"/>
                <w:b w:val="false"/>
                <w:i w:val="false"/>
                <w:color w:val="000000"/>
                <w:sz w:val="21"/>
              </w:rPr>
              <w:t>For travel whether or not recommended by a physician;</w:t>
            </w:r>
            <w:r>
              <w:br/>
            </w:r>
          </w:p>
          <w:p>
            <w:pPr>
              <w:spacing w:before="0" w:after="0"/>
              <w:ind w:left="160"/>
              <w:jc w:val="left"/>
            </w:pPr>
            <w:r>
              <w:rPr>
                <w:rFonts w:ascii="Times New Roman" w:hAnsi="Times New Roman"/>
                <w:b w:val="false"/>
                <w:i w:val="false"/>
                <w:color w:val="000000"/>
                <w:sz w:val="21"/>
              </w:rPr>
              <w:t>     32.   </w:t>
            </w:r>
            <w:r>
              <w:rPr>
                <w:rFonts w:ascii="Times New Roman" w:hAnsi="Times New Roman"/>
                <w:b w:val="false"/>
                <w:i w:val="false"/>
                <w:color w:val="000000"/>
                <w:sz w:val="21"/>
              </w:rPr>
              <w:t>For complications or side effects arising from services, procedures, or treatments excluded by this policy;</w:t>
            </w:r>
            <w:r>
              <w:br/>
            </w:r>
          </w:p>
          <w:p>
            <w:pPr>
              <w:spacing w:before="0" w:after="0"/>
              <w:ind w:left="160"/>
              <w:jc w:val="left"/>
            </w:pPr>
            <w:r>
              <w:rPr>
                <w:rFonts w:ascii="Times New Roman" w:hAnsi="Times New Roman"/>
                <w:b w:val="false"/>
                <w:i w:val="false"/>
                <w:color w:val="000000"/>
                <w:sz w:val="21"/>
              </w:rPr>
              <w:t>     33.   </w:t>
            </w:r>
            <w:r>
              <w:rPr>
                <w:rFonts w:ascii="Times New Roman" w:hAnsi="Times New Roman"/>
                <w:b w:val="false"/>
                <w:i w:val="false"/>
                <w:color w:val="000000"/>
                <w:sz w:val="21"/>
              </w:rPr>
              <w:t>For maternity care of dependent children except for complications of pregnancy which is covered as any other illness;</w:t>
            </w:r>
            <w:r>
              <w:br/>
            </w:r>
          </w:p>
          <w:p>
            <w:pPr>
              <w:spacing w:before="0" w:after="0"/>
              <w:ind w:left="160"/>
              <w:jc w:val="left"/>
            </w:pPr>
            <w:r>
              <w:rPr>
                <w:rFonts w:ascii="Times New Roman" w:hAnsi="Times New Roman"/>
                <w:b w:val="false"/>
                <w:i w:val="false"/>
                <w:color w:val="000000"/>
                <w:sz w:val="21"/>
              </w:rPr>
              <w:t>     34.   </w:t>
            </w:r>
            <w:r>
              <w:rPr>
                <w:rFonts w:ascii="Times New Roman" w:hAnsi="Times New Roman"/>
                <w:b w:val="false"/>
                <w:i w:val="false"/>
                <w:color w:val="000000"/>
                <w:sz w:val="21"/>
              </w:rPr>
              <w:t>For services to the extent that those services are covered by Medicare;</w:t>
            </w:r>
            <w:r>
              <w:br/>
            </w:r>
          </w:p>
          <w:p>
            <w:pPr>
              <w:spacing w:before="0" w:after="0"/>
              <w:ind w:left="160"/>
              <w:jc w:val="left"/>
            </w:pPr>
            <w:r>
              <w:rPr>
                <w:rFonts w:ascii="Times New Roman" w:hAnsi="Times New Roman"/>
                <w:b w:val="false"/>
                <w:i w:val="false"/>
                <w:color w:val="000000"/>
                <w:sz w:val="21"/>
              </w:rPr>
              <w:t>     35.   </w:t>
            </w:r>
            <w:r>
              <w:rPr>
                <w:rFonts w:ascii="Times New Roman" w:hAnsi="Times New Roman"/>
                <w:b w:val="false"/>
                <w:i w:val="false"/>
                <w:color w:val="000000"/>
                <w:sz w:val="21"/>
              </w:rPr>
              <w:t>For or related to organ transplants (unless a benefit is specifically provided and then only to the limits provided);</w:t>
            </w:r>
            <w:r>
              <w:br/>
            </w:r>
          </w:p>
          <w:p>
            <w:pPr>
              <w:spacing w:before="0" w:after="0"/>
              <w:ind w:left="160"/>
              <w:jc w:val="left"/>
            </w:pPr>
            <w:r>
              <w:rPr>
                <w:rFonts w:ascii="Times New Roman" w:hAnsi="Times New Roman"/>
                <w:b w:val="false"/>
                <w:i w:val="false"/>
                <w:color w:val="000000"/>
                <w:sz w:val="21"/>
              </w:rPr>
              <w:t>     36.   </w:t>
            </w:r>
            <w:r>
              <w:rPr>
                <w:rFonts w:ascii="Times New Roman" w:hAnsi="Times New Roman"/>
                <w:b w:val="false"/>
                <w:i w:val="false"/>
                <w:color w:val="000000"/>
                <w:sz w:val="21"/>
              </w:rPr>
              <w:t>For or related to the transplantation of animal or artificial organs or tissues;</w:t>
            </w:r>
            <w:r>
              <w:br/>
            </w:r>
          </w:p>
          <w:p>
            <w:pPr>
              <w:spacing w:before="0" w:after="0"/>
              <w:ind w:left="160"/>
              <w:jc w:val="left"/>
            </w:pPr>
            <w:r>
              <w:rPr>
                <w:rFonts w:ascii="Times New Roman" w:hAnsi="Times New Roman"/>
                <w:b w:val="false"/>
                <w:i w:val="false"/>
                <w:color w:val="000000"/>
                <w:sz w:val="21"/>
              </w:rPr>
              <w:t>     37.   </w:t>
            </w:r>
            <w:r>
              <w:rPr>
                <w:rFonts w:ascii="Times New Roman" w:hAnsi="Times New Roman"/>
                <w:b w:val="false"/>
                <w:i w:val="false"/>
                <w:color w:val="000000"/>
                <w:sz w:val="21"/>
              </w:rPr>
              <w:t>For the care or treatment of any injury that is intentionally self-inflicted, while sane or insane;</w:t>
            </w:r>
            <w:r>
              <w:br/>
            </w:r>
          </w:p>
          <w:p>
            <w:pPr>
              <w:spacing w:before="0" w:after="0"/>
              <w:ind w:left="160"/>
              <w:jc w:val="left"/>
            </w:pPr>
            <w:r>
              <w:rPr>
                <w:rFonts w:ascii="Times New Roman" w:hAnsi="Times New Roman"/>
                <w:b w:val="false"/>
                <w:i w:val="false"/>
                <w:color w:val="000000"/>
                <w:sz w:val="21"/>
              </w:rPr>
              <w:t>     38.   </w:t>
            </w:r>
            <w:r>
              <w:rPr>
                <w:rFonts w:ascii="Times New Roman" w:hAnsi="Times New Roman"/>
                <w:b w:val="false"/>
                <w:i w:val="false"/>
                <w:color w:val="000000"/>
                <w:sz w:val="21"/>
              </w:rPr>
              <w:t>For the care or treatment of any injury incurred during the commission of, or an attempt to commit, a felony or any injury or sickness incurred while engaging in an illegal act or occupation or participation in a riot;</w:t>
            </w:r>
            <w:r>
              <w:br/>
            </w:r>
          </w:p>
          <w:p>
            <w:pPr>
              <w:spacing w:before="0" w:after="0"/>
              <w:ind w:left="160"/>
              <w:jc w:val="left"/>
            </w:pPr>
            <w:r>
              <w:rPr>
                <w:rFonts w:ascii="Times New Roman" w:hAnsi="Times New Roman"/>
                <w:b w:val="false"/>
                <w:i w:val="false"/>
                <w:color w:val="000000"/>
                <w:sz w:val="21"/>
              </w:rPr>
              <w:t>     39.   </w:t>
            </w:r>
            <w:r>
              <w:rPr>
                <w:rFonts w:ascii="Times New Roman" w:hAnsi="Times New Roman"/>
                <w:b w:val="false"/>
                <w:i w:val="false"/>
                <w:color w:val="000000"/>
                <w:sz w:val="21"/>
              </w:rPr>
              <w:t>For lifestyle improvements including smoking cessation, nutrition counseling or physical fitness programs;</w:t>
            </w:r>
            <w:r>
              <w:br/>
            </w:r>
          </w:p>
          <w:p>
            <w:pPr>
              <w:spacing w:before="0" w:after="0"/>
              <w:ind w:left="160"/>
              <w:jc w:val="left"/>
            </w:pPr>
            <w:r>
              <w:rPr>
                <w:rFonts w:ascii="Times New Roman" w:hAnsi="Times New Roman"/>
                <w:b w:val="false"/>
                <w:i w:val="false"/>
                <w:color w:val="000000"/>
                <w:sz w:val="21"/>
              </w:rPr>
              <w:t>     40.   </w:t>
            </w:r>
            <w:r>
              <w:rPr>
                <w:rFonts w:ascii="Times New Roman" w:hAnsi="Times New Roman"/>
                <w:b w:val="false"/>
                <w:i w:val="false"/>
                <w:color w:val="000000"/>
                <w:sz w:val="21"/>
              </w:rPr>
              <w:t>For the purchase of wigs or cranial prosthesis;</w:t>
            </w:r>
            <w:r>
              <w:br/>
            </w:r>
          </w:p>
          <w:p>
            <w:pPr>
              <w:spacing w:before="0" w:after="0"/>
              <w:ind w:left="160"/>
              <w:jc w:val="left"/>
            </w:pPr>
            <w:r>
              <w:rPr>
                <w:rFonts w:ascii="Times New Roman" w:hAnsi="Times New Roman"/>
                <w:b w:val="false"/>
                <w:i w:val="false"/>
                <w:color w:val="000000"/>
                <w:sz w:val="21"/>
              </w:rPr>
              <w:t>     41.   </w:t>
            </w:r>
            <w:r>
              <w:rPr>
                <w:rFonts w:ascii="Times New Roman" w:hAnsi="Times New Roman"/>
                <w:b w:val="false"/>
                <w:i w:val="false"/>
                <w:color w:val="000000"/>
                <w:sz w:val="21"/>
              </w:rPr>
              <w:t>For weekend admission charges, except for emergencies and nonscheduled maternity admissions;</w:t>
            </w:r>
            <w:r>
              <w:br/>
            </w:r>
          </w:p>
          <w:p>
            <w:pPr>
              <w:spacing w:before="0" w:after="0"/>
              <w:ind w:left="160"/>
              <w:jc w:val="left"/>
            </w:pPr>
            <w:r>
              <w:rPr>
                <w:rFonts w:ascii="Times New Roman" w:hAnsi="Times New Roman"/>
                <w:b w:val="false"/>
                <w:i w:val="false"/>
                <w:color w:val="000000"/>
                <w:sz w:val="21"/>
              </w:rPr>
              <w:t>     42.   </w:t>
            </w:r>
            <w:r>
              <w:rPr>
                <w:rFonts w:ascii="Times New Roman" w:hAnsi="Times New Roman"/>
                <w:b w:val="false"/>
                <w:i w:val="false"/>
                <w:color w:val="000000"/>
                <w:sz w:val="21"/>
              </w:rPr>
              <w:t>For orthomolecular therapy including nutrients, vitamins and food supplements;</w:t>
            </w:r>
            <w:r>
              <w:br/>
            </w:r>
          </w:p>
          <w:p>
            <w:pPr>
              <w:spacing w:before="0" w:after="0"/>
              <w:ind w:left="160"/>
              <w:jc w:val="left"/>
            </w:pPr>
            <w:r>
              <w:rPr>
                <w:rFonts w:ascii="Times New Roman" w:hAnsi="Times New Roman"/>
                <w:b w:val="false"/>
                <w:i w:val="false"/>
                <w:color w:val="000000"/>
                <w:sz w:val="21"/>
              </w:rPr>
              <w:t>     43.   </w:t>
            </w:r>
            <w:r>
              <w:rPr>
                <w:rFonts w:ascii="Times New Roman" w:hAnsi="Times New Roman"/>
                <w:b w:val="false"/>
                <w:i w:val="false"/>
                <w:color w:val="000000"/>
                <w:sz w:val="21"/>
              </w:rPr>
              <w:t>For speech therapy, except to restore speech abilities which were lost due to sickness or injury.</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71.14(9)</w:t>
      </w:r>
      <w:r>
        <w:rPr>
          <w:rFonts w:ascii="Times New Roman" w:hAnsi="Times New Roman"/>
          <w:b w:val="false"/>
          <w:i w:val="false"/>
          <w:color w:val="000000"/>
          <w:sz w:val="22"/>
        </w:rPr>
        <w:t> </w:t>
      </w:r>
      <w:r>
        <w:rPr>
          <w:rFonts w:ascii="Times New Roman" w:hAnsi="Times New Roman"/>
          <w:b w:val="false"/>
          <w:i w:val="false"/>
          <w:color w:val="000000"/>
          <w:sz w:val="22"/>
        </w:rPr>
        <w:t xml:space="preserve">All carriers shall provide benefits in the standard health benefit plan for the cost associated with equipment, supplies, and education for the treatment of diabetes pursuant to Iowa Code section </w:t>
      </w:r>
      <w:hyperlink r:id="rId119">
        <w:r>
          <w:rPr>
            <w:rStyle w:val="Hyperlink"/>
            <w:rFonts w:ascii="Times New Roman" w:hAnsi="Times New Roman"/>
            <w:b w:val="false"/>
            <w:i w:val="false"/>
            <w:color w:val="000000"/>
            <w:sz w:val="22"/>
          </w:rPr>
          <w:t>514C.18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6547C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191—71.15</w:t>
      </w:r>
      <w:r>
        <w:rPr>
          <w:rFonts w:ascii="Times New Roman" w:hAnsi="Times New Roman"/>
          <w:b/>
          <w:i w:val="false"/>
          <w:color w:val="000000"/>
          <w:sz w:val="22"/>
        </w:rPr>
        <w:t xml:space="preserve">(513B) </w:t>
      </w:r>
      <w:r>
        <w:rPr>
          <w:rFonts w:ascii="Times New Roman" w:hAnsi="Times New Roman"/>
          <w:b/>
          <w:i w:val="false"/>
          <w:color w:val="000000"/>
          <w:sz w:val="22"/>
        </w:rPr>
        <w:t xml:space="preserve">Methods of counting creditable coverage.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71.15(1)</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reducing any preexisting condition exclusion period, a group health plan or a carrier offering group health insurance coverage shall determine the amount of an individual’s creditable coverage by using the standard method described in </w:t>
      </w:r>
      <w:hyperlink r:id="rId120">
        <w:r>
          <w:rPr>
            <w:rStyle w:val="Hyperlink"/>
            <w:rFonts w:ascii="Times New Roman" w:hAnsi="Times New Roman"/>
            <w:b w:val="false"/>
            <w:i w:val="false"/>
            <w:color w:val="000000"/>
            <w:sz w:val="22"/>
          </w:rPr>
          <w:t>subrule 71.15(2)</w:t>
        </w:r>
      </w:hyperlink>
      <w:r>
        <w:rPr>
          <w:rFonts w:ascii="Times New Roman" w:hAnsi="Times New Roman"/>
          <w:b w:val="false"/>
          <w:i w:val="false"/>
          <w:color w:val="000000"/>
          <w:sz w:val="22"/>
        </w:rPr>
        <w:t xml:space="preserve">, except that the plan or carrier may use the alternative method under </w:t>
      </w:r>
      <w:hyperlink r:id="rId121">
        <w:r>
          <w:rPr>
            <w:rStyle w:val="Hyperlink"/>
            <w:rFonts w:ascii="Times New Roman" w:hAnsi="Times New Roman"/>
            <w:b w:val="false"/>
            <w:i w:val="false"/>
            <w:color w:val="000000"/>
            <w:sz w:val="22"/>
          </w:rPr>
          <w:t>subrule 71.15(3)</w:t>
        </w:r>
      </w:hyperlink>
      <w:r>
        <w:rPr>
          <w:rFonts w:ascii="Times New Roman" w:hAnsi="Times New Roman"/>
          <w:b w:val="false"/>
          <w:i w:val="false"/>
          <w:color w:val="000000"/>
          <w:sz w:val="22"/>
        </w:rPr>
        <w:t xml:space="preserve"> with respect to any or all of the categories of benefits described under paragraph </w:t>
      </w:r>
      <w:hyperlink r:id="rId122">
        <w:r>
          <w:rPr>
            <w:rStyle w:val="Hyperlink"/>
            <w:rFonts w:ascii="Times New Roman" w:hAnsi="Times New Roman"/>
            <w:b w:val="false"/>
            <w:i w:val="false"/>
            <w:color w:val="000000"/>
            <w:sz w:val="22"/>
          </w:rPr>
          <w:t>71.15(3)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71.15(2)</w:t>
      </w:r>
      <w:r>
        <w:rPr>
          <w:rFonts w:ascii="Times New Roman" w:hAnsi="Times New Roman"/>
          <w:b w:val="false"/>
          <w:i w:val="false"/>
          <w:color w:val="000000"/>
          <w:sz w:val="22"/>
        </w:rPr>
        <w:t> </w:t>
      </w:r>
      <w:r>
        <w:rPr>
          <w:rFonts w:ascii="Times New Roman" w:hAnsi="Times New Roman"/>
          <w:b w:val="false"/>
          <w:i w:val="false"/>
          <w:color w:val="000000"/>
          <w:sz w:val="22"/>
        </w:rPr>
        <w:t>Under the standard method, a group health plan and a health insurance carrier offering group health insurance coverage shall determine the amount of creditable coverage without regard to the specific benefits included in the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purposes of reducing the preexisting condition exclusion period, a group health plan or a health insurance carrier offering group health insurance coverage shall determine the amount of creditable coverage by counting all the days that the individual has under one or more types of creditable coverage. If on a particular day, an individual has creditable coverage from more than one source, all the creditable coverage on that day is counted as one day. Further, any days in a waiting period for a plan or policy are not creditable coverage under the plan or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Days of creditable coverage that occur before a significant break in coverage are not required to be counted.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any other provision of paragraph </w:t>
      </w:r>
      <w:hyperlink r:id="rId123">
        <w:r>
          <w:rPr>
            <w:rStyle w:val="Hyperlink"/>
            <w:rFonts w:ascii="Times New Roman" w:hAnsi="Times New Roman"/>
            <w:b w:val="false"/>
            <w:i w:val="false"/>
            <w:color w:val="000000"/>
            <w:sz w:val="22"/>
          </w:rPr>
          <w:t>71.15(2)</w:t>
        </w:r>
      </w:hyperlink>
      <w:r>
        <w:rPr>
          <w:rFonts w:ascii="Times New Roman" w:hAnsi="Times New Roman"/>
          <w:b w:val="false"/>
          <w:i/>
          <w:color w:val="000000"/>
          <w:sz w:val="22"/>
        </w:rPr>
        <w:t>“b,”</w:t>
      </w:r>
      <w:r>
        <w:rPr>
          <w:rFonts w:ascii="Times New Roman" w:hAnsi="Times New Roman"/>
          <w:b w:val="false"/>
          <w:i w:val="false"/>
          <w:color w:val="000000"/>
          <w:sz w:val="22"/>
        </w:rPr>
        <w:t xml:space="preserve"> for purposes of reducing a preexisting condition exclusion period, a group health plan and a health insurance carrier offering group health insurance coverage may determine the amount of creditable coverage in any other manner that is at least as favorable to the individual as the method set forth in paragraph </w:t>
      </w:r>
      <w:hyperlink r:id="rId124">
        <w:r>
          <w:rPr>
            <w:rStyle w:val="Hyperlink"/>
            <w:rFonts w:ascii="Times New Roman" w:hAnsi="Times New Roman"/>
            <w:b w:val="false"/>
            <w:i w:val="false"/>
            <w:color w:val="000000"/>
            <w:sz w:val="22"/>
          </w:rPr>
          <w:t>71.15(2)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71.15(3)</w:t>
      </w:r>
      <w:r>
        <w:rPr>
          <w:rFonts w:ascii="Times New Roman" w:hAnsi="Times New Roman"/>
          <w:b w:val="false"/>
          <w:i w:val="false"/>
          <w:color w:val="000000"/>
          <w:sz w:val="22"/>
        </w:rPr>
        <w:t> </w:t>
      </w:r>
      <w:r>
        <w:rPr>
          <w:rFonts w:ascii="Times New Roman" w:hAnsi="Times New Roman"/>
          <w:b w:val="false"/>
          <w:i w:val="false"/>
          <w:color w:val="000000"/>
          <w:sz w:val="22"/>
        </w:rPr>
        <w:t xml:space="preserve">Under the alternative method, a group health plan or a health insurance carrier offering group health insurance coverage shall determine the amount of creditable coverage based on coverage within any category of benefits described in subparagraph </w:t>
      </w:r>
      <w:hyperlink r:id="rId125">
        <w:r>
          <w:rPr>
            <w:rStyle w:val="Hyperlink"/>
            <w:rFonts w:ascii="Times New Roman" w:hAnsi="Times New Roman"/>
            <w:b w:val="false"/>
            <w:i w:val="false"/>
            <w:color w:val="000000"/>
            <w:sz w:val="22"/>
          </w:rPr>
          <w:t>71.15(3)</w:t>
        </w:r>
      </w:hyperlink>
      <w:r>
        <w:rPr>
          <w:rFonts w:ascii="Times New Roman" w:hAnsi="Times New Roman"/>
          <w:b w:val="false"/>
          <w:i/>
          <w:color w:val="000000"/>
          <w:sz w:val="22"/>
        </w:rPr>
        <w:t>“b”</w:t>
      </w:r>
      <w:r>
        <w:rPr>
          <w:rFonts w:ascii="Times New Roman" w:hAnsi="Times New Roman"/>
          <w:b w:val="false"/>
          <w:i w:val="false"/>
          <w:color w:val="000000"/>
          <w:sz w:val="22"/>
        </w:rPr>
        <w:t xml:space="preserve">(2) and not based on coverage. The plan may apply a different preexisting condition exclusion period with respect to each category and may apply a different preexisting condition exclusion period for benefits that are not within any category. The creditable coverage determined for a category of benefits applies only for purposes of reducing the preexisting condition exclusion period with respect to that category. An individual’s creditable coverage for benefits that are not within any category for which the alternative method is being used is determined under the standard method of paragraph </w:t>
      </w:r>
      <w:hyperlink r:id="rId126">
        <w:r>
          <w:rPr>
            <w:rStyle w:val="Hyperlink"/>
            <w:rFonts w:ascii="Times New Roman" w:hAnsi="Times New Roman"/>
            <w:b w:val="false"/>
            <w:i w:val="false"/>
            <w:color w:val="000000"/>
            <w:sz w:val="22"/>
          </w:rPr>
          <w:t>71.15(3)</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plan or carrier using the alternative method is required to apply it uniformly to all participants and beneficiaries in the plan or policy. The use of the alternative method must be set forth in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alternative method for counting creditable coverage may be used for coverage for any of the following categories of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Mental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Substance abuse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Prescription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Dental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Vision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alternative method is used, the plan is required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State prominently that the plan is using the alternative method of counting creditable coverage in disclosure statements concerning the plan, and state this to each enrollee at the time of enrollment under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 in these statements a description of the effect of using the alternative method, including an identification of the category’s uses;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Under the alternative method, the group health plan or carrier counts creditable coverage within a category if any level of benefits is provided within the category.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3682C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191—71.16</w:t>
      </w:r>
      <w:r>
        <w:rPr>
          <w:rFonts w:ascii="Times New Roman" w:hAnsi="Times New Roman"/>
          <w:b/>
          <w:i w:val="false"/>
          <w:color w:val="000000"/>
          <w:sz w:val="22"/>
        </w:rPr>
        <w:t xml:space="preserve">(513B) </w:t>
      </w:r>
      <w:r>
        <w:rPr>
          <w:rFonts w:ascii="Times New Roman" w:hAnsi="Times New Roman"/>
          <w:b/>
          <w:i w:val="false"/>
          <w:color w:val="000000"/>
          <w:sz w:val="22"/>
        </w:rPr>
        <w:t xml:space="preserve">Certificates of creditable coverage.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71.16(1)</w:t>
      </w:r>
      <w:r>
        <w:rPr>
          <w:rFonts w:ascii="Times New Roman" w:hAnsi="Times New Roman"/>
          <w:b w:val="false"/>
          <w:i w:val="false"/>
          <w:color w:val="000000"/>
          <w:sz w:val="22"/>
        </w:rPr>
        <w:t> </w:t>
      </w:r>
      <w:r>
        <w:rPr>
          <w:rFonts w:ascii="Times New Roman" w:hAnsi="Times New Roman"/>
          <w:b w:val="false"/>
          <w:i w:val="false"/>
          <w:color w:val="000000"/>
          <w:sz w:val="22"/>
        </w:rPr>
        <w:t>Group health plans or carriers shall issue certificates of creditable coverage to persons losing coverage. A group health plan or carrier required to provide a certificate under this rule for an individual is deemed to have satisfied the certification requirements for that individual if another party provides the certificate, but only to the extent that information relating to the individual’s creditable coverage and waiting or affiliation period is provided by the other party. Certificates shall be issued within a reasonable amount of time following termination to employees and dependents: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Automatically upon the termination of an individual’s group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Automatically upon the termination of COBRA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request within 24 months after coverage ends.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71.16(2)</w:t>
      </w:r>
      <w:r>
        <w:rPr>
          <w:rFonts w:ascii="Times New Roman" w:hAnsi="Times New Roman"/>
          <w:b w:val="false"/>
          <w:i w:val="false"/>
          <w:color w:val="000000"/>
          <w:sz w:val="22"/>
        </w:rPr>
        <w:t> </w:t>
      </w:r>
      <w:r>
        <w:rPr>
          <w:rFonts w:ascii="Times New Roman" w:hAnsi="Times New Roman"/>
          <w:b w:val="false"/>
          <w:i w:val="false"/>
          <w:color w:val="000000"/>
          <w:sz w:val="22"/>
        </w:rPr>
        <w:t>Certificates in writing. Certificates of coverage must be in writing unless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requesting the certificate is not entitled to receive a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individual requests that the certificate be sent to another plan or carrier;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plan or carrier receiving the certificate agrees to accept the information through means other than a written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plan or carrier receiving the certificate receives the certificate within a reasonable amount of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71.16(3)</w:t>
      </w:r>
      <w:r>
        <w:rPr>
          <w:rFonts w:ascii="Times New Roman" w:hAnsi="Times New Roman"/>
          <w:b w:val="false"/>
          <w:i w:val="false"/>
          <w:color w:val="000000"/>
          <w:sz w:val="22"/>
        </w:rPr>
        <w:t> </w:t>
      </w:r>
      <w:r>
        <w:rPr>
          <w:rFonts w:ascii="Times New Roman" w:hAnsi="Times New Roman"/>
          <w:b w:val="false"/>
          <w:i w:val="false"/>
          <w:color w:val="000000"/>
          <w:sz w:val="22"/>
        </w:rPr>
        <w:t>Required information. The certificate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the certificate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of the group plan providing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the employee or dependent to whom the certificate applies, other relevant identifying information, and the name of the employee if the certificate is for a dependent;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plan administrator’s name,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telephone number to call for further information if different from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Either a statement that the person has at least 18 months’ creditable coverage without a significant break of coverage or the date any waiting period and creditable coverage began;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date creditable coverage ended or an indication that the coverage is in force.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71.16(4)</w:t>
      </w:r>
      <w:r>
        <w:rPr>
          <w:rFonts w:ascii="Times New Roman" w:hAnsi="Times New Roman"/>
          <w:b w:val="false"/>
          <w:i w:val="false"/>
          <w:color w:val="000000"/>
          <w:sz w:val="22"/>
        </w:rPr>
        <w:t> </w:t>
      </w:r>
      <w:r>
        <w:rPr>
          <w:rFonts w:ascii="Times New Roman" w:hAnsi="Times New Roman"/>
          <w:b w:val="false"/>
          <w:i w:val="false"/>
          <w:color w:val="000000"/>
          <w:sz w:val="22"/>
        </w:rPr>
        <w:t>Family information. Information for families may be combined on one certificate. Any differences in creditable coverages shall be clearly delineated.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71.16(5)</w:t>
      </w:r>
      <w:r>
        <w:rPr>
          <w:rFonts w:ascii="Times New Roman" w:hAnsi="Times New Roman"/>
          <w:b w:val="false"/>
          <w:i w:val="false"/>
          <w:color w:val="000000"/>
          <w:sz w:val="22"/>
        </w:rPr>
        <w:t> </w:t>
      </w:r>
      <w:r>
        <w:rPr>
          <w:rFonts w:ascii="Times New Roman" w:hAnsi="Times New Roman"/>
          <w:b w:val="false"/>
          <w:i w:val="false"/>
          <w:color w:val="000000"/>
          <w:sz w:val="22"/>
        </w:rPr>
        <w:t>Dependent coverage transition rule. A group health plan or carrier that does not maintain dependent data is deemed to have satisfied the requirement to issue dependent certificates by naming the employee and specifying that the coverage on the certificate is for dependent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71.16(6)</w:t>
      </w:r>
      <w:r>
        <w:rPr>
          <w:rFonts w:ascii="Times New Roman" w:hAnsi="Times New Roman"/>
          <w:b w:val="false"/>
          <w:i w:val="false"/>
          <w:color w:val="000000"/>
          <w:sz w:val="22"/>
        </w:rPr>
        <w:t> </w:t>
      </w:r>
      <w:r>
        <w:rPr>
          <w:rFonts w:ascii="Times New Roman" w:hAnsi="Times New Roman"/>
          <w:b w:val="false"/>
          <w:i w:val="false"/>
          <w:color w:val="000000"/>
          <w:sz w:val="22"/>
        </w:rPr>
        <w:t>Delivering certificates. The certificate shall be given to the individual, plan or carrier requesting the certificate. The certificates may be sent by first-class mail. When a dependent’s last-known address differs from the employee’s last-known address, a separate certificate shall be provided to the dependent at the dependent’s last-known address. Separate certificates may be mailed together to the same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71.16(7)</w:t>
      </w:r>
      <w:r>
        <w:rPr>
          <w:rFonts w:ascii="Times New Roman" w:hAnsi="Times New Roman"/>
          <w:b w:val="false"/>
          <w:i w:val="false"/>
          <w:color w:val="000000"/>
          <w:sz w:val="22"/>
        </w:rPr>
        <w:t> </w:t>
      </w:r>
      <w:r>
        <w:rPr>
          <w:rFonts w:ascii="Times New Roman" w:hAnsi="Times New Roman"/>
          <w:b w:val="false"/>
          <w:i w:val="false"/>
          <w:color w:val="000000"/>
          <w:sz w:val="22"/>
        </w:rPr>
        <w:t>A group health plan or carrier shall establish a procedure for individuals to request and receive certificates.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71.16(8)</w:t>
      </w:r>
      <w:r>
        <w:rPr>
          <w:rFonts w:ascii="Times New Roman" w:hAnsi="Times New Roman"/>
          <w:b w:val="false"/>
          <w:i w:val="false"/>
          <w:color w:val="000000"/>
          <w:sz w:val="22"/>
        </w:rPr>
        <w:t> </w:t>
      </w:r>
      <w:r>
        <w:rPr>
          <w:rFonts w:ascii="Times New Roman" w:hAnsi="Times New Roman"/>
          <w:b w:val="false"/>
          <w:i w:val="false"/>
          <w:color w:val="000000"/>
          <w:sz w:val="22"/>
        </w:rPr>
        <w:t>A certificate is not required to be furnished until the group health plan or carrier knows or should have known that dependent’s coverage terminated.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71.16(9)</w:t>
      </w:r>
      <w:r>
        <w:rPr>
          <w:rFonts w:ascii="Times New Roman" w:hAnsi="Times New Roman"/>
          <w:b w:val="false"/>
          <w:i w:val="false"/>
          <w:color w:val="000000"/>
          <w:sz w:val="22"/>
        </w:rPr>
        <w:t> </w:t>
      </w:r>
      <w:r>
        <w:rPr>
          <w:rFonts w:ascii="Times New Roman" w:hAnsi="Times New Roman"/>
          <w:b w:val="false"/>
          <w:i w:val="false"/>
          <w:color w:val="000000"/>
          <w:sz w:val="22"/>
        </w:rPr>
        <w:t>Demonstrating creditable coverage. An individual has the right to demonstrate creditable coverage, waiting periods, and affiliation periods when the accuracy of the certificate is contested or a certificate is unavailable. A group health plan or carrier shall consider information obtained by it or presented on behalf of an individual to determine whether the individual has creditable coverage.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3682C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191—71.17</w:t>
      </w:r>
      <w:r>
        <w:rPr>
          <w:rFonts w:ascii="Times New Roman" w:hAnsi="Times New Roman"/>
          <w:b/>
          <w:i w:val="false"/>
          <w:color w:val="000000"/>
          <w:sz w:val="22"/>
        </w:rPr>
        <w:t xml:space="preserve">(513B) </w:t>
      </w:r>
      <w:r>
        <w:rPr>
          <w:rFonts w:ascii="Times New Roman" w:hAnsi="Times New Roman"/>
          <w:b/>
          <w:i w:val="false"/>
          <w:color w:val="000000"/>
          <w:sz w:val="22"/>
        </w:rPr>
        <w:t xml:space="preserve">Notification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71.17(1)</w:t>
      </w:r>
      <w:r>
        <w:rPr>
          <w:rFonts w:ascii="Times New Roman" w:hAnsi="Times New Roman"/>
          <w:b w:val="false"/>
          <w:i w:val="false"/>
          <w:color w:val="000000"/>
          <w:sz w:val="22"/>
        </w:rPr>
        <w:t> </w:t>
      </w:r>
      <w:r>
        <w:rPr>
          <w:rFonts w:ascii="Times New Roman" w:hAnsi="Times New Roman"/>
          <w:b w:val="false"/>
          <w:i w:val="false"/>
          <w:color w:val="000000"/>
          <w:sz w:val="22"/>
        </w:rPr>
        <w:t>A group health plan or carrier shall provide written notice to the employee and dependents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existence of any preexisting condition exclusions.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length of time to which the exclusions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right of the employee or dependent to appeal a decision to impose a preexisting condition exclusion.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right of the person to demonstrate creditable coverage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right of the person to request a certificate from a prior group health plan or carrier;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statement that the current group health plan or carrier will assist in obtaining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That the group health plan or carrier will use the alternative method of counting creditable coverage;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Special enrollment rights when an employee declines coverage for the employee or dependents.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71.17(2)</w:t>
      </w:r>
      <w:r>
        <w:rPr>
          <w:rFonts w:ascii="Times New Roman" w:hAnsi="Times New Roman"/>
          <w:b w:val="false"/>
          <w:i w:val="false"/>
          <w:color w:val="000000"/>
          <w:sz w:val="22"/>
        </w:rPr>
        <w:t> </w:t>
      </w:r>
      <w:r>
        <w:rPr>
          <w:rFonts w:ascii="Times New Roman" w:hAnsi="Times New Roman"/>
          <w:b w:val="false"/>
          <w:i w:val="false"/>
          <w:color w:val="000000"/>
          <w:sz w:val="22"/>
        </w:rPr>
        <w:t>A group health plan or carrier shall provide written notice to the employee and dependents of the modification of a prior creditable coverage decision when the group health plan or carrier subsequently determines either no or less creditable coverage existed provided that the group health plan or carrier acts according to its initial determination until the final determination is made.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3682C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191—71.18</w:t>
      </w:r>
      <w:r>
        <w:rPr>
          <w:rFonts w:ascii="Times New Roman" w:hAnsi="Times New Roman"/>
          <w:b/>
          <w:i w:val="false"/>
          <w:color w:val="000000"/>
          <w:sz w:val="22"/>
        </w:rPr>
        <w:t xml:space="preserve">(513B) </w:t>
      </w:r>
      <w:r>
        <w:rPr>
          <w:rFonts w:ascii="Times New Roman" w:hAnsi="Times New Roman"/>
          <w:b/>
          <w:i w:val="false"/>
          <w:color w:val="000000"/>
          <w:sz w:val="22"/>
        </w:rPr>
        <w:t xml:space="preserve">Special enrollments.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71.18(1)</w:t>
      </w:r>
      <w:r>
        <w:rPr>
          <w:rFonts w:ascii="Times New Roman" w:hAnsi="Times New Roman"/>
          <w:b w:val="false"/>
          <w:i w:val="false"/>
          <w:color w:val="000000"/>
          <w:sz w:val="22"/>
        </w:rPr>
        <w:t> </w:t>
      </w:r>
      <w:r>
        <w:rPr>
          <w:rFonts w:ascii="Times New Roman" w:hAnsi="Times New Roman"/>
          <w:b w:val="false"/>
          <w:i w:val="false"/>
          <w:color w:val="000000"/>
          <w:sz w:val="22"/>
        </w:rPr>
        <w:t xml:space="preserve">A carrier shall permit individuals to enroll for coverage under terms of a health benefit plan, without regard to other enrollment dates permitted under the group health plan, if an eligible employee requests enrollment or, if the group health plan makes coverage available to dependents, on behalf of a dependent who is eligible but not enrolled under the group health plan, during the special enrollment period, which shall be 30 days following an event described in subrules </w:t>
      </w:r>
      <w:hyperlink r:id="rId127">
        <w:r>
          <w:rPr>
            <w:rStyle w:val="Hyperlink"/>
            <w:rFonts w:ascii="Times New Roman" w:hAnsi="Times New Roman"/>
            <w:b w:val="false"/>
            <w:i w:val="false"/>
            <w:color w:val="000000"/>
            <w:sz w:val="22"/>
          </w:rPr>
          <w:t>71.18(2)</w:t>
        </w:r>
      </w:hyperlink>
      <w:r>
        <w:rPr>
          <w:rFonts w:ascii="Times New Roman" w:hAnsi="Times New Roman"/>
          <w:b w:val="false"/>
          <w:i w:val="false"/>
          <w:color w:val="000000"/>
          <w:sz w:val="22"/>
        </w:rPr>
        <w:t xml:space="preserve"> and </w:t>
      </w:r>
      <w:hyperlink r:id="rId128">
        <w:r>
          <w:rPr>
            <w:rStyle w:val="Hyperlink"/>
            <w:rFonts w:ascii="Times New Roman" w:hAnsi="Times New Roman"/>
            <w:b w:val="false"/>
            <w:i w:val="false"/>
            <w:color w:val="000000"/>
            <w:sz w:val="22"/>
          </w:rPr>
          <w:t>71.18(3)</w:t>
        </w:r>
      </w:hyperlink>
      <w:r>
        <w:rPr>
          <w:rFonts w:ascii="Times New Roman" w:hAnsi="Times New Roman"/>
          <w:b w:val="false"/>
          <w:i w:val="false"/>
          <w:color w:val="000000"/>
          <w:sz w:val="22"/>
        </w:rPr>
        <w:t xml:space="preserve"> with respect to the individual for whom enrollment is requested. A carrier may impose enrollment requirements that are otherwise applicable under terms of the group health plan to individuals requesting immediate enrollment.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71.18(2)</w:t>
      </w:r>
      <w:r>
        <w:rPr>
          <w:rFonts w:ascii="Times New Roman" w:hAnsi="Times New Roman"/>
          <w:b w:val="false"/>
          <w:i w:val="false"/>
          <w:color w:val="000000"/>
          <w:sz w:val="22"/>
        </w:rPr>
        <w:t> </w:t>
      </w:r>
      <w:r>
        <w:rPr>
          <w:rFonts w:ascii="Times New Roman" w:hAnsi="Times New Roman"/>
          <w:b w:val="false"/>
          <w:i w:val="false"/>
          <w:color w:val="000000"/>
          <w:sz w:val="22"/>
        </w:rPr>
        <w:t>An individual, who previously had other coverage for medical care and for whom an eligible employee declined coverage under the group health plan, may be enrolled during a special enrollment period if the individual has lost the other coverage for medical care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required by the group health plan, the eligible employee stated in writing when declining the coverage, after being given a notice of the requirement form, and the consequences of failure to submit a written statement that coverage was declined because the individual had coverage for medical care under another group health plan or otherwise;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enrollment was declined for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 had coverage other than under a COBRA continuation provision and the coverage has been exhausted;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individual had coverage other than under a COBRA continuation provision and the coverage has been terminated due to loss of eligibility for the coverage, including loss of coverage as a result of legal separation, divorce, death, termination of employment, reduction in the number of hours of employment and any loss of eligibility after a period that is measured by reference to any of the foregoing, or termination of employer contributions toward the other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this subparagraph </w:t>
      </w:r>
      <w:hyperlink r:id="rId129">
        <w:r>
          <w:rPr>
            <w:rStyle w:val="Hyperlink"/>
            <w:rFonts w:ascii="Times New Roman" w:hAnsi="Times New Roman"/>
            <w:b w:val="false"/>
            <w:i w:val="false"/>
            <w:color w:val="000000"/>
            <w:sz w:val="22"/>
          </w:rPr>
          <w:t>71.18(2)</w:t>
        </w:r>
      </w:hyperlink>
      <w:r>
        <w:rPr>
          <w:rFonts w:ascii="Times New Roman" w:hAnsi="Times New Roman"/>
          <w:b w:val="false"/>
          <w:i/>
          <w:color w:val="000000"/>
          <w:sz w:val="22"/>
        </w:rPr>
        <w:t>“b”</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Loss of eligibility for the coverages does not include loss of eligibility due to the eligible employee’s or dependent’s failure to make timely premium payments or termination of coverage for cause such as making a fraudulent claim or intentional misrepresentation of material fact in connection with the group health plan;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Employer contributions include contributions by any current or former employer of the individual or another person that was contributing to coverage for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Exhaustion of COBRA continuation coverage means that an individual’s COBRA continuation coverage ceases for any reason other than either failure of the individual to pay premiums on a timely basis, or for cause, such as making a fraudulent claim or an intentional misrepresentation of a material fact in connection with the plan. An individual is considered to have exhausted COBRA continuation coverage if the coverage ceases.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71.18(3)</w:t>
      </w:r>
      <w:r>
        <w:rPr>
          <w:rFonts w:ascii="Times New Roman" w:hAnsi="Times New Roman"/>
          <w:b w:val="false"/>
          <w:i w:val="false"/>
          <w:color w:val="000000"/>
          <w:sz w:val="22"/>
        </w:rPr>
        <w:t> </w:t>
      </w:r>
      <w:r>
        <w:rPr>
          <w:rFonts w:ascii="Times New Roman" w:hAnsi="Times New Roman"/>
          <w:b w:val="false"/>
          <w:i w:val="false"/>
          <w:color w:val="000000"/>
          <w:sz w:val="22"/>
        </w:rPr>
        <w:t>If the eligible employee has previously declined enrollment under the group health plan but acquires a dependent through marriage, birth, adoption or placement for adoption, the eligible employee or dependent may be enrolled during the special enrollment period with respect to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71.18(4)</w:t>
      </w:r>
      <w:r>
        <w:rPr>
          <w:rFonts w:ascii="Times New Roman" w:hAnsi="Times New Roman"/>
          <w:b w:val="false"/>
          <w:i w:val="false"/>
          <w:color w:val="000000"/>
          <w:sz w:val="22"/>
        </w:rPr>
        <w:t> </w:t>
      </w:r>
      <w:r>
        <w:rPr>
          <w:rFonts w:ascii="Times New Roman" w:hAnsi="Times New Roman"/>
          <w:b w:val="false"/>
          <w:i w:val="false"/>
          <w:color w:val="000000"/>
          <w:sz w:val="22"/>
        </w:rPr>
        <w:t>Enrollment of the eligible employee or dependent is effective not later than the first day of the calendar month or, for a newborn or adopted child, on the date of birth, adoption, or placement for adoption.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3682C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191—71.19</w:t>
      </w:r>
      <w:r>
        <w:rPr>
          <w:rFonts w:ascii="Times New Roman" w:hAnsi="Times New Roman"/>
          <w:b/>
          <w:i w:val="false"/>
          <w:color w:val="000000"/>
          <w:sz w:val="22"/>
        </w:rPr>
        <w:t xml:space="preserve">(513B) </w:t>
      </w:r>
      <w:r>
        <w:rPr>
          <w:rFonts w:ascii="Times New Roman" w:hAnsi="Times New Roman"/>
          <w:b/>
          <w:i w:val="false"/>
          <w:color w:val="000000"/>
          <w:sz w:val="22"/>
        </w:rPr>
        <w:t xml:space="preserve">Disclosure requirements. </w:t>
      </w:r>
      <w:r>
        <w:rPr>
          <w:rFonts w:ascii="Times New Roman" w:hAnsi="Times New Roman"/>
          <w:b w:val="false"/>
          <w:i w:val="false"/>
          <w:color w:val="000000"/>
          <w:sz w:val="22"/>
        </w:rPr>
        <w:t>All carriers shall include in contracts and evidence of coverage forms a statement disclosing the existence of any drug formularies. Upon request, a carrier offering health insurance coverage that includes a prescription drug formulary shall inform enrollees of the coverage, and prospective enrollees of the coverage during any open enrollment period, whether a prescription drug specified in the request is included in such formulary.</w:t>
      </w:r>
    </w:p>
    <w:p>
      <w:pPr>
        <w:spacing w:before="0" w:after="0"/>
        <w:ind w:left="120"/>
        <w:jc w:val="both"/>
      </w:pPr>
      <w:r>
        <w:rPr>
          <w:rFonts w:ascii="Times New Roman" w:hAnsi="Times New Roman"/>
          <w:b w:val="false"/>
          <w:i w:val="false"/>
          <w:color w:val="000000"/>
          <w:sz w:val="22"/>
        </w:rPr>
        <w:t>All carriers shall also disclose the existence of any contractual arrangements providing rebates received by them for prescription drugs or durable medical equipment. Durable medical equipment means equipment that can stand repeated use and is primarily and customarily used to serve a medical purpose and is generally not useful to a person who is not sick or injured or used by other family members and is appropriate for home use for the purpose of improving bodily functions or preventing further deterioration of the medical condition caused by sickness or injury.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3682C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191—71.20</w:t>
      </w:r>
      <w:r>
        <w:rPr>
          <w:rFonts w:ascii="Times New Roman" w:hAnsi="Times New Roman"/>
          <w:b/>
          <w:i w:val="false"/>
          <w:color w:val="000000"/>
          <w:sz w:val="22"/>
        </w:rPr>
        <w:t xml:space="preserve">(514C) </w:t>
      </w:r>
      <w:r>
        <w:rPr>
          <w:rFonts w:ascii="Times New Roman" w:hAnsi="Times New Roman"/>
          <w:b/>
          <w:i w:val="false"/>
          <w:color w:val="000000"/>
          <w:sz w:val="22"/>
        </w:rPr>
        <w:t xml:space="preserve">Treatment options.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71.20(1)</w:t>
      </w:r>
      <w:r>
        <w:rPr>
          <w:rFonts w:ascii="Times New Roman" w:hAnsi="Times New Roman"/>
          <w:b w:val="false"/>
          <w:i w:val="false"/>
          <w:color w:val="000000"/>
          <w:sz w:val="22"/>
        </w:rPr>
        <w:t> </w:t>
      </w:r>
      <w:r>
        <w:rPr>
          <w:rFonts w:ascii="Times New Roman" w:hAnsi="Times New Roman"/>
          <w:b w:val="false"/>
          <w:i w:val="false"/>
          <w:color w:val="000000"/>
          <w:sz w:val="22"/>
        </w:rPr>
        <w:t>A carrier shall not prohibit a participating provider from or penalize a participating provider for discussing treatment options with covered persons, irrespective of the carrier’s position on the treatment options, or from advocating on behalf of covered persons within the utilization review or grievance processes established by the carrier or a person contracting with the carrier.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71.20(2)</w:t>
      </w:r>
      <w:r>
        <w:rPr>
          <w:rFonts w:ascii="Times New Roman" w:hAnsi="Times New Roman"/>
          <w:b w:val="false"/>
          <w:i w:val="false"/>
          <w:color w:val="000000"/>
          <w:sz w:val="22"/>
        </w:rPr>
        <w:t> </w:t>
      </w:r>
      <w:r>
        <w:rPr>
          <w:rFonts w:ascii="Times New Roman" w:hAnsi="Times New Roman"/>
          <w:b w:val="false"/>
          <w:i w:val="false"/>
          <w:color w:val="000000"/>
          <w:sz w:val="22"/>
        </w:rPr>
        <w:t>A carrier shall not penalize a provider because the provider, in good faith, reports to state or federal authorities any act or practice by the carrier that, in the opinion of the provider, jeopardizes patient health or welfare.</w:t>
      </w:r>
    </w:p>
    <w:p>
      <w:pPr>
        <w:spacing w:before="0" w:after="0"/>
        <w:ind w:left="120"/>
        <w:jc w:val="both"/>
      </w:pPr>
      <w:r>
        <w:rPr>
          <w:rFonts w:ascii="Times New Roman" w:hAnsi="Times New Roman"/>
          <w:b/>
          <w:i w:val="false"/>
          <w:color w:val="000000"/>
          <w:sz w:val="22"/>
        </w:rPr>
        <w:t>191—71.21</w:t>
      </w:r>
      <w:r>
        <w:rPr>
          <w:rFonts w:ascii="Times New Roman" w:hAnsi="Times New Roman"/>
          <w:b/>
          <w:i w:val="false"/>
          <w:color w:val="000000"/>
          <w:sz w:val="22"/>
        </w:rPr>
        <w:t xml:space="preserve">(514C) </w:t>
      </w:r>
      <w:r>
        <w:rPr>
          <w:rFonts w:ascii="Times New Roman" w:hAnsi="Times New Roman"/>
          <w:b/>
          <w:i w:val="false"/>
          <w:color w:val="000000"/>
          <w:sz w:val="22"/>
        </w:rPr>
        <w:t xml:space="preserve">Emergency services. </w:t>
      </w:r>
      <w:r>
        <w:rPr>
          <w:rFonts w:ascii="Times New Roman" w:hAnsi="Times New Roman"/>
          <w:b w:val="false"/>
          <w:i w:val="false"/>
          <w:color w:val="000000"/>
          <w:sz w:val="22"/>
        </w:rPr>
        <w:t>Benefits shall be available by the carrier for inpatient and outpatient emergency services. A physician and sufficient other licensed and ancillary personnel shall be readily available at all times to render such services. Since carriers may not contract with every emergency care provider in an area, carriers shall make every effort to inform members of participating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71.21(1)</w:t>
      </w:r>
      <w:r>
        <w:rPr>
          <w:rFonts w:ascii="Times New Roman" w:hAnsi="Times New Roman"/>
          <w:b w:val="false"/>
          <w:i w:val="false"/>
          <w:color w:val="000000"/>
          <w:sz w:val="22"/>
        </w:rPr>
        <w:t> </w:t>
      </w:r>
      <w:r>
        <w:rPr>
          <w:rFonts w:ascii="Times New Roman" w:hAnsi="Times New Roman"/>
          <w:b w:val="false"/>
          <w:i w:val="false"/>
          <w:color w:val="000000"/>
          <w:sz w:val="22"/>
        </w:rPr>
        <w:t>The term “emergency services” means, with respect to an individual enrolled with an organization, covered inpatient and outpatient services that are furnished by a provider who is qualified to furnish the services that are needed to evaluate or stabilize an emergency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71.21(2)</w:t>
      </w:r>
      <w:r>
        <w:rPr>
          <w:rFonts w:ascii="Times New Roman" w:hAnsi="Times New Roman"/>
          <w:b w:val="false"/>
          <w:i w:val="false"/>
          <w:color w:val="000000"/>
          <w:sz w:val="22"/>
        </w:rPr>
        <w:t> </w:t>
      </w:r>
      <w:r>
        <w:rPr>
          <w:rFonts w:ascii="Times New Roman" w:hAnsi="Times New Roman"/>
          <w:b w:val="false"/>
          <w:i w:val="false"/>
          <w:color w:val="000000"/>
          <w:sz w:val="22"/>
        </w:rPr>
        <w:t>The term “emergency medical condition” means a medical condition manifesting itself by symptoms of sufficient severity, including but not limited to severe pain, that an ordinarily prudent layperson, who possesses an average knowledge of health and medicine, could reasonably expect the absence of immediate medical attention to result in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Placing the health of the individual or, with respect to a pregnant woman, the health of the woman and her unborn child in serious jeopardy;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Serious impairment to bodily function;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Serious dysfunction of any bodily organ or part.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71.21(3)</w:t>
      </w:r>
      <w:r>
        <w:rPr>
          <w:rFonts w:ascii="Times New Roman" w:hAnsi="Times New Roman"/>
          <w:b w:val="false"/>
          <w:i w:val="false"/>
          <w:color w:val="000000"/>
          <w:sz w:val="22"/>
        </w:rPr>
        <w:t> </w:t>
      </w:r>
      <w:r>
        <w:rPr>
          <w:rFonts w:ascii="Times New Roman" w:hAnsi="Times New Roman"/>
          <w:b w:val="false"/>
          <w:i w:val="false"/>
          <w:color w:val="000000"/>
          <w:sz w:val="22"/>
        </w:rPr>
        <w:t>Reimbursement to a provider of “emergency services” shall not be denied by any carrier without that organization’s review of the patient’s medical history, presenting symptoms, and admitting or initial as well as final diagnosis, submitted by the provider, in determining whether, by definition, emergency services could reasonably have been expected to be provided. Reimbursement for emergency services shall not be denied solely on the grounds that services were performed by a noncontracted provider. If reimbursement for emergency services is denied, the enrollee may file a complaint. Upon denial of reimbursement for emergency services, the carrier shall notify the enrollee and the provider that they may register a complaint with the commissioner of insurance.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3682C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191—71.22</w:t>
      </w:r>
      <w:r>
        <w:rPr>
          <w:rFonts w:ascii="Times New Roman" w:hAnsi="Times New Roman"/>
          <w:b/>
          <w:i w:val="false"/>
          <w:color w:val="000000"/>
          <w:sz w:val="22"/>
        </w:rPr>
        <w:t xml:space="preserve">(514C) </w:t>
      </w:r>
      <w:r>
        <w:rPr>
          <w:rFonts w:ascii="Times New Roman" w:hAnsi="Times New Roman"/>
          <w:b/>
          <w:i w:val="false"/>
          <w:color w:val="000000"/>
          <w:sz w:val="22"/>
        </w:rPr>
        <w:t xml:space="preserve">Provider access. </w:t>
      </w:r>
      <w:r>
        <w:rPr>
          <w:rFonts w:ascii="Times New Roman" w:hAnsi="Times New Roman"/>
          <w:b w:val="false"/>
          <w:i w:val="false"/>
          <w:color w:val="000000"/>
          <w:sz w:val="22"/>
        </w:rPr>
        <w:t>A carrier shall allow a female enrollee direct access to obstetrical or gynecological services from network and participating providers. The plan shall also allow a pediatrician to be the primary care provider for a child through the age of 18.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6121C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30">
        <w:r>
          <w:rPr>
            <w:rStyle w:val="Hyperlink"/>
            <w:rFonts w:ascii="Times New Roman" w:hAnsi="Times New Roman"/>
            <w:b w:val="false"/>
            <w:i w:val="false"/>
            <w:color w:val="000000"/>
            <w:sz w:val="22"/>
          </w:rPr>
          <w:t>513B</w:t>
        </w:r>
      </w:hyperlink>
      <w:r>
        <w:rPr>
          <w:rFonts w:ascii="Times New Roman" w:hAnsi="Times New Roman"/>
          <w:b w:val="false"/>
          <w:i w:val="false"/>
          <w:color w:val="000000"/>
          <w:sz w:val="22"/>
        </w:rPr>
        <w:t xml:space="preserve"> and </w:t>
      </w:r>
      <w:hyperlink r:id="rId131">
        <w:r>
          <w:rPr>
            <w:rStyle w:val="Hyperlink"/>
            <w:rFonts w:ascii="Times New Roman" w:hAnsi="Times New Roman"/>
            <w:b w:val="false"/>
            <w:i w:val="false"/>
            <w:color w:val="000000"/>
            <w:sz w:val="22"/>
          </w:rPr>
          <w:t>514C</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191—71.23</w:t>
      </w:r>
      <w:r>
        <w:rPr>
          <w:rFonts w:ascii="Times New Roman" w:hAnsi="Times New Roman"/>
          <w:b/>
          <w:i w:val="false"/>
          <w:color w:val="000000"/>
          <w:sz w:val="22"/>
        </w:rPr>
        <w:t xml:space="preserve">(513B) </w:t>
      </w:r>
      <w:r>
        <w:rPr>
          <w:rFonts w:ascii="Times New Roman" w:hAnsi="Times New Roman"/>
          <w:b/>
          <w:i w:val="false"/>
          <w:color w:val="000000"/>
          <w:sz w:val="22"/>
        </w:rPr>
        <w:t xml:space="preserve">Reconstructive surgery.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71.23(1)</w:t>
      </w:r>
      <w:r>
        <w:rPr>
          <w:rFonts w:ascii="Times New Roman" w:hAnsi="Times New Roman"/>
          <w:b w:val="false"/>
          <w:i w:val="false"/>
          <w:color w:val="000000"/>
          <w:sz w:val="22"/>
        </w:rPr>
        <w:t> </w:t>
      </w:r>
      <w:r>
        <w:rPr>
          <w:rFonts w:ascii="Times New Roman" w:hAnsi="Times New Roman"/>
          <w:b w:val="false"/>
          <w:i w:val="false"/>
          <w:color w:val="000000"/>
          <w:sz w:val="22"/>
        </w:rPr>
        <w:t>A carrier that provides medical and surgical benefits with respect to a mastectomy shall provide the following coverage in the event an enrollee receives benefits in connection with a mastectomy and elects breast reconstruction: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Reconstruction of the breast on which the mastectomy has been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Surgery and reconstruction of the other breast to produce a symmetrical appearance;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Prostheses and coverage of physical complications at all stages of a mastectomy including lymphedemas.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71.23(2)</w:t>
      </w:r>
      <w:r>
        <w:rPr>
          <w:rFonts w:ascii="Times New Roman" w:hAnsi="Times New Roman"/>
          <w:b w:val="false"/>
          <w:i w:val="false"/>
          <w:color w:val="000000"/>
          <w:sz w:val="22"/>
        </w:rPr>
        <w:t> </w:t>
      </w:r>
      <w:r>
        <w:rPr>
          <w:rFonts w:ascii="Times New Roman" w:hAnsi="Times New Roman"/>
          <w:b w:val="false"/>
          <w:i w:val="false"/>
          <w:color w:val="000000"/>
          <w:sz w:val="22"/>
        </w:rPr>
        <w:t>The benefits under this rule shall be provided in a manner determined in consultation with the attending physician and the enrollee. The coverage may be subject to annual deductibles and coinsurance provisions that are consistent with other benefits under the plan or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71.23(3)</w:t>
      </w:r>
      <w:r>
        <w:rPr>
          <w:rFonts w:ascii="Times New Roman" w:hAnsi="Times New Roman"/>
          <w:b w:val="false"/>
          <w:i w:val="false"/>
          <w:color w:val="000000"/>
          <w:sz w:val="22"/>
        </w:rPr>
        <w:t> </w:t>
      </w:r>
      <w:r>
        <w:rPr>
          <w:rFonts w:ascii="Times New Roman" w:hAnsi="Times New Roman"/>
          <w:b w:val="false"/>
          <w:i w:val="false"/>
          <w:color w:val="000000"/>
          <w:sz w:val="22"/>
        </w:rPr>
        <w:t>Written notice of the availability of coverage in this rule shall be provided to the enrollee upon enrollment and then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71.23(4)</w:t>
      </w:r>
      <w:r>
        <w:rPr>
          <w:rFonts w:ascii="Times New Roman" w:hAnsi="Times New Roman"/>
          <w:b w:val="false"/>
          <w:i w:val="false"/>
          <w:color w:val="000000"/>
          <w:sz w:val="22"/>
        </w:rPr>
        <w:t> </w:t>
      </w:r>
      <w:r>
        <w:rPr>
          <w:rFonts w:ascii="Times New Roman" w:hAnsi="Times New Roman"/>
          <w:b w:val="false"/>
          <w:i w:val="false"/>
          <w:color w:val="000000"/>
          <w:sz w:val="22"/>
        </w:rPr>
        <w:t>A carrier shall not deny an enrollee eligibility or continued eligibility to enroll or renew coverage under the terms of the health insurance solely for the purpose of avoiding the requirements of this rule. A carrier shall not penalize, reduce or limit the reimbursement of an attending provider or induce the provider to provide care in a manner inconsistent with this rule.</w:t>
      </w:r>
    </w:p>
    <w:p>
      <w:pPr>
        <w:spacing w:before="0" w:after="0"/>
        <w:ind w:left="120"/>
        <w:jc w:val="both"/>
      </w:pPr>
      <w:r>
        <w:rPr>
          <w:rFonts w:ascii="Times New Roman" w:hAnsi="Times New Roman"/>
          <w:b w:val="false"/>
          <w:i w:val="false"/>
          <w:color w:val="000000"/>
          <w:sz w:val="22"/>
        </w:rPr>
        <w:t xml:space="preserve">This rule is intended to implement </w:t>
      </w:r>
      <w:r>
        <w:rPr>
          <w:rFonts w:ascii="Times New Roman" w:hAnsi="Times New Roman"/>
          <w:b w:val="false"/>
          <w:i w:val="false"/>
          <w:color w:val="000000"/>
          <w:sz w:val="22"/>
        </w:rPr>
        <w:t>Public Law 105-277</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3682C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191—71.24</w:t>
      </w:r>
      <w:r>
        <w:rPr>
          <w:rFonts w:ascii="Times New Roman" w:hAnsi="Times New Roman"/>
          <w:b/>
          <w:i w:val="false"/>
          <w:color w:val="000000"/>
          <w:sz w:val="22"/>
        </w:rPr>
        <w:t xml:space="preserve">(514C) </w:t>
      </w:r>
      <w:r>
        <w:rPr>
          <w:rFonts w:ascii="Times New Roman" w:hAnsi="Times New Roman"/>
          <w:b/>
          <w:i w:val="false"/>
          <w:color w:val="000000"/>
          <w:sz w:val="22"/>
        </w:rPr>
        <w:t xml:space="preserve">Contraceptive coverage.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71.24(1)</w:t>
      </w:r>
      <w:r>
        <w:rPr>
          <w:rFonts w:ascii="Times New Roman" w:hAnsi="Times New Roman"/>
          <w:b w:val="false"/>
          <w:i w:val="false"/>
          <w:color w:val="000000"/>
          <w:sz w:val="22"/>
        </w:rPr>
        <w:t> </w:t>
      </w:r>
      <w:r>
        <w:rPr>
          <w:rFonts w:ascii="Times New Roman" w:hAnsi="Times New Roman"/>
          <w:b w:val="false"/>
          <w:i w:val="false"/>
          <w:color w:val="000000"/>
          <w:sz w:val="22"/>
        </w:rPr>
        <w:t>A carrier that provides benefits for outpatient prescription drugs or devices shall provide benefits for prescription contraceptive drugs or prescription contraceptive devices which prevent conception and are approved by the United States Food and Drug Administration or generic equivalents approved as substitutable by the United States Food and Drug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71.24(2)</w:t>
      </w:r>
      <w:r>
        <w:rPr>
          <w:rFonts w:ascii="Times New Roman" w:hAnsi="Times New Roman"/>
          <w:b w:val="false"/>
          <w:i w:val="false"/>
          <w:color w:val="000000"/>
          <w:sz w:val="22"/>
        </w:rPr>
        <w:t> </w:t>
      </w:r>
      <w:r>
        <w:rPr>
          <w:rFonts w:ascii="Times New Roman" w:hAnsi="Times New Roman"/>
          <w:b w:val="false"/>
          <w:i w:val="false"/>
          <w:color w:val="000000"/>
          <w:sz w:val="22"/>
        </w:rPr>
        <w:t>A carrier is not required to provide benefits for over-the-counter contraceptive drugs or contraceptive devices that do not require a prescription for purchase.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71.24(3)</w:t>
      </w:r>
      <w:r>
        <w:rPr>
          <w:rFonts w:ascii="Times New Roman" w:hAnsi="Times New Roman"/>
          <w:b w:val="false"/>
          <w:i w:val="false"/>
          <w:color w:val="000000"/>
          <w:sz w:val="22"/>
        </w:rPr>
        <w:t> </w:t>
      </w:r>
      <w:r>
        <w:rPr>
          <w:rFonts w:ascii="Times New Roman" w:hAnsi="Times New Roman"/>
          <w:b w:val="false"/>
          <w:i w:val="false"/>
          <w:color w:val="000000"/>
          <w:sz w:val="22"/>
        </w:rPr>
        <w:t>A contraceptive drug or contraceptive device does not include surgical services intended for sterilization, including, but not limited to, tubal ligation or vasectomy.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71.24(4)</w:t>
      </w:r>
      <w:r>
        <w:rPr>
          <w:rFonts w:ascii="Times New Roman" w:hAnsi="Times New Roman"/>
          <w:b w:val="false"/>
          <w:i w:val="false"/>
          <w:color w:val="000000"/>
          <w:sz w:val="22"/>
        </w:rPr>
        <w:t> </w:t>
      </w:r>
      <w:r>
        <w:rPr>
          <w:rFonts w:ascii="Times New Roman" w:hAnsi="Times New Roman"/>
          <w:b w:val="false"/>
          <w:i w:val="false"/>
          <w:color w:val="000000"/>
          <w:sz w:val="22"/>
        </w:rPr>
        <w:t>A carrier shall be required to provide benefits for services related to outpatient contraceptive services for the purpose of preventing conception if the policy or contract provides benefits for other outpatient services provided by a health care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71.24(5)</w:t>
      </w:r>
      <w:r>
        <w:rPr>
          <w:rFonts w:ascii="Times New Roman" w:hAnsi="Times New Roman"/>
          <w:b w:val="false"/>
          <w:i w:val="false"/>
          <w:color w:val="000000"/>
          <w:sz w:val="22"/>
        </w:rPr>
        <w:t> </w:t>
      </w:r>
      <w:r>
        <w:rPr>
          <w:rFonts w:ascii="Times New Roman" w:hAnsi="Times New Roman"/>
          <w:b w:val="false"/>
          <w:i w:val="false"/>
          <w:color w:val="000000"/>
          <w:sz w:val="22"/>
        </w:rPr>
        <w:t>If a carrier does not provide benefits for a routine physical examination, the carrier is not required to provide benefits for a routine physical examination provided in the course of prescribing a contraceptive drug or contraceptive device.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2">
        <w:r>
          <w:rPr>
            <w:rStyle w:val="Hyperlink"/>
            <w:rFonts w:ascii="Times New Roman" w:hAnsi="Times New Roman"/>
            <w:b w:val="false"/>
            <w:i w:val="false"/>
            <w:color w:val="000000"/>
            <w:sz w:val="22"/>
          </w:rPr>
          <w:t>514C.19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3682C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191—71.25</w:t>
      </w:r>
      <w:r>
        <w:rPr>
          <w:rFonts w:ascii="Times New Roman" w:hAnsi="Times New Roman"/>
          <w:b/>
          <w:i w:val="false"/>
          <w:color w:val="000000"/>
          <w:sz w:val="22"/>
        </w:rPr>
        <w:t xml:space="preserve">(513B) </w:t>
      </w:r>
      <w:r>
        <w:rPr>
          <w:rFonts w:ascii="Times New Roman" w:hAnsi="Times New Roman"/>
          <w:b/>
          <w:i w:val="false"/>
          <w:color w:val="000000"/>
          <w:sz w:val="22"/>
        </w:rPr>
        <w:t xml:space="preserve">Suspension of the small employer health reinsurance program. </w:t>
      </w:r>
      <w:r>
        <w:rPr>
          <w:rFonts w:ascii="Times New Roman" w:hAnsi="Times New Roman"/>
          <w:b w:val="false"/>
          <w:i w:val="false"/>
          <w:color w:val="000000"/>
          <w:sz w:val="22"/>
        </w:rPr>
        <w:t xml:space="preserve">Upon the recommendation of the board of directors of the Iowa small employer health reinsurance program and the findings of the commissioner that the operation of the Iowa small employer health reinsurance program pursuant to Iowa Code chapter </w:t>
      </w:r>
      <w:hyperlink r:id="rId133">
        <w:r>
          <w:rPr>
            <w:rStyle w:val="Hyperlink"/>
            <w:rFonts w:ascii="Times New Roman" w:hAnsi="Times New Roman"/>
            <w:b w:val="false"/>
            <w:i w:val="false"/>
            <w:color w:val="000000"/>
            <w:sz w:val="22"/>
          </w:rPr>
          <w:t>513B</w:t>
        </w:r>
      </w:hyperlink>
      <w:r>
        <w:rPr>
          <w:rFonts w:ascii="Times New Roman" w:hAnsi="Times New Roman"/>
          <w:b w:val="false"/>
          <w:i w:val="false"/>
          <w:color w:val="000000"/>
          <w:sz w:val="22"/>
        </w:rPr>
        <w:t xml:space="preserve"> is not currently cost-effective, the commissioner suspends the operation of the program, effective January 30, 2004, until further notice. After the effective date of the suspension, the program may continue its administration with regard to handling claims and refunds related to activities prior to the suspension as well as other administrative matters.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4">
        <w:r>
          <w:rPr>
            <w:rStyle w:val="Hyperlink"/>
            <w:rFonts w:ascii="Times New Roman" w:hAnsi="Times New Roman"/>
            <w:b w:val="false"/>
            <w:i w:val="false"/>
            <w:color w:val="000000"/>
            <w:sz w:val="22"/>
          </w:rPr>
          <w:t>513B.13(14)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191—71.26</w:t>
      </w:r>
      <w:r>
        <w:rPr>
          <w:rFonts w:ascii="Times New Roman" w:hAnsi="Times New Roman"/>
          <w:b/>
          <w:i w:val="false"/>
          <w:color w:val="000000"/>
          <w:sz w:val="22"/>
        </w:rPr>
        <w:t xml:space="preserve">(513B) </w:t>
      </w:r>
      <w:r>
        <w:rPr>
          <w:rFonts w:ascii="Times New Roman" w:hAnsi="Times New Roman"/>
          <w:b/>
          <w:i w:val="false"/>
          <w:color w:val="000000"/>
          <w:sz w:val="22"/>
        </w:rPr>
        <w:t xml:space="preserve">Uniform health insurance application form.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71.26(1)</w:t>
      </w:r>
      <w:r>
        <w:rPr>
          <w:rFonts w:ascii="Times New Roman" w:hAnsi="Times New Roman"/>
          <w:b w:val="false"/>
          <w:i w:val="false"/>
          <w:color w:val="000000"/>
          <w:sz w:val="22"/>
        </w:rPr>
        <w:t> </w:t>
      </w:r>
      <w:r>
        <w:rPr>
          <w:rFonts w:ascii="Times New Roman" w:hAnsi="Times New Roman"/>
          <w:b w:val="false"/>
          <w:i w:val="false"/>
          <w:color w:val="000000"/>
          <w:sz w:val="22"/>
        </w:rPr>
        <w:t>Small employer carriers shall use the small employer uniform health insurance application form as the only acceptable form when small employers apply for new health insurance coverage from small employer carriers. Small employer carriers shall implement procedures and policies necessary to use the small employer uniform health insurance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71.26(2)</w:t>
      </w:r>
      <w:r>
        <w:rPr>
          <w:rFonts w:ascii="Times New Roman" w:hAnsi="Times New Roman"/>
          <w:b w:val="false"/>
          <w:i w:val="false"/>
          <w:color w:val="000000"/>
          <w:sz w:val="22"/>
        </w:rPr>
        <w:t> </w:t>
      </w:r>
      <w:r>
        <w:rPr>
          <w:rFonts w:ascii="Times New Roman" w:hAnsi="Times New Roman"/>
          <w:b w:val="false"/>
          <w:i w:val="false"/>
          <w:color w:val="000000"/>
          <w:sz w:val="22"/>
        </w:rPr>
        <w:t>Small employer carriers shall treat and accept a copy of the uniform health insurance application form as an original.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71.26(3)</w:t>
      </w:r>
      <w:r>
        <w:rPr>
          <w:rFonts w:ascii="Times New Roman" w:hAnsi="Times New Roman"/>
          <w:b w:val="false"/>
          <w:i w:val="false"/>
          <w:color w:val="000000"/>
          <w:sz w:val="22"/>
        </w:rPr>
        <w:t> </w:t>
      </w:r>
      <w:r>
        <w:rPr>
          <w:rFonts w:ascii="Times New Roman" w:hAnsi="Times New Roman"/>
          <w:b w:val="false"/>
          <w:i w:val="false"/>
          <w:color w:val="000000"/>
          <w:sz w:val="22"/>
        </w:rPr>
        <w:t>Use of the uniform health insurance application form shall not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renewal of an existing small employer group policy,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adding or removing employees or dependents under an existing small employer group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71.26(4)</w:t>
      </w:r>
      <w:r>
        <w:rPr>
          <w:rFonts w:ascii="Times New Roman" w:hAnsi="Times New Roman"/>
          <w:b w:val="false"/>
          <w:i w:val="false"/>
          <w:color w:val="000000"/>
          <w:sz w:val="22"/>
        </w:rPr>
        <w:t> </w:t>
      </w:r>
      <w:r>
        <w:rPr>
          <w:rFonts w:ascii="Times New Roman" w:hAnsi="Times New Roman"/>
          <w:b w:val="false"/>
          <w:i w:val="false"/>
          <w:color w:val="000000"/>
          <w:sz w:val="22"/>
        </w:rPr>
        <w:t>Form and content of uniform health insurance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uniform health insurance application form following this chapter contains the standardized data elements that must be included in the uniform health insurance application to ensure consistent usage by all small employer carriers when small employers apply for new health insurance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standardized data elements shall not preclude a small employer carrier from utilizing electronic methods or other technologies to accommodate the uniform health insurance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71.26(5)</w:t>
      </w:r>
      <w:r>
        <w:rPr>
          <w:rFonts w:ascii="Times New Roman" w:hAnsi="Times New Roman"/>
          <w:b w:val="false"/>
          <w:i w:val="false"/>
          <w:color w:val="000000"/>
          <w:sz w:val="22"/>
        </w:rPr>
        <w:t> </w:t>
      </w:r>
      <w:r>
        <w:rPr>
          <w:rFonts w:ascii="Times New Roman" w:hAnsi="Times New Roman"/>
          <w:b w:val="false"/>
          <w:i w:val="false"/>
          <w:color w:val="000000"/>
          <w:sz w:val="22"/>
        </w:rPr>
        <w:t>Small employer carriers may preprint the name of the small employer carrier on the uniform health insurance application form provided that the form contains at least three additional spaces to insert the names of small employer carriers to which the uniform health insurance application may be 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71.26(6)</w:t>
      </w:r>
      <w:r>
        <w:rPr>
          <w:rFonts w:ascii="Times New Roman" w:hAnsi="Times New Roman"/>
          <w:b w:val="false"/>
          <w:i w:val="false"/>
          <w:color w:val="000000"/>
          <w:sz w:val="22"/>
        </w:rPr>
        <w:t> </w:t>
      </w:r>
      <w:r>
        <w:rPr>
          <w:rFonts w:ascii="Times New Roman" w:hAnsi="Times New Roman"/>
          <w:b w:val="false"/>
          <w:i w:val="false"/>
          <w:color w:val="000000"/>
          <w:sz w:val="22"/>
        </w:rPr>
        <w:t>The information contained in each uniform health insurance application shall be considered current by the small employer carrier for a minimum of 60 days from receipt by the small employer carrier of the earliest signed and completed uniform health insurance application form. For the period of time that the information contained in the uniform health insurance application is considered current, small employer carriers shall not require an employee of a small employer to complete a new application form or any document, addendum or certification representing that the information contained in the completed uniform health insurance application is current.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71.26(7)</w:t>
      </w:r>
      <w:r>
        <w:rPr>
          <w:rFonts w:ascii="Times New Roman" w:hAnsi="Times New Roman"/>
          <w:b w:val="false"/>
          <w:i w:val="false"/>
          <w:color w:val="000000"/>
          <w:sz w:val="22"/>
        </w:rPr>
        <w:t> </w:t>
      </w:r>
      <w:r>
        <w:rPr>
          <w:rFonts w:ascii="Times New Roman" w:hAnsi="Times New Roman"/>
          <w:b w:val="false"/>
          <w:i w:val="false"/>
          <w:color w:val="000000"/>
          <w:sz w:val="22"/>
        </w:rPr>
        <w:t>A small employer carrier may accept and utilize information provided by an employee of a small employer subsequent to the date the employee signed the completed application if the employee is providing the small employer carrier with additional or modified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71.26(8)</w:t>
      </w:r>
      <w:r>
        <w:rPr>
          <w:rFonts w:ascii="Times New Roman" w:hAnsi="Times New Roman"/>
          <w:b w:val="false"/>
          <w:i w:val="false"/>
          <w:color w:val="000000"/>
          <w:sz w:val="22"/>
        </w:rPr>
        <w:t> </w:t>
      </w:r>
      <w:r>
        <w:rPr>
          <w:rFonts w:ascii="Times New Roman" w:hAnsi="Times New Roman"/>
          <w:b w:val="false"/>
          <w:i w:val="false"/>
          <w:color w:val="000000"/>
          <w:sz w:val="22"/>
        </w:rPr>
        <w:t>A small employer carrier may require employees of a small employer to complete and submit new uniform health insurance applications if either of the following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authorization signed by the employees does not include the name of the small employer carrier from which the small employer is requesting an underwritten premium amount and coverage;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completed uniform health insurance applications are received by the small employer carrier after 60 days of completion of the earliest signed and completed uniform health insurance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71.26(9)</w:t>
      </w:r>
      <w:r>
        <w:rPr>
          <w:rFonts w:ascii="Times New Roman" w:hAnsi="Times New Roman"/>
          <w:b w:val="false"/>
          <w:i w:val="false"/>
          <w:color w:val="000000"/>
          <w:sz w:val="22"/>
        </w:rPr>
        <w:t> </w:t>
      </w:r>
      <w:r>
        <w:rPr>
          <w:rFonts w:ascii="Times New Roman" w:hAnsi="Times New Roman"/>
          <w:b w:val="false"/>
          <w:i w:val="false"/>
          <w:color w:val="000000"/>
          <w:sz w:val="22"/>
        </w:rPr>
        <w:t>A producer shall forward, within five business days from receipt of the applications, copies of the uniform health insurance applications to all small employer carriers identified in the uniform health insurance application authorization to receive the applications, or to an authorized representative of each small employer carrier, without requiring that a fee be paid for the photocopying or delivery of the copies of completed uniform health insurance applications. The producer may withhold distribution to a small employer carrier, or the carrier’s authorized representative, at the written request of the small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71.26(10)</w:t>
      </w:r>
      <w:r>
        <w:rPr>
          <w:rFonts w:ascii="Times New Roman" w:hAnsi="Times New Roman"/>
          <w:b w:val="false"/>
          <w:i w:val="false"/>
          <w:color w:val="000000"/>
          <w:sz w:val="22"/>
        </w:rPr>
        <w:t> </w:t>
      </w:r>
      <w:r>
        <w:rPr>
          <w:rFonts w:ascii="Times New Roman" w:hAnsi="Times New Roman"/>
          <w:b w:val="false"/>
          <w:i w:val="false"/>
          <w:color w:val="000000"/>
          <w:sz w:val="22"/>
        </w:rPr>
        <w:t>A copy of the completed uniform application, which may be in electronic or other reproduced forms, shall be maintained by the producer that submitted the application and by the small employer carrier that issued the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71.26(11)</w:t>
      </w:r>
      <w:r>
        <w:rPr>
          <w:rFonts w:ascii="Times New Roman" w:hAnsi="Times New Roman"/>
          <w:b w:val="false"/>
          <w:i w:val="false"/>
          <w:color w:val="000000"/>
          <w:sz w:val="22"/>
        </w:rPr>
        <w:t> </w:t>
      </w:r>
      <w:r>
        <w:rPr>
          <w:rFonts w:ascii="Times New Roman" w:hAnsi="Times New Roman"/>
          <w:b w:val="false"/>
          <w:i w:val="false"/>
          <w:color w:val="000000"/>
          <w:sz w:val="22"/>
        </w:rPr>
        <w:t>Small employer carriers shall state the premium to the small employer within ten business days of receipt of all pertinent information required for a small employer carrier’s underwriting of the small employer’s application for group health insurance, including completed uniform health insurance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71.26(12)</w:t>
      </w:r>
      <w:r>
        <w:rPr>
          <w:rFonts w:ascii="Times New Roman" w:hAnsi="Times New Roman"/>
          <w:b w:val="false"/>
          <w:i w:val="false"/>
          <w:color w:val="000000"/>
          <w:sz w:val="22"/>
        </w:rPr>
        <w:t> </w:t>
      </w:r>
      <w:r>
        <w:rPr>
          <w:rFonts w:ascii="Times New Roman" w:hAnsi="Times New Roman"/>
          <w:b w:val="false"/>
          <w:i w:val="false"/>
          <w:color w:val="000000"/>
          <w:sz w:val="22"/>
        </w:rPr>
        <w:t>Small employer carriers shall make a reasonable effort to promptly obtain information that a carrier determines is necessary to make an underwriting decision.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5">
        <w:r>
          <w:rPr>
            <w:rStyle w:val="Hyperlink"/>
            <w:rFonts w:ascii="Times New Roman" w:hAnsi="Times New Roman"/>
            <w:b w:val="false"/>
            <w:i w:val="false"/>
            <w:color w:val="000000"/>
            <w:sz w:val="22"/>
          </w:rPr>
          <w:t>513B.18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6121C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pageBreakBefore/>
        <w:spacing w:before="0" w:after="0"/>
        <w:ind w:left="120"/>
        <w:jc w:val="left"/>
      </w:pPr>
    </w:p>
    <w:tbl>
      <w:tblPr>
        <w:tblW w:w="5000" w:type="pct"/>
        <w:tblCellSpacing w:w="0" w:type="auto"/>
        <w:tblInd w:w="528" w:type="dxa"/>
        <w:tblBorders>
          <w:top w:val="none"/>
          <w:left w:val="none"/>
          <w:bottom w:val="none"/>
          <w:right w:val="none"/>
          <w:insideH w:val="none"/>
          <w:insideV w:val="none"/>
        </w:tblBorders>
      </w:tblPr>
      <w:tblGrid>
        <w:gridCol w:w="7654"/>
        <w:gridCol w:w="2219"/>
        <w:gridCol w:w="260"/>
      </w:tblGrid>
      <w:tr>
        <w:trPr>
          <w:trHeight w:val="195" w:hRule="atLeast"/>
        </w:trPr>
        <w:tc>
          <w:tcPr>
            <w:tcW w:w="76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21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300" w:hRule="atLeast"/>
        </w:trPr>
        <w:tc>
          <w:tcPr>
            <w:tcW w:w="765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4"/>
              </w:rPr>
              <w:t>Iowa Uniform Group Health Application</w:t>
            </w:r>
          </w:p>
        </w:tc>
        <w:tc>
          <w:tcPr>
            <w:tcW w:w="22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Agent No.</w:t>
            </w:r>
          </w:p>
        </w:tc>
        <w:tc>
          <w:tcPr>
            <w:tcW w:w="2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765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2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2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bl>
    <w:tbl>
      <w:tblPr>
        <w:tblW w:w="5000" w:type="pct"/>
        <w:tblCellSpacing w:w="0" w:type="auto"/>
        <w:tblInd w:w="488" w:type="dxa"/>
        <w:tblBorders>
          <w:top w:val="none"/>
          <w:left w:val="none"/>
          <w:bottom w:val="none"/>
          <w:right w:val="none"/>
          <w:insideH w:val="none"/>
          <w:insideV w:val="none"/>
        </w:tblBorders>
      </w:tblPr>
      <w:tblGrid>
        <w:gridCol w:w="10213"/>
      </w:tblGrid>
      <w:tr>
        <w:trPr>
          <w:trHeight w:val="270" w:hRule="atLeast"/>
        </w:trPr>
        <w:tc>
          <w:tcPr>
            <w:tcW w:w="10213"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Employer Data</w:t>
            </w:r>
          </w:p>
        </w:tc>
      </w:tr>
      <w:tr>
        <w:trPr>
          <w:trHeight w:val="180" w:hRule="atLeast"/>
        </w:trPr>
        <w:tc>
          <w:tcPr>
            <w:tcW w:w="10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xml:space="preserve">Employer __________________________________ Group Number ________________ Phone </w:t>
            </w:r>
          </w:p>
        </w:tc>
      </w:tr>
      <w:tr>
        <w:trPr>
          <w:trHeight w:val="180" w:hRule="atLeast"/>
        </w:trPr>
        <w:tc>
          <w:tcPr>
            <w:tcW w:w="10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xml:space="preserve">Street Address ___________________________ City ____________ State ______ Zip ____________ Fax </w:t>
            </w:r>
          </w:p>
        </w:tc>
      </w:tr>
      <w:tr>
        <w:trPr>
          <w:trHeight w:val="270" w:hRule="atLeast"/>
        </w:trPr>
        <w:tc>
          <w:tcPr>
            <w:tcW w:w="10213"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Employee Data</w:t>
            </w:r>
          </w:p>
        </w:tc>
      </w:tr>
      <w:tr>
        <w:trPr>
          <w:trHeight w:val="180" w:hRule="atLeast"/>
        </w:trPr>
        <w:tc>
          <w:tcPr>
            <w:tcW w:w="10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Employee Name __________________________________ Soc Sec Disabled? Y  N   Medicare Enrolled?  Y  N   Sex:  M  F</w:t>
            </w:r>
          </w:p>
        </w:tc>
      </w:tr>
      <w:tr>
        <w:trPr>
          <w:trHeight w:val="180" w:hRule="atLeast"/>
        </w:trPr>
        <w:tc>
          <w:tcPr>
            <w:tcW w:w="10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xml:space="preserve">Home Address ______________________________ City ______________ State ________ Zip </w:t>
            </w:r>
          </w:p>
        </w:tc>
      </w:tr>
      <w:tr>
        <w:trPr>
          <w:trHeight w:val="180" w:hRule="atLeast"/>
        </w:trPr>
        <w:tc>
          <w:tcPr>
            <w:tcW w:w="10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xml:space="preserve">Work Phone # ___________________ Home Phone # _____________________ Email </w:t>
            </w:r>
          </w:p>
        </w:tc>
      </w:tr>
      <w:tr>
        <w:trPr>
          <w:trHeight w:val="180" w:hRule="atLeast"/>
        </w:trPr>
        <w:tc>
          <w:tcPr>
            <w:tcW w:w="10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xml:space="preserve">DOB ____________ Height ______ Weight ______ Social Security # ____________ Job Title ____________ Date of Hire </w:t>
            </w:r>
          </w:p>
        </w:tc>
      </w:tr>
      <w:tr>
        <w:trPr>
          <w:trHeight w:val="180" w:hRule="atLeast"/>
        </w:trPr>
        <w:tc>
          <w:tcPr>
            <w:tcW w:w="10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Primary Care □Physician __________________________________________</w:t>
            </w:r>
          </w:p>
        </w:tc>
      </w:tr>
      <w:tr>
        <w:trPr>
          <w:trHeight w:val="180" w:hRule="atLeast"/>
        </w:trPr>
        <w:tc>
          <w:tcPr>
            <w:tcW w:w="10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Average Hours Worked per Week ________ Salary/Wage $ ________ Employment Status: □ Full-Time □ Part-Time □ Retired □ COBRA</w:t>
            </w:r>
          </w:p>
        </w:tc>
      </w:tr>
      <w:tr>
        <w:trPr>
          <w:trHeight w:val="180" w:hRule="atLeast"/>
        </w:trPr>
        <w:tc>
          <w:tcPr>
            <w:tcW w:w="10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Marital Status: □ Married □ Single □ Divorced □ Legally Separated □ Widowed □ Common Law Marriage (Notarized Affidavit Required)</w:t>
            </w:r>
          </w:p>
        </w:tc>
      </w:tr>
      <w:tr>
        <w:trPr>
          <w:trHeight w:val="270" w:hRule="atLeast"/>
        </w:trPr>
        <w:tc>
          <w:tcPr>
            <w:tcW w:w="10213"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Coverage Selected</w:t>
            </w:r>
          </w:p>
        </w:tc>
      </w:tr>
    </w:tbl>
    <w:tbl>
      <w:tblPr>
        <w:tblW w:w="5000" w:type="pct"/>
        <w:tblCellSpacing w:w="0" w:type="auto"/>
        <w:tblInd w:w="482" w:type="dxa"/>
        <w:tblBorders>
          <w:top w:val="single" w:color="000000" w:sz="8"/>
          <w:left w:val="single" w:color="000000" w:sz="8"/>
          <w:bottom w:val="single" w:color="000000" w:sz="8"/>
          <w:right w:val="single" w:color="000000" w:sz="8"/>
          <w:insideH w:val="none"/>
          <w:insideV w:val="none"/>
        </w:tblBorders>
      </w:tblPr>
      <w:tblGrid>
        <w:gridCol w:w="2262"/>
        <w:gridCol w:w="1227"/>
        <w:gridCol w:w="6736"/>
      </w:tblGrid>
      <w:tr>
        <w:trPr>
          <w:trHeight w:val="390" w:hRule="atLeast"/>
        </w:trPr>
        <w:tc>
          <w:tcPr>
            <w:tcW w:w="2262" w:type="dxa"/>
            <w:vMerge w:val="restart"/>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4"/>
              </w:rPr>
              <w:t>Please indicate which eligible coverage(s) you are choosing:</w:t>
            </w:r>
          </w:p>
        </w:tc>
        <w:tc>
          <w:tcPr>
            <w:tcW w:w="12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Medical:</w:t>
            </w:r>
          </w:p>
        </w:tc>
        <w:tc>
          <w:tcPr>
            <w:tcW w:w="67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Employee □ Employee/Spouse □ Employee/Child(ren) □ Employee/Spouse/Child(ren) </w:t>
            </w:r>
          </w:p>
        </w:tc>
      </w:tr>
      <w:tr>
        <w:trPr>
          <w:trHeight w:val="255" w:hRule="atLeast"/>
        </w:trPr>
        <w:tc>
          <w:tcPr>
            <w:tcW w:w="0" w:type="auto"/>
            <w:vMerge/>
            <w:tcBorders>
              <w:top w:val="nil"/>
            </w:tcBorders>
          </w:tcPr>
          <w:p/>
        </w:tc>
        <w:tc>
          <w:tcPr>
            <w:tcW w:w="12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673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 HMO □ PPO □ POS □ HDHP □ Other, define: </w:t>
            </w:r>
          </w:p>
        </w:tc>
      </w:tr>
      <w:tr>
        <w:trPr>
          <w:trHeight w:val="390" w:hRule="atLeast"/>
        </w:trPr>
        <w:tc>
          <w:tcPr>
            <w:tcW w:w="0" w:type="auto"/>
            <w:vMerge/>
            <w:tcBorders>
              <w:top w:val="nil"/>
            </w:tcBorders>
          </w:tcPr>
          <w:p/>
        </w:tc>
        <w:tc>
          <w:tcPr>
            <w:tcW w:w="12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Dental:</w:t>
            </w:r>
          </w:p>
        </w:tc>
        <w:tc>
          <w:tcPr>
            <w:tcW w:w="67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Employee □ Employee/Spouse □ Employee/Child(ren) □ Employee/Spouse/Child(ren)</w:t>
            </w:r>
          </w:p>
        </w:tc>
      </w:tr>
      <w:tr>
        <w:trPr>
          <w:trHeight w:val="390" w:hRule="atLeast"/>
        </w:trPr>
        <w:tc>
          <w:tcPr>
            <w:tcW w:w="0" w:type="auto"/>
            <w:vMerge/>
            <w:tcBorders>
              <w:top w:val="nil"/>
            </w:tcBorders>
          </w:tcPr>
          <w:p/>
        </w:tc>
        <w:tc>
          <w:tcPr>
            <w:tcW w:w="12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Life:</w:t>
            </w:r>
          </w:p>
        </w:tc>
        <w:tc>
          <w:tcPr>
            <w:tcW w:w="67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Employee □ Employee/Spouse □ Employee/Child(ren) □ Employee/Spouse/Child(ren)</w:t>
            </w:r>
          </w:p>
        </w:tc>
      </w:tr>
      <w:tr>
        <w:trPr>
          <w:trHeight w:val="390" w:hRule="atLeast"/>
        </w:trPr>
        <w:tc>
          <w:tcPr>
            <w:tcW w:w="0" w:type="auto"/>
            <w:vMerge/>
            <w:tcBorders>
              <w:top w:val="nil"/>
            </w:tcBorders>
          </w:tcPr>
          <w:p/>
        </w:tc>
        <w:tc>
          <w:tcPr>
            <w:tcW w:w="12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Vision:</w:t>
            </w:r>
          </w:p>
        </w:tc>
        <w:tc>
          <w:tcPr>
            <w:tcW w:w="67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Employee □ Employee/Spouse □ Employee/Child(ren) □ Employee/Spouse/Child(ren)</w:t>
            </w:r>
          </w:p>
        </w:tc>
      </w:tr>
      <w:tr>
        <w:trPr>
          <w:trHeight w:val="225" w:hRule="atLeast"/>
        </w:trPr>
        <w:tc>
          <w:tcPr>
            <w:tcW w:w="0" w:type="auto"/>
            <w:vMerge/>
            <w:tcBorders>
              <w:top w:val="nil"/>
            </w:tcBorders>
          </w:tcPr>
          <w:p/>
        </w:tc>
        <w:tc>
          <w:tcPr>
            <w:tcW w:w="12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Disability:</w:t>
            </w:r>
          </w:p>
        </w:tc>
        <w:tc>
          <w:tcPr>
            <w:tcW w:w="67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Employee/Short Term □ Employee/Long Term</w:t>
            </w:r>
          </w:p>
        </w:tc>
      </w:tr>
    </w:tbl>
    <w:tbl>
      <w:tblPr>
        <w:tblW w:w="5000" w:type="pct"/>
        <w:tblCellSpacing w:w="0" w:type="auto"/>
        <w:tblInd w:w="488" w:type="dxa"/>
        <w:tblBorders>
          <w:top w:val="none"/>
          <w:left w:val="none"/>
          <w:bottom w:val="none"/>
          <w:right w:val="none"/>
          <w:insideH w:val="none"/>
          <w:insideV w:val="none"/>
        </w:tblBorders>
      </w:tblPr>
      <w:tblGrid>
        <w:gridCol w:w="10213"/>
      </w:tblGrid>
      <w:tr>
        <w:trPr>
          <w:trHeight w:val="270" w:hRule="atLeast"/>
        </w:trPr>
        <w:tc>
          <w:tcPr>
            <w:tcW w:w="10213"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Waiver of Coverage</w:t>
            </w:r>
          </w:p>
        </w:tc>
      </w:tr>
    </w:tbl>
    <w:tbl>
      <w:tblPr>
        <w:tblW w:w="5000" w:type="pct"/>
        <w:tblCellSpacing w:w="0" w:type="auto"/>
        <w:tblInd w:w="488" w:type="dxa"/>
        <w:tblBorders>
          <w:top w:val="single" w:color="000000" w:sz="8"/>
          <w:left w:val="single" w:color="000000" w:sz="8"/>
          <w:bottom w:val="single" w:color="000000" w:sz="8"/>
          <w:right w:val="single" w:color="000000" w:sz="8"/>
          <w:insideH w:val="none"/>
          <w:insideV w:val="none"/>
        </w:tblBorders>
      </w:tblPr>
      <w:tblGrid>
        <w:gridCol w:w="1386"/>
        <w:gridCol w:w="1157"/>
        <w:gridCol w:w="2987"/>
        <w:gridCol w:w="2587"/>
        <w:gridCol w:w="2096"/>
      </w:tblGrid>
      <w:tr>
        <w:trPr>
          <w:trHeight w:val="225" w:hRule="atLeast"/>
        </w:trPr>
        <w:tc>
          <w:tcPr>
            <w:tcW w:w="0" w:type="auto"/>
            <w:gridSpan w:val="2"/>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4"/>
              </w:rPr>
              <w:t>I decline coverage for:</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4"/>
              </w:rPr>
              <w:t>Declining coverage due to existence of other coverage:</w:t>
            </w:r>
          </w:p>
        </w:tc>
      </w:tr>
      <w:tr>
        <w:trPr>
          <w:trHeight w:val="210" w:hRule="atLeast"/>
        </w:trPr>
        <w:tc>
          <w:tcPr>
            <w:tcW w:w="13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□Medical </w:t>
            </w:r>
          </w:p>
        </w:tc>
        <w:tc>
          <w:tcPr>
            <w:tcW w:w="115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□Dental</w:t>
            </w:r>
          </w:p>
        </w:tc>
        <w:tc>
          <w:tcPr>
            <w:tcW w:w="29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□Spouse’s Employer’s Plan </w:t>
            </w:r>
          </w:p>
        </w:tc>
        <w:tc>
          <w:tcPr>
            <w:tcW w:w="2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□Individual Plan</w:t>
            </w:r>
          </w:p>
        </w:tc>
        <w:tc>
          <w:tcPr>
            <w:tcW w:w="20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□Medicaid</w:t>
            </w:r>
          </w:p>
        </w:tc>
      </w:tr>
      <w:tr>
        <w:trPr>
          <w:trHeight w:val="210" w:hRule="atLeast"/>
        </w:trPr>
        <w:tc>
          <w:tcPr>
            <w:tcW w:w="13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□Life </w:t>
            </w:r>
          </w:p>
        </w:tc>
        <w:tc>
          <w:tcPr>
            <w:tcW w:w="115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□Vision</w:t>
            </w:r>
          </w:p>
        </w:tc>
        <w:tc>
          <w:tcPr>
            <w:tcW w:w="29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□Covered by Medicare </w:t>
            </w:r>
          </w:p>
        </w:tc>
        <w:tc>
          <w:tcPr>
            <w:tcW w:w="25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□VA Eligibility </w:t>
            </w:r>
          </w:p>
        </w:tc>
        <w:tc>
          <w:tcPr>
            <w:tcW w:w="209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□Tri-Care</w:t>
            </w:r>
          </w:p>
        </w:tc>
      </w:tr>
      <w:tr>
        <w:trPr>
          <w:trHeight w:val="210" w:hRule="atLeast"/>
        </w:trPr>
        <w:tc>
          <w:tcPr>
            <w:tcW w:w="13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□Disability</w:t>
            </w:r>
          </w:p>
        </w:tc>
        <w:tc>
          <w:tcPr>
            <w:tcW w:w="115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98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□COBRA from prior employer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□Other, Explain: </w:t>
            </w:r>
          </w:p>
        </w:tc>
      </w:tr>
      <w:tr>
        <w:trPr>
          <w:trHeight w:val="22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3"/>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 (we) have no other coverage at this time.</w:t>
            </w:r>
          </w:p>
        </w:tc>
      </w:tr>
      <w:tr>
        <w:trPr>
          <w:trHeight w:val="540" w:hRule="atLeast"/>
        </w:trPr>
        <w:tc>
          <w:tcPr>
            <w:tcW w:w="0" w:type="auto"/>
            <w:gridSpan w:val="5"/>
            <w:tcBorders/>
            <w:tcMar>
              <w:top w:w="30" w:type="dxa"/>
              <w:left w:w="30" w:type="dxa"/>
              <w:bottom w:w="15" w:type="dxa"/>
              <w:right w:w="30" w:type="dxa"/>
            </w:tcMar>
            <w:vAlign w:val="top"/>
          </w:tcPr>
          <w:p>
            <w:pPr>
              <w:spacing w:before="0" w:after="0"/>
              <w:ind w:left="0"/>
              <w:jc w:val="both"/>
            </w:pPr>
            <w:r>
              <w:rPr>
                <w:rFonts w:ascii="Times New Roman" w:hAnsi="Times New Roman"/>
                <w:b/>
                <w:i w:val="false"/>
                <w:color w:val="000000"/>
                <w:sz w:val="14"/>
              </w:rPr>
              <w:t>I understand that by waiving coverage at this time, I will not be allowed to participate unless I experience a life change event, at the next open enrollment period or as a late enrollee, if applicable. I also understand that pre-existing limitations may apply as explained in the Rights and Responsibilities brochure which I have received with this form.</w:t>
            </w:r>
          </w:p>
        </w:tc>
      </w:tr>
    </w:tbl>
    <w:tbl>
      <w:tblPr>
        <w:tblW w:w="5000" w:type="pct"/>
        <w:tblCellSpacing w:w="0" w:type="auto"/>
        <w:tblInd w:w="488" w:type="dxa"/>
        <w:tblBorders>
          <w:top w:val="none"/>
          <w:left w:val="none"/>
          <w:bottom w:val="none"/>
          <w:right w:val="none"/>
          <w:insideH w:val="none"/>
          <w:insideV w:val="none"/>
        </w:tblBorders>
      </w:tblPr>
      <w:tblGrid>
        <w:gridCol w:w="10213"/>
      </w:tblGrid>
      <w:tr>
        <w:trPr>
          <w:trHeight w:val="270" w:hRule="atLeast"/>
        </w:trPr>
        <w:tc>
          <w:tcPr>
            <w:tcW w:w="10213"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Dependent Data</w:t>
            </w:r>
          </w:p>
        </w:tc>
      </w:tr>
    </w:tbl>
    <w:tbl>
      <w:tblPr>
        <w:tblW w:w="5000" w:type="pct"/>
        <w:tblCellSpacing w:w="0" w:type="auto"/>
        <w:tblInd w:w="478" w:type="dxa"/>
        <w:tblBorders>
          <w:top w:val="single" w:color="000000" w:sz="8"/>
          <w:left w:val="single" w:color="000000" w:sz="8"/>
          <w:bottom w:val="single" w:color="000000" w:sz="8"/>
          <w:right w:val="single" w:color="000000" w:sz="8"/>
          <w:insideH w:val="none"/>
          <w:insideV w:val="none"/>
        </w:tblBorders>
      </w:tblPr>
      <w:tblGrid>
        <w:gridCol w:w="1894"/>
        <w:gridCol w:w="721"/>
        <w:gridCol w:w="670"/>
        <w:gridCol w:w="689"/>
        <w:gridCol w:w="900"/>
        <w:gridCol w:w="1315"/>
        <w:gridCol w:w="1307"/>
        <w:gridCol w:w="912"/>
        <w:gridCol w:w="912"/>
        <w:gridCol w:w="913"/>
      </w:tblGrid>
      <w:tr>
        <w:trPr>
          <w:trHeight w:val="345" w:hRule="atLeast"/>
        </w:trPr>
        <w:tc>
          <w:tcPr>
            <w:tcW w:w="189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3"/>
              </w:rPr>
              <w:t>Name (First, MI, Last)</w:t>
            </w:r>
          </w:p>
        </w:tc>
        <w:tc>
          <w:tcPr>
            <w:tcW w:w="721"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3"/>
              </w:rPr>
              <w:t>Sex</w:t>
            </w:r>
          </w:p>
        </w:tc>
        <w:tc>
          <w:tcPr>
            <w:tcW w:w="67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3"/>
              </w:rPr>
              <w:t>Height</w:t>
            </w:r>
          </w:p>
        </w:tc>
        <w:tc>
          <w:tcPr>
            <w:tcW w:w="689"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3"/>
              </w:rPr>
              <w:t>Weight</w:t>
            </w:r>
          </w:p>
        </w:tc>
        <w:tc>
          <w:tcPr>
            <w:tcW w:w="90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3"/>
              </w:rPr>
              <w:t>Birthdate</w:t>
            </w:r>
          </w:p>
        </w:tc>
        <w:tc>
          <w:tcPr>
            <w:tcW w:w="131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3"/>
              </w:rPr>
              <w:t>Social Security Number</w:t>
            </w:r>
          </w:p>
        </w:tc>
        <w:tc>
          <w:tcPr>
            <w:tcW w:w="1307" w:type="dxa"/>
            <w:tcBorders>
              <w:bottom w:val="single" w:color="000000" w:sz="8"/>
              <w:right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i w:val="false"/>
                <w:color w:val="000000"/>
                <w:sz w:val="13"/>
              </w:rPr>
              <w:t>Primary Care</w:t>
            </w:r>
          </w:p>
          <w:p>
            <w:pPr>
              <w:spacing w:before="0" w:after="0"/>
              <w:ind w:left="160"/>
              <w:jc w:val="center"/>
            </w:pPr>
            <w:r>
              <w:rPr>
                <w:rFonts w:ascii="Times New Roman" w:hAnsi="Times New Roman"/>
                <w:b/>
                <w:i w:val="false"/>
                <w:color w:val="000000"/>
                <w:sz w:val="13"/>
              </w:rPr>
              <w:t>Physician</w:t>
            </w:r>
          </w:p>
        </w:tc>
        <w:tc>
          <w:tcPr>
            <w:tcW w:w="9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3"/>
              </w:rPr>
              <w:t>Full-time student?</w:t>
            </w:r>
          </w:p>
        </w:tc>
        <w:tc>
          <w:tcPr>
            <w:tcW w:w="912"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3"/>
              </w:rPr>
              <w:t>Medicare enrolled?</w:t>
            </w:r>
          </w:p>
        </w:tc>
        <w:tc>
          <w:tcPr>
            <w:tcW w:w="913"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3"/>
              </w:rPr>
              <w:t>Soc. Sec. enrolled?</w:t>
            </w:r>
          </w:p>
        </w:tc>
      </w:tr>
      <w:tr>
        <w:trPr>
          <w:trHeight w:val="495" w:hRule="atLeast"/>
        </w:trPr>
        <w:tc>
          <w:tcPr>
            <w:tcW w:w="18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Spouse</w:t>
            </w:r>
          </w:p>
        </w:tc>
        <w:tc>
          <w:tcPr>
            <w:tcW w:w="72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M</w:t>
            </w:r>
          </w:p>
          <w:p>
            <w:pPr>
              <w:spacing w:before="0" w:after="0"/>
              <w:ind w:left="160"/>
              <w:jc w:val="left"/>
            </w:pPr>
            <w:r>
              <w:rPr>
                <w:rFonts w:ascii="Times New Roman" w:hAnsi="Times New Roman"/>
                <w:b w:val="false"/>
                <w:i w:val="false"/>
                <w:color w:val="000000"/>
                <w:sz w:val="20"/>
              </w:rPr>
              <w:t>□ F</w:t>
            </w:r>
          </w:p>
        </w:tc>
        <w:tc>
          <w:tcPr>
            <w:tcW w:w="6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68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9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131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130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91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0"/>
              </w:rPr>
              <w:t>□ Yes</w:t>
            </w:r>
          </w:p>
          <w:p>
            <w:pPr>
              <w:spacing w:before="0" w:after="0"/>
              <w:ind w:left="160"/>
              <w:jc w:val="center"/>
            </w:pPr>
            <w:r>
              <w:rPr>
                <w:rFonts w:ascii="Times New Roman" w:hAnsi="Times New Roman"/>
                <w:b w:val="false"/>
                <w:i w:val="false"/>
                <w:color w:val="000000"/>
                <w:sz w:val="20"/>
              </w:rPr>
              <w:t>□ No</w:t>
            </w:r>
            <w:r>
              <w:rPr>
                <w:rFonts w:ascii="Times New Roman" w:hAnsi="Times New Roman"/>
                <w:b w:val="false"/>
                <w:i w:val="false"/>
                <w:color w:val="000000"/>
                <w:sz w:val="20"/>
              </w:rPr>
              <w:t> </w:t>
            </w:r>
          </w:p>
        </w:tc>
        <w:tc>
          <w:tcPr>
            <w:tcW w:w="91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0"/>
              </w:rPr>
              <w:t>□ Yes</w:t>
            </w:r>
          </w:p>
          <w:p>
            <w:pPr>
              <w:spacing w:before="0" w:after="0"/>
              <w:ind w:left="160"/>
              <w:jc w:val="center"/>
            </w:pPr>
            <w:r>
              <w:rPr>
                <w:rFonts w:ascii="Times New Roman" w:hAnsi="Times New Roman"/>
                <w:b w:val="false"/>
                <w:i w:val="false"/>
                <w:color w:val="000000"/>
                <w:sz w:val="20"/>
              </w:rPr>
              <w:t>□ No</w:t>
            </w:r>
            <w:r>
              <w:rPr>
                <w:rFonts w:ascii="Times New Roman" w:hAnsi="Times New Roman"/>
                <w:b w:val="false"/>
                <w:i w:val="false"/>
                <w:color w:val="000000"/>
                <w:sz w:val="20"/>
              </w:rPr>
              <w:t> </w:t>
            </w:r>
          </w:p>
        </w:tc>
        <w:tc>
          <w:tcPr>
            <w:tcW w:w="913"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0"/>
              </w:rPr>
              <w:t>□ Yes</w:t>
            </w:r>
          </w:p>
          <w:p>
            <w:pPr>
              <w:spacing w:before="0" w:after="0"/>
              <w:ind w:left="160"/>
              <w:jc w:val="center"/>
            </w:pPr>
            <w:r>
              <w:rPr>
                <w:rFonts w:ascii="Times New Roman" w:hAnsi="Times New Roman"/>
                <w:b w:val="false"/>
                <w:i w:val="false"/>
                <w:color w:val="000000"/>
                <w:sz w:val="20"/>
              </w:rPr>
              <w:t>□ No</w:t>
            </w:r>
            <w:r>
              <w:rPr>
                <w:rFonts w:ascii="Times New Roman" w:hAnsi="Times New Roman"/>
                <w:b w:val="false"/>
                <w:i w:val="false"/>
                <w:color w:val="000000"/>
                <w:sz w:val="20"/>
              </w:rPr>
              <w:t> </w:t>
            </w:r>
          </w:p>
        </w:tc>
      </w:tr>
      <w:tr>
        <w:trPr>
          <w:trHeight w:val="495" w:hRule="atLeast"/>
        </w:trPr>
        <w:tc>
          <w:tcPr>
            <w:tcW w:w="18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Dependent</w:t>
            </w:r>
          </w:p>
        </w:tc>
        <w:tc>
          <w:tcPr>
            <w:tcW w:w="72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M</w:t>
            </w:r>
          </w:p>
          <w:p>
            <w:pPr>
              <w:spacing w:before="0" w:after="0"/>
              <w:ind w:left="160"/>
              <w:jc w:val="left"/>
            </w:pPr>
            <w:r>
              <w:rPr>
                <w:rFonts w:ascii="Times New Roman" w:hAnsi="Times New Roman"/>
                <w:b w:val="false"/>
                <w:i w:val="false"/>
                <w:color w:val="000000"/>
                <w:sz w:val="20"/>
              </w:rPr>
              <w:t>□ F</w:t>
            </w:r>
          </w:p>
        </w:tc>
        <w:tc>
          <w:tcPr>
            <w:tcW w:w="6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68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9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131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130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91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0"/>
              </w:rPr>
              <w:t>□ Yes</w:t>
            </w:r>
          </w:p>
          <w:p>
            <w:pPr>
              <w:spacing w:before="0" w:after="0"/>
              <w:ind w:left="160"/>
              <w:jc w:val="center"/>
            </w:pPr>
            <w:r>
              <w:rPr>
                <w:rFonts w:ascii="Times New Roman" w:hAnsi="Times New Roman"/>
                <w:b w:val="false"/>
                <w:i w:val="false"/>
                <w:color w:val="000000"/>
                <w:sz w:val="20"/>
              </w:rPr>
              <w:t>□ No</w:t>
            </w:r>
            <w:r>
              <w:rPr>
                <w:rFonts w:ascii="Times New Roman" w:hAnsi="Times New Roman"/>
                <w:b w:val="false"/>
                <w:i w:val="false"/>
                <w:color w:val="000000"/>
                <w:sz w:val="20"/>
              </w:rPr>
              <w:t> </w:t>
            </w:r>
          </w:p>
        </w:tc>
        <w:tc>
          <w:tcPr>
            <w:tcW w:w="91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0"/>
              </w:rPr>
              <w:t>□ Yes</w:t>
            </w:r>
          </w:p>
          <w:p>
            <w:pPr>
              <w:spacing w:before="0" w:after="0"/>
              <w:ind w:left="160"/>
              <w:jc w:val="center"/>
            </w:pPr>
            <w:r>
              <w:rPr>
                <w:rFonts w:ascii="Times New Roman" w:hAnsi="Times New Roman"/>
                <w:b w:val="false"/>
                <w:i w:val="false"/>
                <w:color w:val="000000"/>
                <w:sz w:val="20"/>
              </w:rPr>
              <w:t>□ No</w:t>
            </w:r>
            <w:r>
              <w:rPr>
                <w:rFonts w:ascii="Times New Roman" w:hAnsi="Times New Roman"/>
                <w:b w:val="false"/>
                <w:i w:val="false"/>
                <w:color w:val="000000"/>
                <w:sz w:val="20"/>
              </w:rPr>
              <w:t> </w:t>
            </w:r>
          </w:p>
        </w:tc>
        <w:tc>
          <w:tcPr>
            <w:tcW w:w="913"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0"/>
              </w:rPr>
              <w:t>□ Yes</w:t>
            </w:r>
          </w:p>
          <w:p>
            <w:pPr>
              <w:spacing w:before="0" w:after="0"/>
              <w:ind w:left="160"/>
              <w:jc w:val="center"/>
            </w:pPr>
            <w:r>
              <w:rPr>
                <w:rFonts w:ascii="Times New Roman" w:hAnsi="Times New Roman"/>
                <w:b w:val="false"/>
                <w:i w:val="false"/>
                <w:color w:val="000000"/>
                <w:sz w:val="20"/>
              </w:rPr>
              <w:t>□ No</w:t>
            </w:r>
            <w:r>
              <w:rPr>
                <w:rFonts w:ascii="Times New Roman" w:hAnsi="Times New Roman"/>
                <w:b w:val="false"/>
                <w:i w:val="false"/>
                <w:color w:val="000000"/>
                <w:sz w:val="20"/>
              </w:rPr>
              <w:t> </w:t>
            </w:r>
          </w:p>
        </w:tc>
      </w:tr>
      <w:tr>
        <w:trPr>
          <w:trHeight w:val="495" w:hRule="atLeast"/>
        </w:trPr>
        <w:tc>
          <w:tcPr>
            <w:tcW w:w="18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Dependent</w:t>
            </w:r>
          </w:p>
        </w:tc>
        <w:tc>
          <w:tcPr>
            <w:tcW w:w="72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M</w:t>
            </w:r>
          </w:p>
          <w:p>
            <w:pPr>
              <w:spacing w:before="0" w:after="0"/>
              <w:ind w:left="160"/>
              <w:jc w:val="left"/>
            </w:pPr>
            <w:r>
              <w:rPr>
                <w:rFonts w:ascii="Times New Roman" w:hAnsi="Times New Roman"/>
                <w:b w:val="false"/>
                <w:i w:val="false"/>
                <w:color w:val="000000"/>
                <w:sz w:val="20"/>
              </w:rPr>
              <w:t>□ F</w:t>
            </w:r>
          </w:p>
        </w:tc>
        <w:tc>
          <w:tcPr>
            <w:tcW w:w="6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68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9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131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130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91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0"/>
              </w:rPr>
              <w:t>□ Yes</w:t>
            </w:r>
          </w:p>
          <w:p>
            <w:pPr>
              <w:spacing w:before="0" w:after="0"/>
              <w:ind w:left="160"/>
              <w:jc w:val="center"/>
            </w:pPr>
            <w:r>
              <w:rPr>
                <w:rFonts w:ascii="Times New Roman" w:hAnsi="Times New Roman"/>
                <w:b w:val="false"/>
                <w:i w:val="false"/>
                <w:color w:val="000000"/>
                <w:sz w:val="20"/>
              </w:rPr>
              <w:t>□ No</w:t>
            </w:r>
            <w:r>
              <w:rPr>
                <w:rFonts w:ascii="Times New Roman" w:hAnsi="Times New Roman"/>
                <w:b w:val="false"/>
                <w:i w:val="false"/>
                <w:color w:val="000000"/>
                <w:sz w:val="20"/>
              </w:rPr>
              <w:t> </w:t>
            </w:r>
          </w:p>
        </w:tc>
        <w:tc>
          <w:tcPr>
            <w:tcW w:w="91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0"/>
              </w:rPr>
              <w:t>□ Yes</w:t>
            </w:r>
          </w:p>
          <w:p>
            <w:pPr>
              <w:spacing w:before="0" w:after="0"/>
              <w:ind w:left="160"/>
              <w:jc w:val="center"/>
            </w:pPr>
            <w:r>
              <w:rPr>
                <w:rFonts w:ascii="Times New Roman" w:hAnsi="Times New Roman"/>
                <w:b w:val="false"/>
                <w:i w:val="false"/>
                <w:color w:val="000000"/>
                <w:sz w:val="20"/>
              </w:rPr>
              <w:t>□ No</w:t>
            </w:r>
            <w:r>
              <w:rPr>
                <w:rFonts w:ascii="Times New Roman" w:hAnsi="Times New Roman"/>
                <w:b w:val="false"/>
                <w:i w:val="false"/>
                <w:color w:val="000000"/>
                <w:sz w:val="20"/>
              </w:rPr>
              <w:t> </w:t>
            </w:r>
          </w:p>
        </w:tc>
        <w:tc>
          <w:tcPr>
            <w:tcW w:w="913"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0"/>
              </w:rPr>
              <w:t>□ Yes</w:t>
            </w:r>
          </w:p>
          <w:p>
            <w:pPr>
              <w:spacing w:before="0" w:after="0"/>
              <w:ind w:left="160"/>
              <w:jc w:val="center"/>
            </w:pPr>
            <w:r>
              <w:rPr>
                <w:rFonts w:ascii="Times New Roman" w:hAnsi="Times New Roman"/>
                <w:b w:val="false"/>
                <w:i w:val="false"/>
                <w:color w:val="000000"/>
                <w:sz w:val="20"/>
              </w:rPr>
              <w:t>□ No</w:t>
            </w:r>
            <w:r>
              <w:rPr>
                <w:rFonts w:ascii="Times New Roman" w:hAnsi="Times New Roman"/>
                <w:b w:val="false"/>
                <w:i w:val="false"/>
                <w:color w:val="000000"/>
                <w:sz w:val="20"/>
              </w:rPr>
              <w:t> </w:t>
            </w:r>
          </w:p>
        </w:tc>
      </w:tr>
      <w:tr>
        <w:trPr>
          <w:trHeight w:val="495" w:hRule="atLeast"/>
        </w:trPr>
        <w:tc>
          <w:tcPr>
            <w:tcW w:w="189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Dependent</w:t>
            </w:r>
          </w:p>
        </w:tc>
        <w:tc>
          <w:tcPr>
            <w:tcW w:w="721"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M</w:t>
            </w:r>
          </w:p>
          <w:p>
            <w:pPr>
              <w:spacing w:before="0" w:after="0"/>
              <w:ind w:left="160"/>
              <w:jc w:val="left"/>
            </w:pPr>
            <w:r>
              <w:rPr>
                <w:rFonts w:ascii="Times New Roman" w:hAnsi="Times New Roman"/>
                <w:b w:val="false"/>
                <w:i w:val="false"/>
                <w:color w:val="000000"/>
                <w:sz w:val="20"/>
              </w:rPr>
              <w:t>□ F</w:t>
            </w:r>
          </w:p>
        </w:tc>
        <w:tc>
          <w:tcPr>
            <w:tcW w:w="67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68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90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131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130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912" w:type="dxa"/>
            <w:tcBorders>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0"/>
              </w:rPr>
              <w:t>□ Yes</w:t>
            </w:r>
          </w:p>
          <w:p>
            <w:pPr>
              <w:spacing w:before="0" w:after="0"/>
              <w:ind w:left="160"/>
              <w:jc w:val="center"/>
            </w:pPr>
            <w:r>
              <w:rPr>
                <w:rFonts w:ascii="Times New Roman" w:hAnsi="Times New Roman"/>
                <w:b w:val="false"/>
                <w:i w:val="false"/>
                <w:color w:val="000000"/>
                <w:sz w:val="20"/>
              </w:rPr>
              <w:t>□ No</w:t>
            </w:r>
            <w:r>
              <w:rPr>
                <w:rFonts w:ascii="Times New Roman" w:hAnsi="Times New Roman"/>
                <w:b w:val="false"/>
                <w:i w:val="false"/>
                <w:color w:val="000000"/>
                <w:sz w:val="20"/>
              </w:rPr>
              <w:t> </w:t>
            </w:r>
          </w:p>
        </w:tc>
        <w:tc>
          <w:tcPr>
            <w:tcW w:w="912" w:type="dxa"/>
            <w:tcBorders>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0"/>
              </w:rPr>
              <w:t>□ Yes</w:t>
            </w:r>
          </w:p>
          <w:p>
            <w:pPr>
              <w:spacing w:before="0" w:after="0"/>
              <w:ind w:left="160"/>
              <w:jc w:val="center"/>
            </w:pPr>
            <w:r>
              <w:rPr>
                <w:rFonts w:ascii="Times New Roman" w:hAnsi="Times New Roman"/>
                <w:b w:val="false"/>
                <w:i w:val="false"/>
                <w:color w:val="000000"/>
                <w:sz w:val="20"/>
              </w:rPr>
              <w:t>□ No</w:t>
            </w:r>
            <w:r>
              <w:rPr>
                <w:rFonts w:ascii="Times New Roman" w:hAnsi="Times New Roman"/>
                <w:b w:val="false"/>
                <w:i w:val="false"/>
                <w:color w:val="000000"/>
                <w:sz w:val="20"/>
              </w:rPr>
              <w:t> </w:t>
            </w:r>
          </w:p>
        </w:tc>
        <w:tc>
          <w:tcPr>
            <w:tcW w:w="913"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20"/>
              </w:rPr>
              <w:t>□ Yes</w:t>
            </w:r>
          </w:p>
          <w:p>
            <w:pPr>
              <w:spacing w:before="0" w:after="0"/>
              <w:ind w:left="160"/>
              <w:jc w:val="center"/>
            </w:pPr>
            <w:r>
              <w:rPr>
                <w:rFonts w:ascii="Times New Roman" w:hAnsi="Times New Roman"/>
                <w:b w:val="false"/>
                <w:i w:val="false"/>
                <w:color w:val="000000"/>
                <w:sz w:val="20"/>
              </w:rPr>
              <w:t>□ No</w:t>
            </w:r>
            <w:r>
              <w:rPr>
                <w:rFonts w:ascii="Times New Roman" w:hAnsi="Times New Roman"/>
                <w:b w:val="false"/>
                <w:i w:val="false"/>
                <w:color w:val="000000"/>
                <w:sz w:val="20"/>
              </w:rPr>
              <w:t> </w:t>
            </w:r>
          </w:p>
        </w:tc>
      </w:tr>
    </w:tbl>
    <w:p>
      <w:pPr>
        <w:spacing w:before="0" w:after="0"/>
        <w:ind w:left="120"/>
        <w:jc w:val="right"/>
      </w:pPr>
      <w:r>
        <w:rPr>
          <w:rFonts w:ascii="Times New Roman" w:hAnsi="Times New Roman"/>
          <w:b w:val="false"/>
          <w:i w:val="false"/>
          <w:color w:val="000000"/>
          <w:sz w:val="13"/>
        </w:rPr>
        <w:t>Employee Name ______________________________________</w:t>
      </w:r>
    </w:p>
    <w:p>
      <w:pPr>
        <w:pageBreakBefore/>
        <w:spacing w:before="0" w:after="0"/>
        <w:ind w:left="120"/>
        <w:jc w:val="left"/>
      </w:pPr>
    </w:p>
    <w:tbl>
      <w:tblPr>
        <w:tblW w:w="5000" w:type="pct"/>
        <w:tblCellSpacing w:w="0" w:type="auto"/>
        <w:tblInd w:w="488" w:type="dxa"/>
        <w:tblBorders>
          <w:top w:val="none"/>
          <w:left w:val="none"/>
          <w:bottom w:val="none"/>
          <w:right w:val="none"/>
          <w:insideH w:val="none"/>
          <w:insideV w:val="none"/>
        </w:tblBorders>
      </w:tblPr>
      <w:tblGrid>
        <w:gridCol w:w="10213"/>
      </w:tblGrid>
      <w:tr>
        <w:trPr>
          <w:trHeight w:val="270" w:hRule="atLeast"/>
        </w:trPr>
        <w:tc>
          <w:tcPr>
            <w:tcW w:w="10213"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Other Coverage</w:t>
            </w:r>
          </w:p>
        </w:tc>
      </w:tr>
    </w:tbl>
    <w:tbl>
      <w:tblPr>
        <w:tblW w:w="5000" w:type="pct"/>
        <w:tblCellSpacing w:w="0" w:type="auto"/>
        <w:tblInd w:w="488" w:type="dxa"/>
        <w:tblBorders>
          <w:top w:val="single" w:color="000000" w:sz="8"/>
          <w:left w:val="single" w:color="000000" w:sz="8"/>
          <w:bottom w:val="single" w:color="000000" w:sz="8"/>
          <w:right w:val="single" w:color="000000" w:sz="8"/>
          <w:insideH w:val="none"/>
          <w:insideV w:val="none"/>
        </w:tblBorders>
      </w:tblPr>
      <w:tblGrid>
        <w:gridCol w:w="2228"/>
        <w:gridCol w:w="2865"/>
        <w:gridCol w:w="1033"/>
        <w:gridCol w:w="2206"/>
        <w:gridCol w:w="1881"/>
      </w:tblGrid>
      <w:tr>
        <w:trPr>
          <w:trHeight w:val="34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3"/>
              </w:rPr>
              <w:t xml:space="preserve">Medicare Coverage: </w:t>
            </w:r>
            <w:r>
              <w:rPr>
                <w:rFonts w:ascii="Times New Roman" w:hAnsi="Times New Roman"/>
                <w:b w:val="false"/>
                <w:i w:val="false"/>
                <w:color w:val="000000"/>
                <w:sz w:val="13"/>
              </w:rPr>
              <w:t xml:space="preserve">Name __________ ID# </w:t>
            </w:r>
          </w:p>
          <w:p>
            <w:pPr>
              <w:spacing w:before="0" w:after="0"/>
              <w:ind w:left="160"/>
              <w:jc w:val="left"/>
            </w:pPr>
            <w:r>
              <w:rPr>
                <w:rFonts w:ascii="Times New Roman" w:hAnsi="Times New Roman"/>
                <w:b w:val="false"/>
                <w:i w:val="false"/>
                <w:color w:val="000000"/>
                <w:sz w:val="13"/>
              </w:rPr>
              <w:t xml:space="preserve">Effective Date (Part A) ______ (Part B) ______ (Part D) </w:t>
            </w:r>
          </w:p>
        </w:tc>
        <w:tc>
          <w:tcPr>
            <w:tcW w:w="0" w:type="auto"/>
            <w:gridSpan w:val="3"/>
            <w:vMerge w:val="restart"/>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3"/>
              </w:rPr>
              <w:t>Previous Coverage:</w:t>
            </w:r>
          </w:p>
          <w:p>
            <w:pPr>
              <w:spacing w:before="0" w:after="0"/>
              <w:ind w:left="160"/>
              <w:jc w:val="left"/>
            </w:pPr>
            <w:r>
              <w:rPr>
                <w:rFonts w:ascii="Times New Roman" w:hAnsi="Times New Roman"/>
                <w:b w:val="false"/>
                <w:i w:val="false"/>
                <w:color w:val="000000"/>
                <w:sz w:val="13"/>
              </w:rPr>
              <w:t>Within the last 18 months, did you have health insurance coverage?</w:t>
            </w:r>
          </w:p>
          <w:p>
            <w:pPr>
              <w:spacing w:before="0" w:after="0"/>
              <w:ind w:left="160"/>
              <w:jc w:val="left"/>
            </w:pPr>
            <w:r>
              <w:rPr>
                <w:rFonts w:ascii="Times New Roman" w:hAnsi="Times New Roman"/>
                <w:b w:val="false"/>
                <w:i w:val="false"/>
                <w:color w:val="000000"/>
                <w:sz w:val="16"/>
              </w:rPr>
              <w:t>□ Yes  □ No</w:t>
            </w:r>
          </w:p>
          <w:p>
            <w:pPr>
              <w:spacing w:before="0" w:after="0"/>
              <w:ind w:left="160"/>
              <w:jc w:val="left"/>
            </w:pPr>
            <w:r>
              <w:rPr>
                <w:rFonts w:ascii="Times New Roman" w:hAnsi="Times New Roman"/>
                <w:b w:val="false"/>
                <w:i w:val="false"/>
                <w:color w:val="000000"/>
                <w:sz w:val="13"/>
              </w:rPr>
              <w:t>If Yes, please complete the following:</w:t>
            </w:r>
          </w:p>
        </w:tc>
      </w:tr>
      <w:tr>
        <w:trPr>
          <w:trHeight w:val="930"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3"/>
              </w:rPr>
              <w:t xml:space="preserve">Concurrent Coverage: </w:t>
            </w:r>
            <w:r>
              <w:rPr>
                <w:rFonts w:ascii="Times New Roman" w:hAnsi="Times New Roman"/>
                <w:b w:val="false"/>
                <w:i w:val="false"/>
                <w:color w:val="000000"/>
                <w:sz w:val="13"/>
              </w:rPr>
              <w:t>Will you, your spouse or your dependents keep other coverage in addition to this coverage? (Check all that apply.)</w:t>
            </w:r>
          </w:p>
          <w:p>
            <w:pPr>
              <w:spacing w:before="0" w:after="0"/>
              <w:ind w:left="160"/>
              <w:jc w:val="left"/>
            </w:pPr>
            <w:r>
              <w:rPr>
                <w:rFonts w:ascii="Times New Roman" w:hAnsi="Times New Roman"/>
                <w:b w:val="false"/>
                <w:i w:val="false"/>
                <w:color w:val="000000"/>
                <w:sz w:val="20"/>
              </w:rPr>
              <w:t>□ None □ Medical □ Dental □ Life □ Vision □ Disability</w:t>
            </w:r>
          </w:p>
        </w:tc>
        <w:tc>
          <w:tcPr>
            <w:tcW w:w="0" w:type="auto"/>
            <w:gridSpan w:val="3"/>
            <w:vMerge/>
            <w:tcBorders>
              <w:top w:val="nil"/>
              <w:bottom w:val="single" w:color="000000" w:sz="8"/>
            </w:tcBorders>
          </w:tcPr>
          <w:p/>
        </w:tc>
      </w:tr>
      <w:tr>
        <w:trPr>
          <w:trHeight w:val="19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Name of covered person(s)</w:t>
            </w:r>
          </w:p>
        </w:tc>
        <w:tc>
          <w:tcPr>
            <w:tcW w:w="0" w:type="auto"/>
            <w:gridSpan w:val="3"/>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Name of covered person(s)</w:t>
            </w:r>
          </w:p>
        </w:tc>
      </w:tr>
      <w:tr>
        <w:trPr>
          <w:trHeight w:val="19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Employer (if applicable)</w:t>
            </w:r>
          </w:p>
        </w:tc>
        <w:tc>
          <w:tcPr>
            <w:tcW w:w="0" w:type="auto"/>
            <w:gridSpan w:val="3"/>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Employer (if applicable)</w:t>
            </w:r>
          </w:p>
        </w:tc>
      </w:tr>
      <w:tr>
        <w:trPr>
          <w:trHeight w:val="195" w:hRule="atLeast"/>
        </w:trPr>
        <w:tc>
          <w:tcPr>
            <w:tcW w:w="0" w:type="auto"/>
            <w:gridSpan w:val="2"/>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Insurance Company/HMO Name and address</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Insurance Company Name/Address</w:t>
            </w:r>
          </w:p>
        </w:tc>
      </w:tr>
    </w:tbl>
    <w:tbl>
      <w:tblPr>
        <w:tblW w:w="5000" w:type="pct"/>
        <w:tblCellSpacing w:w="0" w:type="auto"/>
        <w:tblInd w:w="488" w:type="dxa"/>
        <w:tblBorders>
          <w:top w:val="single" w:color="000000" w:sz="8"/>
          <w:left w:val="single" w:color="000000" w:sz="8"/>
          <w:bottom w:val="single" w:color="000000" w:sz="8"/>
          <w:right w:val="single" w:color="000000" w:sz="8"/>
          <w:insideH w:val="none"/>
          <w:insideV w:val="none"/>
        </w:tblBorders>
      </w:tblPr>
      <w:tblGrid>
        <w:gridCol w:w="1181"/>
        <w:gridCol w:w="2507"/>
        <w:gridCol w:w="1405"/>
        <w:gridCol w:w="1182"/>
        <w:gridCol w:w="2507"/>
        <w:gridCol w:w="1431"/>
      </w:tblGrid>
      <w:tr>
        <w:trPr>
          <w:trHeight w:val="315" w:hRule="atLeast"/>
        </w:trPr>
        <w:tc>
          <w:tcPr>
            <w:tcW w:w="1181" w:type="dxa"/>
            <w:vMerge w:val="restart"/>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Policy No.</w:t>
            </w:r>
          </w:p>
        </w:tc>
        <w:tc>
          <w:tcPr>
            <w:tcW w:w="2507" w:type="dxa"/>
            <w:vMerge w:val="restart"/>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Employee</w:t>
            </w:r>
          </w:p>
          <w:p>
            <w:pPr>
              <w:spacing w:before="0" w:after="0"/>
              <w:ind w:left="160"/>
              <w:jc w:val="left"/>
            </w:pPr>
            <w:r>
              <w:rPr>
                <w:rFonts w:ascii="Times New Roman" w:hAnsi="Times New Roman"/>
                <w:b w:val="false"/>
                <w:i w:val="false"/>
                <w:color w:val="000000"/>
                <w:sz w:val="20"/>
              </w:rPr>
              <w:t>□ Employee/Spouse</w:t>
            </w:r>
          </w:p>
          <w:p>
            <w:pPr>
              <w:spacing w:before="0" w:after="0"/>
              <w:ind w:left="160"/>
              <w:jc w:val="left"/>
            </w:pPr>
            <w:r>
              <w:rPr>
                <w:rFonts w:ascii="Times New Roman" w:hAnsi="Times New Roman"/>
                <w:b w:val="false"/>
                <w:i w:val="false"/>
                <w:color w:val="000000"/>
                <w:sz w:val="20"/>
              </w:rPr>
              <w:t>□ Employee/Children</w:t>
            </w:r>
          </w:p>
          <w:p>
            <w:pPr>
              <w:spacing w:before="0" w:after="0"/>
              <w:ind w:left="160"/>
              <w:jc w:val="left"/>
            </w:pPr>
            <w:r>
              <w:rPr>
                <w:rFonts w:ascii="Times New Roman" w:hAnsi="Times New Roman"/>
                <w:b w:val="false"/>
                <w:i w:val="false"/>
                <w:color w:val="000000"/>
                <w:sz w:val="20"/>
              </w:rPr>
              <w:t>□ Employee/Spouse/Children</w:t>
            </w:r>
          </w:p>
        </w:tc>
        <w:tc>
          <w:tcPr>
            <w:tcW w:w="1405"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3"/>
              </w:rPr>
              <w:t>Effective Date</w:t>
            </w:r>
          </w:p>
          <w:p>
            <w:pPr>
              <w:spacing w:before="0" w:after="0"/>
              <w:ind w:left="160"/>
              <w:jc w:val="left"/>
            </w:pPr>
            <w:r>
              <w:rPr>
                <w:rFonts w:ascii="Times New Roman" w:hAnsi="Times New Roman"/>
                <w:b w:val="false"/>
                <w:i w:val="false"/>
                <w:color w:val="000000"/>
                <w:sz w:val="13"/>
              </w:rPr>
              <w:t> </w:t>
            </w:r>
          </w:p>
        </w:tc>
        <w:tc>
          <w:tcPr>
            <w:tcW w:w="1182" w:type="dxa"/>
            <w:vMerge w:val="restart"/>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Policy No.</w:t>
            </w:r>
          </w:p>
        </w:tc>
        <w:tc>
          <w:tcPr>
            <w:tcW w:w="2507" w:type="dxa"/>
            <w:vMerge w:val="restart"/>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Employee</w:t>
            </w:r>
          </w:p>
          <w:p>
            <w:pPr>
              <w:spacing w:before="0" w:after="0"/>
              <w:ind w:left="160"/>
              <w:jc w:val="left"/>
            </w:pPr>
            <w:r>
              <w:rPr>
                <w:rFonts w:ascii="Times New Roman" w:hAnsi="Times New Roman"/>
                <w:b w:val="false"/>
                <w:i w:val="false"/>
                <w:color w:val="000000"/>
                <w:sz w:val="20"/>
              </w:rPr>
              <w:t>□ Employee/Spouse</w:t>
            </w:r>
          </w:p>
          <w:p>
            <w:pPr>
              <w:spacing w:before="0" w:after="0"/>
              <w:ind w:left="160"/>
              <w:jc w:val="left"/>
            </w:pPr>
            <w:r>
              <w:rPr>
                <w:rFonts w:ascii="Times New Roman" w:hAnsi="Times New Roman"/>
                <w:b w:val="false"/>
                <w:i w:val="false"/>
                <w:color w:val="000000"/>
                <w:sz w:val="20"/>
              </w:rPr>
              <w:t>□ Employee/Children</w:t>
            </w:r>
          </w:p>
          <w:p>
            <w:pPr>
              <w:spacing w:before="0" w:after="0"/>
              <w:ind w:left="160"/>
              <w:jc w:val="left"/>
            </w:pPr>
            <w:r>
              <w:rPr>
                <w:rFonts w:ascii="Times New Roman" w:hAnsi="Times New Roman"/>
                <w:b w:val="false"/>
                <w:i w:val="false"/>
                <w:color w:val="000000"/>
                <w:sz w:val="20"/>
              </w:rPr>
              <w:t>□ Employee/Spouse/Children</w:t>
            </w:r>
          </w:p>
        </w:tc>
        <w:tc>
          <w:tcPr>
            <w:tcW w:w="1431"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3"/>
              </w:rPr>
              <w:t>Effective Date</w:t>
            </w:r>
          </w:p>
          <w:p>
            <w:pPr>
              <w:spacing w:before="0" w:after="0"/>
              <w:ind w:left="160"/>
              <w:jc w:val="left"/>
            </w:pPr>
            <w:r>
              <w:rPr>
                <w:rFonts w:ascii="Times New Roman" w:hAnsi="Times New Roman"/>
                <w:b w:val="false"/>
                <w:i w:val="false"/>
                <w:color w:val="000000"/>
                <w:sz w:val="13"/>
              </w:rPr>
              <w:t> </w:t>
            </w:r>
          </w:p>
        </w:tc>
      </w:tr>
      <w:tr>
        <w:trPr>
          <w:trHeight w:val="840" w:hRule="atLeast"/>
        </w:trPr>
        <w:tc>
          <w:tcPr>
            <w:tcW w:w="0" w:type="auto"/>
            <w:vMerge/>
            <w:tcBorders>
              <w:top w:val="nil"/>
              <w:right w:val="single" w:color="000000" w:sz="8"/>
            </w:tcBorders>
          </w:tcPr>
          <w:p/>
        </w:tc>
        <w:tc>
          <w:tcPr>
            <w:tcW w:w="0" w:type="auto"/>
            <w:vMerge/>
            <w:tcBorders>
              <w:top w:val="nil"/>
              <w:right w:val="single" w:color="000000" w:sz="8"/>
            </w:tcBorders>
          </w:tcPr>
          <w:p/>
        </w:tc>
        <w:tc>
          <w:tcPr>
            <w:tcW w:w="1405"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3"/>
              </w:rPr>
              <w:t>End Date</w:t>
            </w:r>
          </w:p>
          <w:p>
            <w:pPr>
              <w:spacing w:before="0" w:after="0"/>
              <w:ind w:left="160"/>
              <w:jc w:val="left"/>
            </w:pPr>
            <w:r>
              <w:rPr>
                <w:rFonts w:ascii="Times New Roman" w:hAnsi="Times New Roman"/>
                <w:b w:val="false"/>
                <w:i w:val="false"/>
                <w:color w:val="000000"/>
                <w:sz w:val="13"/>
              </w:rPr>
              <w:t> </w:t>
            </w:r>
          </w:p>
        </w:tc>
        <w:tc>
          <w:tcPr>
            <w:tcW w:w="0" w:type="auto"/>
            <w:vMerge/>
            <w:tcBorders>
              <w:top w:val="nil"/>
              <w:right w:val="single" w:color="000000" w:sz="8"/>
            </w:tcBorders>
          </w:tcPr>
          <w:p/>
        </w:tc>
        <w:tc>
          <w:tcPr>
            <w:tcW w:w="0" w:type="auto"/>
            <w:vMerge/>
            <w:tcBorders>
              <w:top w:val="nil"/>
              <w:right w:val="single" w:color="000000" w:sz="8"/>
            </w:tcBorders>
          </w:tcPr>
          <w:p/>
        </w:tc>
        <w:tc>
          <w:tcPr>
            <w:tcW w:w="1431"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3"/>
              </w:rPr>
              <w:t>End Date</w:t>
            </w:r>
          </w:p>
          <w:p>
            <w:pPr>
              <w:spacing w:before="0" w:after="0"/>
              <w:ind w:left="160"/>
              <w:jc w:val="left"/>
            </w:pPr>
            <w:r>
              <w:rPr>
                <w:rFonts w:ascii="Times New Roman" w:hAnsi="Times New Roman"/>
                <w:b w:val="false"/>
                <w:i w:val="false"/>
                <w:color w:val="000000"/>
                <w:sz w:val="13"/>
              </w:rPr>
              <w:t> </w:t>
            </w:r>
          </w:p>
        </w:tc>
      </w:tr>
    </w:tbl>
    <w:tbl>
      <w:tblPr>
        <w:tblW w:w="5000" w:type="pct"/>
        <w:tblCellSpacing w:w="0" w:type="auto"/>
        <w:tblInd w:w="488" w:type="dxa"/>
        <w:tblBorders>
          <w:top w:val="single" w:color="000000" w:sz="8"/>
          <w:left w:val="single" w:color="000000" w:sz="8"/>
          <w:bottom w:val="single" w:color="000000" w:sz="8"/>
          <w:right w:val="single" w:color="000000" w:sz="8"/>
          <w:insideH w:val="none"/>
          <w:insideV w:val="none"/>
        </w:tblBorders>
      </w:tblPr>
      <w:tblGrid>
        <w:gridCol w:w="1574"/>
        <w:gridCol w:w="2126"/>
        <w:gridCol w:w="1525"/>
        <w:gridCol w:w="1007"/>
        <w:gridCol w:w="2148"/>
        <w:gridCol w:w="1833"/>
      </w:tblGrid>
      <w:tr>
        <w:trPr>
          <w:trHeight w:val="1230" w:hRule="atLeast"/>
        </w:trPr>
        <w:tc>
          <w:tcPr>
            <w:tcW w:w="0" w:type="auto"/>
            <w:gridSpan w:val="6"/>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3"/>
              </w:rPr>
              <w:t>Reason for Enrollment/Change:</w:t>
            </w:r>
          </w:p>
          <w:p>
            <w:pPr>
              <w:spacing w:before="0" w:after="0"/>
              <w:ind w:left="160"/>
              <w:jc w:val="left"/>
            </w:pPr>
            <w:r>
              <w:rPr>
                <w:rFonts w:ascii="Times New Roman" w:hAnsi="Times New Roman"/>
                <w:b w:val="false"/>
                <w:i w:val="false"/>
                <w:color w:val="000000"/>
                <w:sz w:val="13"/>
              </w:rPr>
              <w:t xml:space="preserve">Name of Affected Party _______________________________________________ Date of Event </w:t>
            </w:r>
          </w:p>
          <w:p>
            <w:pPr>
              <w:spacing w:before="0" w:after="0"/>
              <w:ind w:left="160"/>
              <w:jc w:val="left"/>
            </w:pPr>
            <w:r>
              <w:rPr>
                <w:rFonts w:ascii="Times New Roman" w:hAnsi="Times New Roman"/>
                <w:b w:val="false"/>
                <w:i w:val="false"/>
                <w:color w:val="000000"/>
                <w:sz w:val="20"/>
              </w:rPr>
              <w:t>□ New Hire □ Late Enrollee □ Special Enrollee □ Loss of Coverage □ Marriage □ Birth/Adoption □ Death □ Divorce</w:t>
            </w:r>
          </w:p>
          <w:p>
            <w:pPr>
              <w:spacing w:before="0" w:after="0"/>
              <w:ind w:left="160"/>
              <w:jc w:val="left"/>
            </w:pPr>
            <w:r>
              <w:rPr>
                <w:rFonts w:ascii="Times New Roman" w:hAnsi="Times New Roman"/>
                <w:b w:val="false"/>
                <w:i w:val="false"/>
                <w:color w:val="000000"/>
                <w:sz w:val="20"/>
              </w:rPr>
              <w:t xml:space="preserve">□ Employment Termination □ COBRA □ Cancel Coverage (reason) </w:t>
            </w:r>
          </w:p>
          <w:p>
            <w:pPr>
              <w:spacing w:before="0" w:after="0"/>
              <w:ind w:left="160"/>
              <w:jc w:val="left"/>
            </w:pPr>
            <w:r>
              <w:rPr>
                <w:rFonts w:ascii="Times New Roman" w:hAnsi="Times New Roman"/>
                <w:b w:val="false"/>
                <w:i w:val="false"/>
                <w:color w:val="000000"/>
                <w:sz w:val="20"/>
              </w:rPr>
              <w:t xml:space="preserve">□ Other: </w:t>
            </w:r>
          </w:p>
        </w:tc>
      </w:tr>
    </w:tbl>
    <w:tbl>
      <w:tblPr>
        <w:tblW w:w="5000" w:type="pct"/>
        <w:tblCellSpacing w:w="0" w:type="auto"/>
        <w:tblInd w:w="488" w:type="dxa"/>
        <w:tblBorders>
          <w:top w:val="none"/>
          <w:left w:val="none"/>
          <w:bottom w:val="none"/>
          <w:right w:val="none"/>
          <w:insideH w:val="none"/>
          <w:insideV w:val="none"/>
        </w:tblBorders>
      </w:tblPr>
      <w:tblGrid>
        <w:gridCol w:w="10213"/>
      </w:tblGrid>
      <w:tr>
        <w:trPr>
          <w:trHeight w:val="270" w:hRule="atLeast"/>
        </w:trPr>
        <w:tc>
          <w:tcPr>
            <w:tcW w:w="10213"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Designated Beneficiaries</w:t>
            </w:r>
          </w:p>
        </w:tc>
      </w:tr>
    </w:tbl>
    <w:tbl>
      <w:tblPr>
        <w:tblW w:w="5000" w:type="pct"/>
        <w:tblCellSpacing w:w="0" w:type="auto"/>
        <w:tblInd w:w="488" w:type="dxa"/>
        <w:tblBorders>
          <w:top w:val="single" w:color="000000" w:sz="8"/>
          <w:left w:val="single" w:color="000000" w:sz="8"/>
          <w:bottom w:val="single" w:color="000000" w:sz="8"/>
          <w:right w:val="single" w:color="000000" w:sz="8"/>
          <w:insideH w:val="none"/>
          <w:insideV w:val="none"/>
        </w:tblBorders>
      </w:tblPr>
      <w:tblGrid>
        <w:gridCol w:w="4962"/>
        <w:gridCol w:w="1285"/>
        <w:gridCol w:w="1477"/>
        <w:gridCol w:w="2489"/>
      </w:tblGrid>
      <w:tr>
        <w:trPr>
          <w:trHeight w:val="645" w:hRule="atLeast"/>
        </w:trPr>
        <w:tc>
          <w:tcPr>
            <w:tcW w:w="0" w:type="auto"/>
            <w:gridSpan w:val="4"/>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4"/>
              </w:rPr>
              <w:t>Group Term Life and/or Voluntary Term Life Beneficiary Designation</w:t>
            </w:r>
          </w:p>
          <w:p>
            <w:pPr>
              <w:spacing w:before="0" w:after="0"/>
              <w:ind w:left="160"/>
              <w:jc w:val="left"/>
            </w:pPr>
            <w:r>
              <w:rPr>
                <w:rFonts w:ascii="Times New Roman" w:hAnsi="Times New Roman"/>
                <w:b w:val="false"/>
                <w:i w:val="false"/>
                <w:color w:val="000000"/>
                <w:sz w:val="13"/>
              </w:rPr>
              <w:t>(NOTE: The same beneficiary will be used for both Group Term Life and Voluntary Term Life. If you wish to name different beneficiaries for each coverage, please ask your employer for a beneficiary change form to complete in addition to the information shown below).</w:t>
            </w:r>
          </w:p>
          <w:p>
            <w:pPr>
              <w:spacing w:before="0" w:after="0"/>
              <w:ind w:left="160"/>
              <w:jc w:val="left"/>
            </w:pPr>
            <w:r>
              <w:rPr>
                <w:rFonts w:ascii="Times New Roman" w:hAnsi="Times New Roman"/>
                <w:b/>
                <w:i w:val="false"/>
                <w:color w:val="000000"/>
                <w:sz w:val="13"/>
              </w:rPr>
              <w:t>All primary and contingent beneficiaries, whether adults or minors, should be included in the beneficiary designation below.</w:t>
            </w:r>
          </w:p>
        </w:tc>
      </w:tr>
      <w:tr>
        <w:trPr>
          <w:trHeight w:val="210" w:hRule="atLeast"/>
        </w:trPr>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4"/>
              </w:rPr>
              <w:t>Primary Beneficiaries:</w:t>
            </w:r>
          </w:p>
        </w:tc>
      </w:tr>
      <w:tr>
        <w:trPr>
          <w:trHeight w:val="195" w:hRule="atLeast"/>
        </w:trPr>
        <w:tc>
          <w:tcPr>
            <w:tcW w:w="4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3"/>
              </w:rPr>
              <w:t>Name and Address</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3"/>
              </w:rPr>
              <w:t>Percentage</w:t>
            </w:r>
          </w:p>
        </w:tc>
        <w:tc>
          <w:tcPr>
            <w:tcW w:w="14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3"/>
              </w:rPr>
              <w:t>Relationship</w:t>
            </w:r>
          </w:p>
        </w:tc>
        <w:tc>
          <w:tcPr>
            <w:tcW w:w="248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3"/>
              </w:rPr>
              <w:t>Social Security #</w:t>
            </w:r>
          </w:p>
        </w:tc>
      </w:tr>
      <w:tr>
        <w:trPr>
          <w:trHeight w:val="195" w:hRule="atLeast"/>
        </w:trPr>
        <w:tc>
          <w:tcPr>
            <w:tcW w:w="4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14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248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r>
      <w:tr>
        <w:trPr>
          <w:trHeight w:val="195" w:hRule="atLeast"/>
        </w:trPr>
        <w:tc>
          <w:tcPr>
            <w:tcW w:w="4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14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248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r>
      <w:tr>
        <w:trPr>
          <w:trHeight w:val="210" w:hRule="atLeast"/>
        </w:trPr>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4"/>
              </w:rPr>
              <w:t>Contingent Beneficiaries:</w:t>
            </w:r>
          </w:p>
        </w:tc>
      </w:tr>
      <w:tr>
        <w:trPr>
          <w:trHeight w:val="195" w:hRule="atLeast"/>
        </w:trPr>
        <w:tc>
          <w:tcPr>
            <w:tcW w:w="4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3"/>
              </w:rPr>
              <w:t>Name and Address</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3"/>
              </w:rPr>
              <w:t>Percentage</w:t>
            </w:r>
          </w:p>
        </w:tc>
        <w:tc>
          <w:tcPr>
            <w:tcW w:w="14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3"/>
              </w:rPr>
              <w:t>Relationship</w:t>
            </w:r>
          </w:p>
        </w:tc>
        <w:tc>
          <w:tcPr>
            <w:tcW w:w="248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color w:val="000000"/>
                <w:sz w:val="13"/>
              </w:rPr>
              <w:t>Social Security #</w:t>
            </w:r>
          </w:p>
        </w:tc>
      </w:tr>
      <w:tr>
        <w:trPr>
          <w:trHeight w:val="195" w:hRule="atLeast"/>
        </w:trPr>
        <w:tc>
          <w:tcPr>
            <w:tcW w:w="4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14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248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r>
      <w:tr>
        <w:trPr>
          <w:trHeight w:val="195" w:hRule="atLeast"/>
        </w:trPr>
        <w:tc>
          <w:tcPr>
            <w:tcW w:w="496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12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147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c>
          <w:tcPr>
            <w:tcW w:w="248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w:t>
            </w:r>
          </w:p>
        </w:tc>
      </w:tr>
      <w:tr>
        <w:trPr>
          <w:trHeight w:val="345" w:hRule="atLeast"/>
        </w:trPr>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The right to make future changes is reserved. If two or more beneficiaries are named, the proceeds shall be paid to the named beneficiaries, or to the survivor or survivors, in equal shares, unless specified otherwise.</w:t>
            </w:r>
          </w:p>
        </w:tc>
      </w:tr>
      <w:tr>
        <w:trPr>
          <w:trHeight w:val="480" w:hRule="atLeast"/>
        </w:trPr>
        <w:tc>
          <w:tcPr>
            <w:tcW w:w="0" w:type="auto"/>
            <w:gridSpan w:val="4"/>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If any beneficiary is designated as a trustee, it is understood and agreed that the Plan shall not be a party to nor bound by the conditions of any trust and payment of the net proceeds of said policy on the death of the insured to the then designated beneficiary shall be a complete discharge as to the Plan.</w:t>
            </w:r>
          </w:p>
        </w:tc>
      </w:tr>
      <w:tr>
        <w:trPr>
          <w:trHeight w:val="315" w:hRule="atLeast"/>
        </w:trPr>
        <w:tc>
          <w:tcPr>
            <w:tcW w:w="0" w:type="auto"/>
            <w:gridSpan w:val="4"/>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3"/>
              </w:rPr>
              <w:t>If you have designated a minor child(ren) as your beneficiary, you must complete the Uniform Transfers to Minors Act form.</w:t>
            </w:r>
          </w:p>
          <w:p>
            <w:pPr>
              <w:spacing w:before="0" w:after="0"/>
              <w:ind w:left="160"/>
              <w:jc w:val="left"/>
            </w:pPr>
            <w:r>
              <w:rPr>
                <w:rFonts w:ascii="Times New Roman" w:hAnsi="Times New Roman"/>
                <w:b w:val="false"/>
                <w:i w:val="false"/>
                <w:color w:val="000000"/>
                <w:sz w:val="13"/>
              </w:rPr>
              <w:t> </w:t>
            </w:r>
          </w:p>
        </w:tc>
      </w:tr>
    </w:tbl>
    <w:p>
      <w:pPr>
        <w:spacing w:before="0" w:after="0"/>
        <w:ind w:left="120"/>
        <w:jc w:val="right"/>
      </w:pPr>
      <w:r>
        <w:rPr>
          <w:rFonts w:ascii="Times New Roman" w:hAnsi="Times New Roman"/>
          <w:b w:val="false"/>
          <w:i w:val="false"/>
          <w:color w:val="000000"/>
          <w:sz w:val="13"/>
        </w:rPr>
        <w:t>Employee Name _____________________________________</w:t>
      </w:r>
    </w:p>
    <w:p>
      <w:pPr>
        <w:pageBreakBefore/>
        <w:spacing w:before="0" w:after="0"/>
        <w:ind w:left="120"/>
        <w:jc w:val="left"/>
      </w:pPr>
    </w:p>
    <w:p>
      <w:pPr>
        <w:spacing w:before="0" w:after="0"/>
        <w:ind w:left="120"/>
        <w:jc w:val="center"/>
      </w:pPr>
      <w:r>
        <w:rPr>
          <w:rFonts w:ascii="Times New Roman" w:hAnsi="Times New Roman"/>
          <w:b/>
          <w:i w:val="false"/>
          <w:color w:val="000000"/>
          <w:sz w:val="20"/>
        </w:rPr>
        <w:t>Health Information Questions</w:t>
      </w:r>
    </w:p>
    <w:p>
      <w:pPr>
        <w:spacing w:before="0" w:after="0"/>
        <w:ind w:left="120"/>
        <w:jc w:val="center"/>
      </w:pPr>
      <w:r>
        <w:rPr>
          <w:rFonts w:ascii="Times New Roman" w:hAnsi="Times New Roman"/>
          <w:b/>
          <w:i w:val="false"/>
          <w:color w:val="000000"/>
          <w:sz w:val="22"/>
        </w:rPr>
        <w:t>Please answer each question fully and accurately.</w:t>
      </w:r>
    </w:p>
    <w:p>
      <w:pPr>
        <w:spacing w:before="0" w:after="0"/>
        <w:ind w:left="120"/>
        <w:jc w:val="center"/>
      </w:pPr>
      <w:r>
        <w:rPr>
          <w:rFonts w:ascii="Times New Roman" w:hAnsi="Times New Roman"/>
          <w:b/>
          <w:i w:val="false"/>
          <w:color w:val="000000"/>
          <w:sz w:val="22"/>
        </w:rPr>
        <w:t>Incomplete answers could delay the processing of your requested coverage.</w:t>
      </w:r>
    </w:p>
    <w:tbl>
      <w:tblPr>
        <w:tblW w:w="5000" w:type="pct"/>
        <w:tblCellSpacing w:w="0" w:type="auto"/>
        <w:tblInd w:w="421" w:type="dxa"/>
        <w:tblBorders>
          <w:top w:val="single" w:color="000000" w:sz="8"/>
          <w:left w:val="single" w:color="000000" w:sz="8"/>
          <w:bottom w:val="single" w:color="000000" w:sz="8"/>
          <w:right w:val="single" w:color="000000" w:sz="8"/>
          <w:insideH w:val="none"/>
          <w:insideV w:val="none"/>
        </w:tblBorders>
      </w:tblPr>
      <w:tblGrid>
        <w:gridCol w:w="516"/>
        <w:gridCol w:w="1419"/>
        <w:gridCol w:w="1591"/>
        <w:gridCol w:w="327"/>
        <w:gridCol w:w="727"/>
        <w:gridCol w:w="862"/>
        <w:gridCol w:w="1287"/>
        <w:gridCol w:w="1509"/>
        <w:gridCol w:w="1073"/>
        <w:gridCol w:w="1036"/>
      </w:tblGrid>
      <w:tr>
        <w:trPr>
          <w:trHeight w:val="495" w:hRule="atLeast"/>
        </w:trPr>
        <w:tc>
          <w:tcPr>
            <w:tcW w:w="0" w:type="auto"/>
            <w:gridSpan w:val="10"/>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3"/>
              </w:rPr>
              <w:t>SECTION 1</w:t>
            </w:r>
          </w:p>
          <w:p>
            <w:pPr>
              <w:spacing w:before="0" w:after="0"/>
              <w:ind w:left="160"/>
              <w:jc w:val="left"/>
            </w:pPr>
            <w:r>
              <w:rPr>
                <w:rFonts w:ascii="Times New Roman" w:hAnsi="Times New Roman"/>
                <w:b w:val="false"/>
                <w:i w:val="false"/>
                <w:color w:val="000000"/>
                <w:sz w:val="13"/>
              </w:rPr>
              <w:t xml:space="preserve">Please provide the health history of you and any person named in this application who has been diagnosed or treated in the last </w:t>
            </w:r>
            <w:r>
              <w:rPr>
                <w:rFonts w:ascii="Times New Roman" w:hAnsi="Times New Roman"/>
                <w:b/>
                <w:i w:val="false"/>
                <w:color w:val="000000"/>
                <w:sz w:val="13"/>
              </w:rPr>
              <w:t xml:space="preserve">10 years </w:t>
            </w:r>
            <w:r>
              <w:rPr>
                <w:rFonts w:ascii="Times New Roman" w:hAnsi="Times New Roman"/>
                <w:b w:val="false"/>
                <w:i w:val="false"/>
                <w:color w:val="000000"/>
                <w:sz w:val="13"/>
              </w:rPr>
              <w:t xml:space="preserve">by placing an “X” in the following boxes. </w:t>
            </w:r>
            <w:r>
              <w:rPr>
                <w:rFonts w:ascii="Times New Roman" w:hAnsi="Times New Roman"/>
                <w:b/>
                <w:i w:val="false"/>
                <w:color w:val="000000"/>
                <w:sz w:val="13"/>
              </w:rPr>
              <w:t xml:space="preserve">Please further explain your selections in SECTION 3’s </w:t>
            </w:r>
            <w:r>
              <w:rPr>
                <w:rFonts w:ascii="Times New Roman" w:hAnsi="Times New Roman"/>
                <w:b/>
                <w:i w:val="false"/>
                <w:color w:val="000000"/>
                <w:sz w:val="13"/>
                <w:u w:val="single"/>
              </w:rPr>
              <w:t>Health Statement Table</w:t>
            </w:r>
            <w:r>
              <w:rPr>
                <w:rFonts w:ascii="Times New Roman" w:hAnsi="Times New Roman"/>
                <w:b/>
                <w:i w:val="false"/>
                <w:color w:val="000000"/>
                <w:sz w:val="13"/>
              </w:rPr>
              <w:t>.</w:t>
            </w:r>
          </w:p>
        </w:tc>
      </w:tr>
      <w:tr>
        <w:trPr>
          <w:trHeight w:val="3495" w:hRule="atLeast"/>
        </w:trPr>
        <w:tc>
          <w:tcPr>
            <w:tcW w:w="0" w:type="auto"/>
            <w:gridSpan w:val="4"/>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8"/>
              </w:rPr>
              <w:t>□ 1. AIDS/HIV</w:t>
            </w:r>
          </w:p>
          <w:p>
            <w:pPr>
              <w:spacing w:before="0" w:after="0"/>
              <w:ind w:left="160"/>
              <w:jc w:val="left"/>
            </w:pPr>
            <w:r>
              <w:rPr>
                <w:rFonts w:ascii="Times New Roman" w:hAnsi="Times New Roman"/>
                <w:b w:val="false"/>
                <w:i w:val="false"/>
                <w:color w:val="000000"/>
                <w:sz w:val="18"/>
              </w:rPr>
              <w:t>□ 2. Allergy/Asthma</w:t>
            </w:r>
          </w:p>
          <w:p>
            <w:pPr>
              <w:spacing w:before="0" w:after="0"/>
              <w:ind w:left="160"/>
              <w:jc w:val="left"/>
            </w:pPr>
            <w:r>
              <w:rPr>
                <w:rFonts w:ascii="Times New Roman" w:hAnsi="Times New Roman"/>
                <w:b w:val="false"/>
                <w:i w:val="false"/>
                <w:color w:val="000000"/>
                <w:sz w:val="18"/>
              </w:rPr>
              <w:t>□ 3. Arthritis</w:t>
            </w:r>
          </w:p>
          <w:p>
            <w:pPr>
              <w:spacing w:before="0" w:after="0"/>
              <w:ind w:left="160"/>
              <w:jc w:val="left"/>
            </w:pPr>
            <w:r>
              <w:rPr>
                <w:rFonts w:ascii="Times New Roman" w:hAnsi="Times New Roman"/>
                <w:b w:val="false"/>
                <w:i w:val="false"/>
                <w:color w:val="000000"/>
                <w:sz w:val="18"/>
              </w:rPr>
              <w:t>□ 4. Bladder/Urinary Disorder</w:t>
            </w:r>
          </w:p>
          <w:p>
            <w:pPr>
              <w:spacing w:before="0" w:after="0"/>
              <w:ind w:left="160"/>
              <w:jc w:val="left"/>
            </w:pPr>
            <w:r>
              <w:rPr>
                <w:rFonts w:ascii="Times New Roman" w:hAnsi="Times New Roman"/>
                <w:b w:val="false"/>
                <w:i w:val="false"/>
                <w:color w:val="000000"/>
                <w:sz w:val="18"/>
              </w:rPr>
              <w:t>□ 5. Blood, Bleeding, or Clotting Disorder</w:t>
            </w:r>
          </w:p>
          <w:p>
            <w:pPr>
              <w:spacing w:before="0" w:after="0"/>
              <w:ind w:left="160"/>
              <w:jc w:val="left"/>
            </w:pPr>
            <w:r>
              <w:rPr>
                <w:rFonts w:ascii="Times New Roman" w:hAnsi="Times New Roman"/>
                <w:b w:val="false"/>
                <w:i w:val="false"/>
                <w:color w:val="000000"/>
                <w:sz w:val="18"/>
              </w:rPr>
              <w:t>□ 6. Bone/Joint/Muscular Disorder</w:t>
            </w:r>
          </w:p>
          <w:p>
            <w:pPr>
              <w:spacing w:before="0" w:after="0"/>
              <w:ind w:left="160"/>
              <w:jc w:val="left"/>
            </w:pPr>
            <w:r>
              <w:rPr>
                <w:rFonts w:ascii="Times New Roman" w:hAnsi="Times New Roman"/>
                <w:b w:val="false"/>
                <w:i w:val="false"/>
                <w:color w:val="000000"/>
                <w:sz w:val="18"/>
              </w:rPr>
              <w:t>□ 7. Cancer</w:t>
            </w:r>
          </w:p>
          <w:p>
            <w:pPr>
              <w:spacing w:before="0" w:after="0"/>
              <w:ind w:left="160"/>
              <w:jc w:val="left"/>
            </w:pPr>
            <w:r>
              <w:rPr>
                <w:rFonts w:ascii="Times New Roman" w:hAnsi="Times New Roman"/>
                <w:b w:val="false"/>
                <w:i w:val="false"/>
                <w:color w:val="000000"/>
                <w:sz w:val="18"/>
              </w:rPr>
              <w:t>□ 8. Cyst</w:t>
            </w:r>
          </w:p>
          <w:p>
            <w:pPr>
              <w:spacing w:before="0" w:after="0"/>
              <w:ind w:left="160"/>
              <w:jc w:val="left"/>
            </w:pPr>
            <w:r>
              <w:rPr>
                <w:rFonts w:ascii="Times New Roman" w:hAnsi="Times New Roman"/>
                <w:b w:val="false"/>
                <w:i w:val="false"/>
                <w:color w:val="000000"/>
                <w:sz w:val="18"/>
              </w:rPr>
              <w:t xml:space="preserve">□ 9. Current Pregnancy: due date </w:t>
            </w:r>
          </w:p>
          <w:p>
            <w:pPr>
              <w:spacing w:before="0" w:after="0"/>
              <w:ind w:left="160"/>
              <w:jc w:val="left"/>
            </w:pPr>
            <w:r>
              <w:rPr>
                <w:rFonts w:ascii="Times New Roman" w:hAnsi="Times New Roman"/>
                <w:b w:val="false"/>
                <w:i w:val="false"/>
                <w:color w:val="000000"/>
                <w:sz w:val="18"/>
              </w:rPr>
              <w:t>□ 10. Diabetes</w:t>
            </w:r>
          </w:p>
        </w:tc>
        <w:tc>
          <w:tcPr>
            <w:tcW w:w="0" w:type="auto"/>
            <w:gridSpan w:val="3"/>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8"/>
              </w:rPr>
              <w:t>□ 11. Digestive/Intestinal Disorder</w:t>
            </w:r>
          </w:p>
          <w:p>
            <w:pPr>
              <w:spacing w:before="0" w:after="0"/>
              <w:ind w:left="160"/>
              <w:jc w:val="left"/>
            </w:pPr>
            <w:r>
              <w:rPr>
                <w:rFonts w:ascii="Times New Roman" w:hAnsi="Times New Roman"/>
                <w:b w:val="false"/>
                <w:i w:val="false"/>
                <w:color w:val="000000"/>
                <w:sz w:val="18"/>
              </w:rPr>
              <w:t>□ 12. Drug or Alcohol Abuse</w:t>
            </w:r>
          </w:p>
          <w:p>
            <w:pPr>
              <w:spacing w:before="0" w:after="0"/>
              <w:ind w:left="160"/>
              <w:jc w:val="left"/>
            </w:pPr>
            <w:r>
              <w:rPr>
                <w:rFonts w:ascii="Times New Roman" w:hAnsi="Times New Roman"/>
                <w:b w:val="false"/>
                <w:i w:val="false"/>
                <w:color w:val="000000"/>
                <w:sz w:val="18"/>
              </w:rPr>
              <w:t>□ 13. Eating Disorder</w:t>
            </w:r>
          </w:p>
          <w:p>
            <w:pPr>
              <w:spacing w:before="0" w:after="0"/>
              <w:ind w:left="160"/>
              <w:jc w:val="left"/>
            </w:pPr>
            <w:r>
              <w:rPr>
                <w:rFonts w:ascii="Times New Roman" w:hAnsi="Times New Roman"/>
                <w:b w:val="false"/>
                <w:i w:val="false"/>
                <w:color w:val="000000"/>
                <w:sz w:val="18"/>
              </w:rPr>
              <w:t>□ 14. Endocrine/Pancreatic Disorder</w:t>
            </w:r>
          </w:p>
          <w:p>
            <w:pPr>
              <w:spacing w:before="0" w:after="0"/>
              <w:ind w:left="160"/>
              <w:jc w:val="left"/>
            </w:pPr>
            <w:r>
              <w:rPr>
                <w:rFonts w:ascii="Times New Roman" w:hAnsi="Times New Roman"/>
                <w:b w:val="false"/>
                <w:i w:val="false"/>
                <w:color w:val="000000"/>
                <w:sz w:val="18"/>
              </w:rPr>
              <w:t>□ 15. Eye, Ear, Nose or Throat Disorder</w:t>
            </w:r>
          </w:p>
          <w:p>
            <w:pPr>
              <w:spacing w:before="0" w:after="0"/>
              <w:ind w:left="160"/>
              <w:jc w:val="left"/>
            </w:pPr>
            <w:r>
              <w:rPr>
                <w:rFonts w:ascii="Times New Roman" w:hAnsi="Times New Roman"/>
                <w:b w:val="false"/>
                <w:i w:val="false"/>
                <w:color w:val="000000"/>
                <w:sz w:val="11"/>
              </w:rPr>
              <w:t>(excluding glasses)</w:t>
            </w:r>
          </w:p>
          <w:p>
            <w:pPr>
              <w:spacing w:before="0" w:after="0"/>
              <w:ind w:left="160"/>
              <w:jc w:val="left"/>
            </w:pPr>
            <w:r>
              <w:rPr>
                <w:rFonts w:ascii="Times New Roman" w:hAnsi="Times New Roman"/>
                <w:b w:val="false"/>
                <w:i w:val="false"/>
                <w:color w:val="000000"/>
                <w:sz w:val="18"/>
              </w:rPr>
              <w:t>□ 16. Heart/Circulatory Disorder</w:t>
            </w:r>
          </w:p>
          <w:p>
            <w:pPr>
              <w:spacing w:before="0" w:after="0"/>
              <w:ind w:left="160"/>
              <w:jc w:val="left"/>
            </w:pPr>
            <w:r>
              <w:rPr>
                <w:rFonts w:ascii="Times New Roman" w:hAnsi="Times New Roman"/>
                <w:b w:val="false"/>
                <w:i w:val="false"/>
                <w:color w:val="000000"/>
                <w:sz w:val="18"/>
              </w:rPr>
              <w:t>□ 17. High Blood Pressure</w:t>
            </w:r>
          </w:p>
          <w:p>
            <w:pPr>
              <w:spacing w:before="0" w:after="0"/>
              <w:ind w:left="160"/>
              <w:jc w:val="left"/>
            </w:pPr>
            <w:r>
              <w:rPr>
                <w:rFonts w:ascii="Times New Roman" w:hAnsi="Times New Roman"/>
                <w:b w:val="false"/>
                <w:i w:val="false"/>
                <w:color w:val="000000"/>
                <w:sz w:val="18"/>
              </w:rPr>
              <w:t xml:space="preserve">□ 18. High Cholesterol </w:t>
            </w:r>
          </w:p>
          <w:p>
            <w:pPr>
              <w:spacing w:before="0" w:after="0"/>
              <w:ind w:left="160"/>
              <w:jc w:val="left"/>
            </w:pPr>
            <w:r>
              <w:rPr>
                <w:rFonts w:ascii="Times New Roman" w:hAnsi="Times New Roman"/>
                <w:b w:val="false"/>
                <w:i w:val="false"/>
                <w:color w:val="000000"/>
                <w:sz w:val="18"/>
              </w:rPr>
              <w:t>□ 19. Infertility</w:t>
            </w:r>
          </w:p>
          <w:p>
            <w:pPr>
              <w:spacing w:before="0" w:after="0"/>
              <w:ind w:left="160"/>
              <w:jc w:val="left"/>
            </w:pPr>
            <w:r>
              <w:rPr>
                <w:rFonts w:ascii="Times New Roman" w:hAnsi="Times New Roman"/>
                <w:b w:val="false"/>
                <w:i w:val="false"/>
                <w:color w:val="000000"/>
                <w:sz w:val="18"/>
              </w:rPr>
              <w:t>□ 20. Kidney Disorder (Dialysis or failure)</w:t>
            </w:r>
          </w:p>
        </w:tc>
        <w:tc>
          <w:tcPr>
            <w:tcW w:w="0" w:type="auto"/>
            <w:gridSpan w:val="3"/>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8"/>
              </w:rPr>
              <w:t>□ 21. Liver (Cirrhosis, Hepatitis B, C, D or E)</w:t>
            </w:r>
          </w:p>
          <w:p>
            <w:pPr>
              <w:spacing w:before="0" w:after="0"/>
              <w:ind w:left="160"/>
              <w:jc w:val="left"/>
            </w:pPr>
            <w:r>
              <w:rPr>
                <w:rFonts w:ascii="Times New Roman" w:hAnsi="Times New Roman"/>
                <w:b w:val="false"/>
                <w:i w:val="false"/>
                <w:color w:val="000000"/>
                <w:sz w:val="18"/>
              </w:rPr>
              <w:t>□ 22. Mental or Nervous Disorder</w:t>
            </w:r>
          </w:p>
          <w:p>
            <w:pPr>
              <w:spacing w:before="0" w:after="0"/>
              <w:ind w:left="160"/>
              <w:jc w:val="left"/>
            </w:pPr>
            <w:r>
              <w:rPr>
                <w:rFonts w:ascii="Times New Roman" w:hAnsi="Times New Roman"/>
                <w:b w:val="false"/>
                <w:i w:val="false"/>
                <w:color w:val="000000"/>
                <w:sz w:val="18"/>
              </w:rPr>
              <w:t>□ 23. Migraine Headaches</w:t>
            </w:r>
          </w:p>
          <w:p>
            <w:pPr>
              <w:spacing w:before="0" w:after="0"/>
              <w:ind w:left="160"/>
              <w:jc w:val="left"/>
            </w:pPr>
            <w:r>
              <w:rPr>
                <w:rFonts w:ascii="Times New Roman" w:hAnsi="Times New Roman"/>
                <w:b w:val="false"/>
                <w:i w:val="false"/>
                <w:color w:val="000000"/>
                <w:sz w:val="18"/>
              </w:rPr>
              <w:t>□ 24. Neck, Back, or Spine Disorder</w:t>
            </w:r>
          </w:p>
          <w:p>
            <w:pPr>
              <w:spacing w:before="0" w:after="0"/>
              <w:ind w:left="160"/>
              <w:jc w:val="left"/>
            </w:pPr>
            <w:r>
              <w:rPr>
                <w:rFonts w:ascii="Times New Roman" w:hAnsi="Times New Roman"/>
                <w:b w:val="false"/>
                <w:i w:val="false"/>
                <w:color w:val="000000"/>
                <w:sz w:val="18"/>
              </w:rPr>
              <w:t>□ 25. Organ transplant</w:t>
            </w:r>
          </w:p>
          <w:p>
            <w:pPr>
              <w:spacing w:before="0" w:after="0"/>
              <w:ind w:left="160"/>
              <w:jc w:val="left"/>
            </w:pPr>
            <w:r>
              <w:rPr>
                <w:rFonts w:ascii="Times New Roman" w:hAnsi="Times New Roman"/>
                <w:b w:val="false"/>
                <w:i w:val="false"/>
                <w:color w:val="000000"/>
                <w:sz w:val="18"/>
              </w:rPr>
              <w:t xml:space="preserve">□ 26. Respiratory/Lung Disorder </w:t>
            </w:r>
          </w:p>
          <w:p>
            <w:pPr>
              <w:spacing w:before="0" w:after="0"/>
              <w:ind w:left="160"/>
              <w:jc w:val="left"/>
            </w:pPr>
            <w:r>
              <w:rPr>
                <w:rFonts w:ascii="Times New Roman" w:hAnsi="Times New Roman"/>
                <w:b w:val="false"/>
                <w:i w:val="false"/>
                <w:color w:val="000000"/>
                <w:sz w:val="18"/>
              </w:rPr>
              <w:t>□ 27. Skin Disorder</w:t>
            </w:r>
          </w:p>
          <w:p>
            <w:pPr>
              <w:spacing w:before="0" w:after="0"/>
              <w:ind w:left="160"/>
              <w:jc w:val="left"/>
            </w:pPr>
            <w:r>
              <w:rPr>
                <w:rFonts w:ascii="Times New Roman" w:hAnsi="Times New Roman"/>
                <w:b w:val="false"/>
                <w:i w:val="false"/>
                <w:color w:val="000000"/>
                <w:sz w:val="18"/>
              </w:rPr>
              <w:t>□ 28. Stroke/Nervous System/Brain Disorder</w:t>
            </w:r>
          </w:p>
          <w:p>
            <w:pPr>
              <w:spacing w:before="0" w:after="0"/>
              <w:ind w:left="160"/>
              <w:jc w:val="left"/>
            </w:pPr>
            <w:r>
              <w:rPr>
                <w:rFonts w:ascii="Times New Roman" w:hAnsi="Times New Roman"/>
                <w:b w:val="false"/>
                <w:i w:val="false"/>
                <w:color w:val="000000"/>
                <w:sz w:val="18"/>
              </w:rPr>
              <w:t>□ 29. Tumor</w:t>
            </w:r>
          </w:p>
          <w:p>
            <w:pPr>
              <w:spacing w:before="0" w:after="0"/>
              <w:ind w:left="160"/>
              <w:jc w:val="left"/>
            </w:pPr>
            <w:r>
              <w:rPr>
                <w:rFonts w:ascii="Times New Roman" w:hAnsi="Times New Roman"/>
                <w:b w:val="false"/>
                <w:i w:val="false"/>
                <w:color w:val="000000"/>
                <w:sz w:val="18"/>
              </w:rPr>
              <w:t>□ 30. Tobacco Product Use</w:t>
            </w:r>
          </w:p>
          <w:p>
            <w:pPr>
              <w:spacing w:before="0" w:after="0"/>
              <w:ind w:left="160"/>
              <w:jc w:val="left"/>
            </w:pPr>
            <w:r>
              <w:rPr>
                <w:rFonts w:ascii="Times New Roman" w:hAnsi="Times New Roman"/>
                <w:b w:val="false"/>
                <w:i w:val="false"/>
                <w:color w:val="000000"/>
                <w:sz w:val="18"/>
              </w:rPr>
              <w:t>□ 31. Vascular (blood vessel) Disorder</w:t>
            </w:r>
          </w:p>
        </w:tc>
      </w:tr>
    </w:tbl>
    <w:tbl>
      <w:tblPr>
        <w:tblW w:w="5000" w:type="pct"/>
        <w:tblCellSpacing w:w="0" w:type="auto"/>
        <w:tblInd w:w="421" w:type="dxa"/>
        <w:tblBorders>
          <w:top w:val="single" w:color="000000" w:sz="8"/>
          <w:left w:val="single" w:color="000000" w:sz="8"/>
          <w:bottom w:val="single" w:color="000000" w:sz="8"/>
          <w:right w:val="single" w:color="000000" w:sz="8"/>
          <w:insideH w:val="none"/>
          <w:insideV w:val="none"/>
        </w:tblBorders>
      </w:tblPr>
      <w:tblGrid>
        <w:gridCol w:w="798"/>
        <w:gridCol w:w="799"/>
        <w:gridCol w:w="426"/>
        <w:gridCol w:w="8324"/>
      </w:tblGrid>
      <w:tr>
        <w:trPr>
          <w:trHeight w:val="345" w:hRule="atLeast"/>
        </w:trPr>
        <w:tc>
          <w:tcPr>
            <w:tcW w:w="0" w:type="auto"/>
            <w:gridSpan w:val="4"/>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3"/>
              </w:rPr>
              <w:t>SECTION 2</w:t>
            </w:r>
          </w:p>
          <w:p>
            <w:pPr>
              <w:spacing w:before="0" w:after="0"/>
              <w:ind w:left="160"/>
              <w:jc w:val="left"/>
            </w:pPr>
            <w:r>
              <w:rPr>
                <w:rFonts w:ascii="Times New Roman" w:hAnsi="Times New Roman"/>
                <w:b w:val="false"/>
                <w:i w:val="false"/>
                <w:color w:val="000000"/>
                <w:sz w:val="13"/>
              </w:rPr>
              <w:t xml:space="preserve">Please answer yes or no to the following questions. </w:t>
            </w:r>
            <w:r>
              <w:rPr>
                <w:rFonts w:ascii="Times New Roman" w:hAnsi="Times New Roman"/>
                <w:b/>
                <w:i w:val="false"/>
                <w:color w:val="000000"/>
                <w:sz w:val="13"/>
              </w:rPr>
              <w:t xml:space="preserve">Please further explain your “Yes” selections in SECTION 3’s </w:t>
            </w:r>
            <w:r>
              <w:rPr>
                <w:rFonts w:ascii="Times New Roman" w:hAnsi="Times New Roman"/>
                <w:b/>
                <w:i w:val="false"/>
                <w:color w:val="000000"/>
                <w:sz w:val="13"/>
                <w:u w:val="single"/>
              </w:rPr>
              <w:t>Health Statement Table</w:t>
            </w:r>
            <w:r>
              <w:rPr>
                <w:rFonts w:ascii="Times New Roman" w:hAnsi="Times New Roman"/>
                <w:b/>
                <w:i w:val="false"/>
                <w:color w:val="000000"/>
                <w:sz w:val="13"/>
              </w:rPr>
              <w:t>.</w:t>
            </w:r>
          </w:p>
        </w:tc>
      </w:tr>
      <w:tr>
        <w:trPr>
          <w:trHeight w:val="390" w:hRule="atLeast"/>
        </w:trPr>
        <w:tc>
          <w:tcPr>
            <w:tcW w:w="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Yes </w:t>
            </w:r>
          </w:p>
        </w:tc>
        <w:tc>
          <w:tcPr>
            <w:tcW w:w="7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No </w:t>
            </w:r>
          </w:p>
        </w:tc>
        <w:tc>
          <w:tcPr>
            <w:tcW w:w="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32. </w:t>
            </w:r>
          </w:p>
        </w:tc>
        <w:tc>
          <w:tcPr>
            <w:tcW w:w="83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Have you or any person named in this application received inpatient or outpatient services in the last three (3) years (excluding routine tests, physicals or inoculations)?</w:t>
            </w:r>
          </w:p>
        </w:tc>
      </w:tr>
      <w:tr>
        <w:trPr>
          <w:trHeight w:val="390" w:hRule="atLeast"/>
        </w:trPr>
        <w:tc>
          <w:tcPr>
            <w:tcW w:w="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Yes </w:t>
            </w:r>
          </w:p>
        </w:tc>
        <w:tc>
          <w:tcPr>
            <w:tcW w:w="7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No </w:t>
            </w:r>
          </w:p>
        </w:tc>
        <w:tc>
          <w:tcPr>
            <w:tcW w:w="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33. </w:t>
            </w:r>
          </w:p>
        </w:tc>
        <w:tc>
          <w:tcPr>
            <w:tcW w:w="83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Do you or any person named in this application have tests, treatments, hospitalization or surgery planned or recommended in the future?</w:t>
            </w:r>
          </w:p>
        </w:tc>
      </w:tr>
      <w:tr>
        <w:trPr>
          <w:trHeight w:val="390" w:hRule="atLeast"/>
        </w:trPr>
        <w:tc>
          <w:tcPr>
            <w:tcW w:w="7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Yes </w:t>
            </w:r>
          </w:p>
        </w:tc>
        <w:tc>
          <w:tcPr>
            <w:tcW w:w="7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No </w:t>
            </w:r>
          </w:p>
        </w:tc>
        <w:tc>
          <w:tcPr>
            <w:tcW w:w="42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34. </w:t>
            </w:r>
          </w:p>
        </w:tc>
        <w:tc>
          <w:tcPr>
            <w:tcW w:w="83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Do you or any person named in this application take any medicine, prescriptions drugs, or require shots/injections?</w:t>
            </w:r>
          </w:p>
        </w:tc>
      </w:tr>
      <w:tr>
        <w:trPr>
          <w:trHeight w:val="390" w:hRule="atLeast"/>
        </w:trPr>
        <w:tc>
          <w:tcPr>
            <w:tcW w:w="79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Yes </w:t>
            </w:r>
          </w:p>
        </w:tc>
        <w:tc>
          <w:tcPr>
            <w:tcW w:w="799"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No </w:t>
            </w:r>
          </w:p>
        </w:tc>
        <w:tc>
          <w:tcPr>
            <w:tcW w:w="42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35. </w:t>
            </w:r>
          </w:p>
        </w:tc>
        <w:tc>
          <w:tcPr>
            <w:tcW w:w="832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Do you or any person named in this application have any other medical conditions which have not yet been previously mentioned?</w:t>
            </w:r>
          </w:p>
        </w:tc>
      </w:tr>
    </w:tbl>
    <w:tbl>
      <w:tblPr>
        <w:tblW w:w="5000" w:type="pct"/>
        <w:tblCellSpacing w:w="0" w:type="auto"/>
        <w:tblInd w:w="421" w:type="dxa"/>
        <w:tblBorders>
          <w:top w:val="single" w:color="000000" w:sz="8"/>
          <w:left w:val="single" w:color="000000" w:sz="8"/>
          <w:bottom w:val="single" w:color="000000" w:sz="8"/>
          <w:right w:val="single" w:color="000000" w:sz="8"/>
          <w:insideH w:val="none"/>
          <w:insideV w:val="none"/>
        </w:tblBorders>
      </w:tblPr>
      <w:tblGrid>
        <w:gridCol w:w="516"/>
        <w:gridCol w:w="1419"/>
        <w:gridCol w:w="1591"/>
        <w:gridCol w:w="327"/>
        <w:gridCol w:w="727"/>
        <w:gridCol w:w="862"/>
        <w:gridCol w:w="1287"/>
        <w:gridCol w:w="1509"/>
        <w:gridCol w:w="1073"/>
        <w:gridCol w:w="1036"/>
      </w:tblGrid>
      <w:tr>
        <w:trPr>
          <w:trHeight w:val="630" w:hRule="atLeast"/>
        </w:trPr>
        <w:tc>
          <w:tcPr>
            <w:tcW w:w="0" w:type="auto"/>
            <w:gridSpan w:val="10"/>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3"/>
              </w:rPr>
              <w:t xml:space="preserve">SECTION 3 </w:t>
            </w:r>
            <w:r>
              <w:rPr>
                <w:rFonts w:ascii="Times New Roman" w:hAnsi="Times New Roman"/>
                <w:b/>
                <w:i w:val="false"/>
                <w:color w:val="000000"/>
                <w:sz w:val="13"/>
                <w:u w:val="single"/>
              </w:rPr>
              <w:t>Health Statement Table</w:t>
            </w:r>
          </w:p>
          <w:p>
            <w:pPr>
              <w:spacing w:before="0" w:after="0"/>
              <w:ind w:left="160"/>
              <w:jc w:val="left"/>
            </w:pPr>
            <w:r>
              <w:rPr>
                <w:rFonts w:ascii="Times New Roman" w:hAnsi="Times New Roman"/>
                <w:b w:val="false"/>
                <w:i w:val="false"/>
                <w:color w:val="000000"/>
                <w:sz w:val="13"/>
              </w:rPr>
              <w:t>For any of the “X” or “Yes” responses provided in SECTIONS 1 and 2 above, please provide full details in the following table per Question Number (Q#). If you need additional space, please attach another sheet. (An additional sheet must include your signature and the date on it as verification that the information is yours.)</w:t>
            </w:r>
          </w:p>
        </w:tc>
      </w:tr>
      <w:tr>
        <w:trPr>
          <w:trHeight w:val="495" w:hRule="atLeast"/>
        </w:trPr>
        <w:tc>
          <w:tcPr>
            <w:tcW w:w="51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color w:val="000000"/>
                <w:sz w:val="13"/>
              </w:rPr>
              <w:t>Q#</w:t>
            </w:r>
          </w:p>
        </w:tc>
        <w:tc>
          <w:tcPr>
            <w:tcW w:w="141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color w:val="000000"/>
                <w:sz w:val="13"/>
              </w:rPr>
              <w:t>Person</w:t>
            </w:r>
          </w:p>
          <w:p>
            <w:pPr>
              <w:spacing w:before="0" w:after="0"/>
              <w:ind w:left="160"/>
              <w:jc w:val="center"/>
            </w:pPr>
            <w:r>
              <w:rPr>
                <w:rFonts w:ascii="Times New Roman" w:hAnsi="Times New Roman"/>
                <w:b/>
                <w:i/>
                <w:color w:val="000000"/>
                <w:sz w:val="13"/>
              </w:rPr>
              <w:t>Name</w:t>
            </w:r>
          </w:p>
        </w:tc>
        <w:tc>
          <w:tcPr>
            <w:tcW w:w="1591"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color w:val="000000"/>
                <w:sz w:val="13"/>
              </w:rPr>
              <w:t>Condition</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color w:val="000000"/>
                <w:sz w:val="13"/>
              </w:rPr>
              <w:t>Date Diagnosed</w:t>
            </w:r>
          </w:p>
        </w:tc>
        <w:tc>
          <w:tcPr>
            <w:tcW w:w="862"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color w:val="000000"/>
                <w:sz w:val="13"/>
              </w:rPr>
              <w:t>Date</w:t>
            </w:r>
          </w:p>
          <w:p>
            <w:pPr>
              <w:spacing w:before="0" w:after="0"/>
              <w:ind w:left="160"/>
              <w:jc w:val="center"/>
            </w:pPr>
            <w:r>
              <w:rPr>
                <w:rFonts w:ascii="Times New Roman" w:hAnsi="Times New Roman"/>
                <w:b/>
                <w:i/>
                <w:color w:val="000000"/>
                <w:sz w:val="13"/>
              </w:rPr>
              <w:t>Last Treated</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color w:val="000000"/>
                <w:sz w:val="13"/>
              </w:rPr>
              <w:t>Type of Treatment/Names of Medication (e.g., oral, injectable, infusion, inhaled, or transdermal)</w:t>
            </w:r>
          </w:p>
        </w:tc>
        <w:tc>
          <w:tcPr>
            <w:tcW w:w="107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color w:val="000000"/>
                <w:sz w:val="13"/>
              </w:rPr>
              <w:t>Is Medication Ongoing?</w:t>
            </w:r>
          </w:p>
        </w:tc>
        <w:tc>
          <w:tcPr>
            <w:tcW w:w="103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color w:val="000000"/>
                <w:sz w:val="13"/>
              </w:rPr>
              <w:t>Is Treatment Ongoing?</w:t>
            </w:r>
          </w:p>
        </w:tc>
      </w:tr>
      <w:tr>
        <w:trPr>
          <w:trHeight w:val="285" w:hRule="atLeast"/>
        </w:trPr>
        <w:tc>
          <w:tcPr>
            <w:tcW w:w="51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tc>
        <w:tc>
          <w:tcPr>
            <w:tcW w:w="14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9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3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85" w:hRule="atLeast"/>
        </w:trPr>
        <w:tc>
          <w:tcPr>
            <w:tcW w:w="51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tc>
        <w:tc>
          <w:tcPr>
            <w:tcW w:w="14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9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3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85" w:hRule="atLeast"/>
        </w:trPr>
        <w:tc>
          <w:tcPr>
            <w:tcW w:w="51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tc>
        <w:tc>
          <w:tcPr>
            <w:tcW w:w="14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9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3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85" w:hRule="atLeast"/>
        </w:trPr>
        <w:tc>
          <w:tcPr>
            <w:tcW w:w="51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tc>
        <w:tc>
          <w:tcPr>
            <w:tcW w:w="14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9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3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85" w:hRule="atLeast"/>
        </w:trPr>
        <w:tc>
          <w:tcPr>
            <w:tcW w:w="51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tc>
        <w:tc>
          <w:tcPr>
            <w:tcW w:w="14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9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3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85" w:hRule="atLeast"/>
        </w:trPr>
        <w:tc>
          <w:tcPr>
            <w:tcW w:w="51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tc>
        <w:tc>
          <w:tcPr>
            <w:tcW w:w="14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9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3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85" w:hRule="atLeast"/>
        </w:trPr>
        <w:tc>
          <w:tcPr>
            <w:tcW w:w="51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tc>
        <w:tc>
          <w:tcPr>
            <w:tcW w:w="14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9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3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85" w:hRule="atLeast"/>
        </w:trPr>
        <w:tc>
          <w:tcPr>
            <w:tcW w:w="51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tc>
        <w:tc>
          <w:tcPr>
            <w:tcW w:w="14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9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3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85" w:hRule="atLeast"/>
        </w:trPr>
        <w:tc>
          <w:tcPr>
            <w:tcW w:w="51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tc>
        <w:tc>
          <w:tcPr>
            <w:tcW w:w="14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9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3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85" w:hRule="atLeast"/>
        </w:trPr>
        <w:tc>
          <w:tcPr>
            <w:tcW w:w="51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tc>
        <w:tc>
          <w:tcPr>
            <w:tcW w:w="14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9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7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36"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85" w:hRule="atLeast"/>
        </w:trPr>
        <w:tc>
          <w:tcPr>
            <w:tcW w:w="516"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tc>
        <w:tc>
          <w:tcPr>
            <w:tcW w:w="141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591"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86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7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right"/>
      </w:pPr>
      <w:r>
        <w:rPr>
          <w:rFonts w:ascii="Times New Roman" w:hAnsi="Times New Roman"/>
          <w:b w:val="false"/>
          <w:i w:val="false"/>
          <w:color w:val="000000"/>
          <w:sz w:val="13"/>
        </w:rPr>
        <w:t>Employee Name ________________________________________</w:t>
      </w:r>
    </w:p>
    <w:p>
      <w:pPr>
        <w:pageBreakBefore/>
        <w:spacing w:before="0" w:after="0"/>
        <w:ind w:left="120"/>
        <w:jc w:val="left"/>
      </w:pPr>
    </w:p>
    <w:p>
      <w:pPr>
        <w:spacing w:before="0" w:after="0"/>
        <w:ind w:left="120"/>
        <w:jc w:val="center"/>
      </w:pPr>
      <w:r>
        <w:rPr>
          <w:rFonts w:ascii="Times New Roman" w:hAnsi="Times New Roman"/>
          <w:b/>
          <w:i w:val="false"/>
          <w:color w:val="000000"/>
          <w:sz w:val="20"/>
        </w:rPr>
        <w:t>Authorization and Certification</w:t>
      </w:r>
    </w:p>
    <w:p>
      <w:pPr>
        <w:spacing w:before="0" w:after="0"/>
        <w:ind w:left="120"/>
        <w:jc w:val="both"/>
      </w:pPr>
      <w:r>
        <w:rPr>
          <w:rFonts w:ascii="Times New Roman" w:hAnsi="Times New Roman"/>
          <w:b w:val="false"/>
          <w:i w:val="false"/>
          <w:color w:val="000000"/>
          <w:sz w:val="13"/>
        </w:rPr>
        <w:t>I understand and agree with the following statements with regard to my application for coverage through an insurance Carrier:</w:t>
      </w:r>
    </w:p>
    <w:tbl>
      <w:tblPr>
        <w:tblW w:w="5000" w:type="pct"/>
        <w:tblCellSpacing w:w="0" w:type="auto"/>
        <w:tblBorders>
          <w:top w:val="none"/>
          <w:left w:val="none"/>
          <w:bottom w:val="none"/>
          <w:right w:val="none"/>
          <w:insideH w:val="none"/>
          <w:insideV w:val="none"/>
        </w:tblBorders>
      </w:tblPr>
      <w:tblGrid>
        <w:gridCol w:w="576"/>
        <w:gridCol w:w="10944"/>
      </w:tblGrid>
      <w:tr>
        <w:trPr>
          <w:trHeight w:val="900" w:hRule="atLeast"/>
        </w:trPr>
        <w:tc>
          <w:tcPr>
            <w:tcW w:w="5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3"/>
              </w:rPr>
              <w:t>●</w:t>
            </w:r>
          </w:p>
        </w:tc>
        <w:tc>
          <w:tcPr>
            <w:tcW w:w="1094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My dependents are not eligible for coverages I don’t have. My dependents, including step and foster children and any over the maximum age, are eligible based on plan provisions but those over the maximum age will be verified when a claim is filed. I have read and understand the Preexisting Condition Exclusion and the Special Enrollment Rights and know if I refuse medical coverage, I and my dependents must wait for the next open enrollment unless I become eligible during a Special Enrollment. If I refuse dental coverage, I and my dependents may enroll later but this will affect the level of benefits. If I refuse life or disability coverage, I may apply later but I must show proof of good health and coverage will be subject to approval by the Carrier. If I refuse coverage, I cannot enroll after retirement.</w:t>
            </w:r>
          </w:p>
        </w:tc>
      </w:tr>
      <w:tr>
        <w:trPr>
          <w:trHeight w:val="615" w:hRule="atLeast"/>
        </w:trPr>
        <w:tc>
          <w:tcPr>
            <w:tcW w:w="5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3"/>
              </w:rPr>
              <w:t xml:space="preserve"> ● </w:t>
            </w:r>
          </w:p>
        </w:tc>
        <w:tc>
          <w:tcPr>
            <w:tcW w:w="1094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I understand that the coverages applied for will not start until after this application and the appropriate coverage rates are received and accepted by the Carrier and an effective date of coverage is established by the Carrier. I further agree that the Carrier is not liable for a claim before the effective date of coverage and all policy provisions apply. During the first two years coverage for life or disability or medical is in force, false statements, omissions or material misrepresentations can cause changes in that coverage, including cancellation back to the effective date.</w:t>
            </w:r>
          </w:p>
        </w:tc>
      </w:tr>
      <w:tr>
        <w:trPr>
          <w:trHeight w:val="330" w:hRule="atLeast"/>
        </w:trPr>
        <w:tc>
          <w:tcPr>
            <w:tcW w:w="5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3"/>
              </w:rPr>
              <w:t xml:space="preserve"> ● </w:t>
            </w:r>
          </w:p>
        </w:tc>
        <w:tc>
          <w:tcPr>
            <w:tcW w:w="1094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Any person who, with intent to defraud or knowingly is facilitating a fraud against an insurer, submits an application or files a claim with false or deceptive statements, may be guilty of insurance fraud.</w:t>
            </w:r>
          </w:p>
        </w:tc>
      </w:tr>
      <w:tr>
        <w:trPr>
          <w:trHeight w:val="765" w:hRule="atLeast"/>
        </w:trPr>
        <w:tc>
          <w:tcPr>
            <w:tcW w:w="5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3"/>
              </w:rPr>
              <w:t xml:space="preserve"> ● </w:t>
            </w:r>
          </w:p>
        </w:tc>
        <w:tc>
          <w:tcPr>
            <w:tcW w:w="1094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For life and disability coverages, I authorize any health care provider who has personal information, including physical, mental, drug or alcohol use history, regarding me or a dependent, to give such data to the life or disability carrier agents and employees of the Life or Disability Carrier and I authorize the Life or Disability Carrier to release data as required by law. If signed in connection with an application, reinstatement or a change in benefits, this form will be valid two years from the date below. I may revoke authorization for information not yet obtained. I understand data obtained will be used by the Life or Disability Carrier for determining eligibility for life and disability coverage. Information will not be used for any purposes prohibited by law.</w:t>
            </w:r>
          </w:p>
        </w:tc>
      </w:tr>
      <w:tr>
        <w:trPr>
          <w:trHeight w:val="180" w:hRule="atLeast"/>
        </w:trPr>
        <w:tc>
          <w:tcPr>
            <w:tcW w:w="5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3"/>
              </w:rPr>
              <w:t xml:space="preserve"> ● </w:t>
            </w:r>
          </w:p>
        </w:tc>
        <w:tc>
          <w:tcPr>
            <w:tcW w:w="1094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I also understand collection of social security numbers for myself and my dependents will be used by the Carrier only as allowed by law.</w:t>
            </w:r>
          </w:p>
        </w:tc>
      </w:tr>
      <w:tr>
        <w:trPr>
          <w:trHeight w:val="615" w:hRule="atLeast"/>
        </w:trPr>
        <w:tc>
          <w:tcPr>
            <w:tcW w:w="5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3"/>
              </w:rPr>
              <w:t xml:space="preserve"> ● </w:t>
            </w:r>
          </w:p>
        </w:tc>
        <w:tc>
          <w:tcPr>
            <w:tcW w:w="1094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For life coverage, I understand that as the employee, the insurance I and my dependents have applied for will begin on the effective date of coverage provided I am at work on that date. If I am not actively at work on such date, subject to the terms of the group policy, coverage may not go into effect until after my return to work. Furthermore, I understand that no insurance may become effective for any member of my family while he/she is in a period of limited activity.</w:t>
            </w:r>
          </w:p>
        </w:tc>
      </w:tr>
      <w:tr>
        <w:trPr>
          <w:trHeight w:val="2790" w:hRule="atLeast"/>
        </w:trPr>
        <w:tc>
          <w:tcPr>
            <w:tcW w:w="5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3"/>
              </w:rPr>
              <w:t xml:space="preserve"> ● </w:t>
            </w:r>
          </w:p>
        </w:tc>
        <w:tc>
          <w:tcPr>
            <w:tcW w:w="1094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 xml:space="preserve">For medical coverage, I authorize pharmacy benefit managers, “health care providers”, including but not limited to, surgeons, physicians, psychologists, nurses, social workers, health care facilities and other entities covered under the HIPAA Privacy Rule and their agents and employees, to release and disclose my personal health information, including but not limited to, all health &amp; mental records, including those records protected by Federal or State law relating to the diagnosis or treatment of AIDS or AIDS related complex, Human Immunodeficiency Virus (HIV) infection, sexually transmitted diseases, mental health and substance abuse, the use of alcohol, drugs, and tobacco, and the past, present, or future treatments or conditions for myself or for my dependents eligible for health care coverage to the Carrier, its agents, and employees, for purposes of underwriting my application for coverage, and making eligibility, premium rating, and enrollment decisions, relating to any coverage I have, have applied for, or may in the future apply for with the Carrier or other entities covered under the HIPAA Privacy Rule. I further understand that the personal health information described above may be disclosed to and/or received by persons or organizations that are not health plans, covered health care providers or health care clearinghouses subject to federal health information privacy laws. They may further disclose the protected health information, and it may no longer be protected by federal health information privacy laws. This authorization shall remain in force for two years following the date of my signature. I may revoke this authorization in writing at any time by sending the request for revocation to the Carrier. I understand that a revocation is not effective until received by the Carrier and that any revocation is not effective to the extent that the Carrier or Providers have relied on the protected health information disclosed to them. This Authorization and Certification does not authorize the redisclosure of medical information except as otherwise stated herein. Federal and State regulations do not allow further disclosure of mental health, substance abuse and AIDS/HIV related information. The Carrier maintains the confidentiality of </w:t>
            </w:r>
            <w:r>
              <w:rPr>
                <w:rFonts w:ascii="Times New Roman" w:hAnsi="Times New Roman"/>
                <w:b w:val="false"/>
                <w:i w:val="false"/>
                <w:color w:val="000000"/>
                <w:sz w:val="13"/>
                <w:u w:val="single"/>
              </w:rPr>
              <w:t>all</w:t>
            </w:r>
            <w:r>
              <w:rPr>
                <w:rFonts w:ascii="Times New Roman" w:hAnsi="Times New Roman"/>
                <w:b w:val="false"/>
                <w:i w:val="false"/>
                <w:color w:val="000000"/>
                <w:sz w:val="13"/>
              </w:rPr>
              <w:t xml:space="preserve"> information received and it will not be released to any person or facility unless you apply for life and/or disability coverage underwritten by the Life or Disability Carrier in which case the application, </w:t>
            </w:r>
            <w:r>
              <w:rPr>
                <w:rFonts w:ascii="Times New Roman" w:hAnsi="Times New Roman"/>
                <w:b w:val="false"/>
                <w:i w:val="false"/>
                <w:color w:val="000000"/>
                <w:sz w:val="13"/>
                <w:u w:val="single"/>
              </w:rPr>
              <w:t>without</w:t>
            </w:r>
            <w:r>
              <w:rPr>
                <w:rFonts w:ascii="Times New Roman" w:hAnsi="Times New Roman"/>
                <w:b w:val="false"/>
                <w:i w:val="false"/>
                <w:color w:val="000000"/>
                <w:sz w:val="13"/>
              </w:rPr>
              <w:t xml:space="preserve"> any further health records or Attending Physician Statements (APS) received, will be released to the Life or Disability Carrier. I understand that if I refuse this authorization, the Carrier may not make an eligibility determination, and I will not be considered for coverage with the Carrier.</w:t>
            </w:r>
          </w:p>
        </w:tc>
      </w:tr>
    </w:tbl>
    <w:p>
      <w:pPr>
        <w:spacing w:before="0" w:after="0"/>
        <w:ind w:left="120"/>
        <w:jc w:val="both"/>
      </w:pPr>
      <w:r>
        <w:rPr>
          <w:rFonts w:ascii="Times New Roman" w:hAnsi="Times New Roman"/>
          <w:b w:val="false"/>
          <w:i w:val="false"/>
          <w:color w:val="000000"/>
          <w:sz w:val="13"/>
        </w:rPr>
        <w:t xml:space="preserve">I hereby authorize the following Carriers, their reinsurers, and their legal representatives to receive, use, and disclose my, my spouse and my dependent child(ren)’s Protected Health Information for the purpose of insurance coverage. I authorize the Carriers to disclose my, my spouse and my dependent child(ren)’s Protected Health Information between themselves, to reinsuring companies, and to the plan administrator or plan sponsor (if other than the employer), insurance intermediaries, or other persons or organizations performing business or legal services in connection with the purpose of insurance coverage: </w:t>
      </w:r>
      <w:r>
        <w:rPr>
          <w:rFonts w:ascii="Times New Roman" w:hAnsi="Times New Roman"/>
          <w:b w:val="false"/>
          <w:i/>
          <w:color w:val="000000"/>
          <w:sz w:val="13"/>
        </w:rPr>
        <w:t>(Either you or your broker must list all Carriers that are to receive this application for insurance.)</w:t>
      </w:r>
    </w:p>
    <w:tbl>
      <w:tblPr>
        <w:tblW w:w="5000" w:type="pct"/>
        <w:tblCellSpacing w:w="0" w:type="auto"/>
        <w:tblBorders>
          <w:top w:val="none"/>
          <w:left w:val="none"/>
          <w:bottom w:val="none"/>
          <w:right w:val="none"/>
          <w:insideH w:val="none"/>
          <w:insideV w:val="none"/>
        </w:tblBorders>
      </w:tblPr>
      <w:tblGrid>
        <w:gridCol w:w="3840"/>
        <w:gridCol w:w="3840"/>
        <w:gridCol w:w="3840"/>
      </w:tblGrid>
      <w:tr>
        <w:trPr>
          <w:trHeight w:val="180" w:hRule="atLeast"/>
        </w:trPr>
        <w:tc>
          <w:tcPr>
            <w:tcW w:w="3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Carrier</w:t>
            </w:r>
          </w:p>
        </w:tc>
        <w:tc>
          <w:tcPr>
            <w:tcW w:w="3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Carrier</w:t>
            </w:r>
          </w:p>
        </w:tc>
        <w:tc>
          <w:tcPr>
            <w:tcW w:w="3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Carrier</w:t>
            </w:r>
          </w:p>
        </w:tc>
      </w:tr>
      <w:tr>
        <w:trPr>
          <w:trHeight w:val="180" w:hRule="atLeast"/>
        </w:trPr>
        <w:tc>
          <w:tcPr>
            <w:tcW w:w="3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Carrier</w:t>
            </w:r>
          </w:p>
        </w:tc>
        <w:tc>
          <w:tcPr>
            <w:tcW w:w="3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Carrier</w:t>
            </w:r>
          </w:p>
        </w:tc>
        <w:tc>
          <w:tcPr>
            <w:tcW w:w="3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3"/>
              </w:rPr>
              <w:t>Carrier</w:t>
            </w:r>
          </w:p>
        </w:tc>
      </w:tr>
    </w:tbl>
    <w:p>
      <w:pPr>
        <w:spacing w:before="0" w:after="0"/>
        <w:ind w:left="120"/>
        <w:jc w:val="both"/>
      </w:pPr>
      <w:r>
        <w:rPr>
          <w:rFonts w:ascii="Times New Roman" w:hAnsi="Times New Roman"/>
          <w:b w:val="false"/>
          <w:i w:val="false"/>
          <w:color w:val="000000"/>
          <w:sz w:val="13"/>
        </w:rPr>
        <w:t>I certify that I am legally authorized to apply for coverage for myself and all other persons named in this application. I further certify that, after this application was completed, I carefully and fully read it, that the statements and answers set forth are full, true, and correct to the best of my knowledge and belief, and that no information required to be given, either expressly or by implication, has been knowingly withheld. I understand that the Carrier will rely on the completeness and truthfulness of the information given and the statements made, and that if I have made any false statements or misrepresentations, or have failed to disclose or concealed any material fact, the Carrier will be entitled to declare any contract or coverage issued pursuant to this application void and to refuse allowance on benefits to any person thereunder, which means that any claims incurred will become my liability. If the group policy does not require my contribution, I understand that I cannot decline any coverage unless the policy indicates otherwise. If the group policy requires my contribution, I authorize my employer to deduct from my pay. I understand an agent or broker cannot guarantee coverage, revise rates, benefits, or provisions without written approval from the Carrier.</w:t>
      </w:r>
    </w:p>
    <w:p>
      <w:pPr>
        <w:spacing w:before="0" w:after="0"/>
        <w:ind w:left="120"/>
        <w:jc w:val="both"/>
      </w:pPr>
      <w:r>
        <w:rPr>
          <w:rFonts w:ascii="Times New Roman" w:hAnsi="Times New Roman"/>
          <w:b w:val="false"/>
          <w:i w:val="false"/>
          <w:color w:val="000000"/>
          <w:sz w:val="22"/>
        </w:rPr>
        <w:t xml:space="preserve">Print Name </w:t>
      </w:r>
    </w:p>
    <w:p>
      <w:pPr>
        <w:spacing w:before="0" w:after="0"/>
        <w:ind w:left="120"/>
        <w:jc w:val="both"/>
      </w:pPr>
      <w:r>
        <w:rPr>
          <w:rFonts w:ascii="Times New Roman" w:hAnsi="Times New Roman"/>
          <w:b w:val="false"/>
          <w:i w:val="false"/>
          <w:color w:val="000000"/>
          <w:sz w:val="22"/>
        </w:rPr>
        <w:t xml:space="preserve">Your signature X </w:t>
      </w:r>
      <w:r>
        <w:rPr>
          <w:rFonts w:ascii="Times New Roman" w:hAnsi="Times New Roman"/>
          <w:b w:val="false"/>
          <w:i w:val="false"/>
          <w:color w:val="000000"/>
          <w:sz w:val="22"/>
        </w:rPr>
        <w:t>Date signed ____________</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1"/>
        </w:rPr>
        <w:t>[Filed emergency 7/2/93—published 7/21/93, effective 7/2/93]</w:t>
      </w:r>
    </w:p>
    <w:p>
      <w:pPr>
        <w:spacing w:before="0" w:after="0"/>
        <w:ind w:left="120"/>
        <w:jc w:val="center"/>
      </w:pPr>
      <w:r>
        <w:rPr>
          <w:rFonts w:ascii="Times New Roman" w:hAnsi="Times New Roman"/>
          <w:b w:val="false"/>
          <w:i w:val="false"/>
          <w:color w:val="000000"/>
          <w:sz w:val="21"/>
        </w:rPr>
        <w:t>[Filed 10/20/93, Notice 7/21/93—published 11/10/93, effective 12/15/93]</w:t>
      </w:r>
    </w:p>
    <w:p>
      <w:pPr>
        <w:spacing w:before="0" w:after="0"/>
        <w:ind w:left="120"/>
        <w:jc w:val="center"/>
      </w:pPr>
      <w:r>
        <w:rPr>
          <w:rFonts w:ascii="Times New Roman" w:hAnsi="Times New Roman"/>
          <w:b w:val="false"/>
          <w:i w:val="false"/>
          <w:color w:val="000000"/>
          <w:sz w:val="21"/>
        </w:rPr>
        <w:t>[Filed 5/2/94, Notice 3/2/94—published 5/25/94, effective 6/29/94]</w:t>
      </w:r>
    </w:p>
    <w:p>
      <w:pPr>
        <w:spacing w:before="0" w:after="0"/>
        <w:ind w:left="120"/>
        <w:jc w:val="center"/>
      </w:pPr>
      <w:r>
        <w:rPr>
          <w:rFonts w:ascii="Times New Roman" w:hAnsi="Times New Roman"/>
          <w:b w:val="false"/>
          <w:i w:val="false"/>
          <w:color w:val="000000"/>
          <w:sz w:val="21"/>
        </w:rPr>
        <w:t>[Filed emergency 12/1/94—published 12/21/94, effective 1/1/95]</w:t>
      </w:r>
    </w:p>
    <w:p>
      <w:pPr>
        <w:spacing w:before="0" w:after="0"/>
        <w:ind w:left="120"/>
        <w:jc w:val="center"/>
      </w:pPr>
      <w:r>
        <w:rPr>
          <w:rFonts w:ascii="Times New Roman" w:hAnsi="Times New Roman"/>
          <w:b w:val="false"/>
          <w:i w:val="false"/>
          <w:color w:val="000000"/>
          <w:sz w:val="21"/>
        </w:rPr>
        <w:t>[Filed 5/4/95, Notice 2/1/95—published 5/24/95, effective 7/1/95]</w:t>
      </w:r>
    </w:p>
    <w:p>
      <w:pPr>
        <w:spacing w:before="0" w:after="0"/>
        <w:ind w:left="120"/>
        <w:jc w:val="center"/>
      </w:pPr>
      <w:r>
        <w:rPr>
          <w:rFonts w:ascii="Times New Roman" w:hAnsi="Times New Roman"/>
          <w:b w:val="false"/>
          <w:i w:val="false"/>
          <w:color w:val="000000"/>
          <w:sz w:val="21"/>
        </w:rPr>
        <w:t>[Filed 7/25/96, Notice 4/24/96—published 8/14/96, effective 9/18/96]</w:t>
      </w:r>
    </w:p>
    <w:p>
      <w:pPr>
        <w:spacing w:before="0" w:after="0"/>
        <w:ind w:left="120"/>
        <w:jc w:val="center"/>
      </w:pPr>
      <w:r>
        <w:rPr>
          <w:rFonts w:ascii="Times New Roman" w:hAnsi="Times New Roman"/>
          <w:b w:val="false"/>
          <w:i w:val="false"/>
          <w:color w:val="000000"/>
          <w:sz w:val="21"/>
        </w:rPr>
        <w:t>[Filed emergency 6/26/97—published 7/16/97, effective 7/1/97]</w:t>
      </w:r>
    </w:p>
    <w:p>
      <w:pPr>
        <w:spacing w:before="0" w:after="0"/>
        <w:ind w:left="120"/>
        <w:jc w:val="center"/>
      </w:pPr>
      <w:r>
        <w:rPr>
          <w:rFonts w:ascii="Times New Roman" w:hAnsi="Times New Roman"/>
          <w:b w:val="false"/>
          <w:i w:val="false"/>
          <w:color w:val="000000"/>
          <w:sz w:val="21"/>
        </w:rPr>
        <w:t>[Filed 10/10/97, Notice 7/16/97—published 11/5/97, effective 12/10/97]</w:t>
      </w:r>
    </w:p>
    <w:p>
      <w:pPr>
        <w:spacing w:before="0" w:after="0"/>
        <w:ind w:left="120"/>
        <w:jc w:val="center"/>
      </w:pPr>
      <w:r>
        <w:rPr>
          <w:rFonts w:ascii="Times New Roman" w:hAnsi="Times New Roman"/>
          <w:b w:val="false"/>
          <w:i w:val="false"/>
          <w:color w:val="000000"/>
          <w:sz w:val="21"/>
        </w:rPr>
        <w:t>[Filed emergency 10/16/98—published 11/4/98, effective 10/16/98]</w:t>
      </w:r>
    </w:p>
    <w:p>
      <w:pPr>
        <w:spacing w:before="0" w:after="0"/>
        <w:ind w:left="120"/>
        <w:jc w:val="center"/>
      </w:pPr>
      <w:r>
        <w:rPr>
          <w:rFonts w:ascii="Times New Roman" w:hAnsi="Times New Roman"/>
          <w:b w:val="false"/>
          <w:i w:val="false"/>
          <w:color w:val="000000"/>
          <w:sz w:val="21"/>
        </w:rPr>
        <w:t>[Filed emergency 6/25/99—published 7/14/99, effective 7/1/99]</w:t>
      </w:r>
    </w:p>
    <w:p>
      <w:pPr>
        <w:spacing w:before="0" w:after="0"/>
        <w:ind w:left="120"/>
        <w:jc w:val="center"/>
      </w:pPr>
      <w:r>
        <w:rPr>
          <w:rFonts w:ascii="Times New Roman" w:hAnsi="Times New Roman"/>
          <w:b w:val="false"/>
          <w:i w:val="false"/>
          <w:color w:val="000000"/>
          <w:sz w:val="21"/>
        </w:rPr>
        <w:t>[Filed 9/3/99, Notice 7/14/99—published 9/22/99, effective 10/27/99]</w:t>
      </w:r>
    </w:p>
    <w:p>
      <w:pPr>
        <w:spacing w:before="0" w:after="0"/>
        <w:ind w:left="120"/>
        <w:jc w:val="center"/>
      </w:pPr>
      <w:r>
        <w:rPr>
          <w:rFonts w:ascii="Times New Roman" w:hAnsi="Times New Roman"/>
          <w:b w:val="false"/>
          <w:i w:val="false"/>
          <w:color w:val="000000"/>
          <w:sz w:val="21"/>
        </w:rPr>
        <w:t>[Filed 4/10/00, Notice 1/12/00—published 5/3/00, effective 6/7/00]</w:t>
      </w:r>
    </w:p>
    <w:p>
      <w:pPr>
        <w:spacing w:before="0" w:after="0"/>
        <w:ind w:left="120"/>
        <w:jc w:val="center"/>
      </w:pPr>
      <w:r>
        <w:rPr>
          <w:rFonts w:ascii="Times New Roman" w:hAnsi="Times New Roman"/>
          <w:b w:val="false"/>
          <w:i w:val="false"/>
          <w:color w:val="000000"/>
          <w:sz w:val="21"/>
        </w:rPr>
        <w:t>[Filed 8/17/00, Notice 7/12/00—published 9/6/00, effective 10/11/00]</w:t>
      </w:r>
    </w:p>
    <w:p>
      <w:pPr>
        <w:spacing w:before="0" w:after="0"/>
        <w:ind w:left="120"/>
        <w:jc w:val="center"/>
      </w:pPr>
      <w:r>
        <w:rPr>
          <w:rFonts w:ascii="Times New Roman" w:hAnsi="Times New Roman"/>
          <w:b w:val="false"/>
          <w:i w:val="false"/>
          <w:color w:val="000000"/>
          <w:sz w:val="21"/>
        </w:rPr>
        <w:t>[Filed 10/27/00, Notice 9/20/00—published 11/15/00, effective 12/20/00]</w:t>
      </w:r>
    </w:p>
    <w:p>
      <w:pPr>
        <w:spacing w:before="0" w:after="0"/>
        <w:ind w:left="120"/>
        <w:jc w:val="center"/>
      </w:pPr>
      <w:r>
        <w:rPr>
          <w:rFonts w:ascii="Times New Roman" w:hAnsi="Times New Roman"/>
          <w:b w:val="false"/>
          <w:i w:val="false"/>
          <w:color w:val="000000"/>
          <w:sz w:val="21"/>
        </w:rPr>
        <w:t>[Filed emergency 10/26/01—published 11/14/01, effective 10/26/01]</w:t>
      </w:r>
    </w:p>
    <w:p>
      <w:pPr>
        <w:spacing w:before="0" w:after="0"/>
        <w:ind w:left="120"/>
        <w:jc w:val="center"/>
      </w:pPr>
      <w:r>
        <w:rPr>
          <w:rFonts w:ascii="Times New Roman" w:hAnsi="Times New Roman"/>
          <w:b w:val="false"/>
          <w:i w:val="false"/>
          <w:color w:val="000000"/>
          <w:sz w:val="21"/>
        </w:rPr>
        <w:t>[Filed 3/29/02, Notice 2/6/02—published 4/17/02, effective 5/22/02]</w:t>
      </w:r>
    </w:p>
    <w:p>
      <w:pPr>
        <w:spacing w:before="0" w:after="0"/>
        <w:ind w:left="120"/>
        <w:jc w:val="center"/>
      </w:pPr>
      <w:r>
        <w:rPr>
          <w:rFonts w:ascii="Times New Roman" w:hAnsi="Times New Roman"/>
          <w:b w:val="false"/>
          <w:i w:val="false"/>
          <w:color w:val="000000"/>
          <w:sz w:val="21"/>
        </w:rPr>
        <w:t>[Filed 4/9/04, Notice 3/3/04—published 4/28/04, effective 6/2/04]</w:t>
      </w:r>
    </w:p>
    <w:p>
      <w:pPr>
        <w:spacing w:before="0" w:after="0"/>
        <w:ind w:left="120"/>
        <w:jc w:val="center"/>
      </w:pPr>
      <w:r>
        <w:rPr>
          <w:rFonts w:ascii="Times New Roman" w:hAnsi="Times New Roman"/>
          <w:b w:val="false"/>
          <w:i w:val="false"/>
          <w:color w:val="000000"/>
          <w:sz w:val="21"/>
        </w:rPr>
        <w:t>[Filed 2/22/08, Notice 12/5/07—published 3/12/08, effective 4/16/08]</w:t>
      </w:r>
    </w:p>
    <w:p>
      <w:pPr>
        <w:spacing w:before="0" w:after="0"/>
        <w:ind w:left="120"/>
        <w:jc w:val="center"/>
      </w:pPr>
      <w:r>
        <w:rPr>
          <w:rFonts w:ascii="Times New Roman" w:hAnsi="Times New Roman"/>
          <w:b w:val="false"/>
          <w:i w:val="false"/>
          <w:color w:val="000000"/>
          <w:sz w:val="21"/>
        </w:rPr>
        <w:t>[Filed ARC 3682C</w:t>
      </w:r>
      <w:r>
        <w:rPr>
          <w:rFonts w:ascii="Times New Roman" w:hAnsi="Times New Roman"/>
          <w:b w:val="false"/>
          <w:i w:val="false"/>
          <w:color w:val="000000"/>
          <w:sz w:val="21"/>
        </w:rPr>
        <w:t xml:space="preserve"> (Notice ARC 3571C, IAB 1/17/18)</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[Filed ARC 6121C</w:t>
      </w:r>
      <w:r>
        <w:rPr>
          <w:rFonts w:ascii="Times New Roman" w:hAnsi="Times New Roman"/>
          <w:b w:val="false"/>
          <w:i w:val="false"/>
          <w:color w:val="000000"/>
          <w:sz w:val="21"/>
        </w:rPr>
        <w:t xml:space="preserve"> (Notice ARC 6002C, IAB 10/20/21)</w:t>
      </w:r>
      <w:r>
        <w:rPr>
          <w:rFonts w:ascii="Times New Roman" w:hAnsi="Times New Roman"/>
          <w:b w:val="false"/>
          <w:i w:val="false"/>
          <w:color w:val="000000"/>
          <w:sz w:val="21"/>
        </w:rPr>
        <w:t>, IAB 12/29/21, effective 2/2/22]</w:t>
      </w:r>
    </w:p>
    <w:p>
      <w:pPr>
        <w:spacing w:before="0" w:after="0"/>
        <w:ind w:left="120"/>
        <w:jc w:val="center"/>
      </w:pPr>
      <w:r>
        <w:rPr>
          <w:rFonts w:ascii="Times New Roman" w:hAnsi="Times New Roman"/>
          <w:b w:val="false"/>
          <w:i w:val="false"/>
          <w:color w:val="000000"/>
          <w:sz w:val="21"/>
        </w:rPr>
        <w:t>[Filed ARC 6547C</w:t>
      </w:r>
      <w:r>
        <w:rPr>
          <w:rFonts w:ascii="Times New Roman" w:hAnsi="Times New Roman"/>
          <w:b w:val="false"/>
          <w:i w:val="false"/>
          <w:color w:val="000000"/>
          <w:sz w:val="21"/>
        </w:rPr>
        <w:t xml:space="preserve"> (Notice ARC 6408C, IAB 7/13/22)</w:t>
      </w:r>
      <w:r>
        <w:rPr>
          <w:rFonts w:ascii="Times New Roman" w:hAnsi="Times New Roman"/>
          <w:b w:val="false"/>
          <w:i w:val="false"/>
          <w:color w:val="000000"/>
          <w:sz w:val="21"/>
        </w:rPr>
        <w:t>, IAB 10/5/22, effective 11/9/22]</w:t>
      </w:r>
    </w:p>
    <w:p>
      <w:pPr>
        <w:pBdr>
          <w:bottom w:space="2"/>
        </w:pBdr>
        <w:spacing w:before="0" w:after="0"/>
        <w:ind w:left="120"/>
        <w:jc w:val="both"/>
      </w:pPr>
      <w:r>
        <w:rPr>
          <w:rFonts w:ascii="Times New Roman" w:hAnsi="Times New Roman"/>
          <w:b/>
          <w:i w:val="false"/>
          <w:color w:val="000000"/>
          <w:sz w:val="22"/>
        </w:rPr>
        <w:t>NOTE</w:t>
      </w:r>
      <w:r>
        <w:rPr>
          <w:rFonts w:ascii="Times New Roman" w:hAnsi="Times New Roman"/>
          <w:b/>
          <w:i w:val="false"/>
          <w:color w:val="000000"/>
          <w:sz w:val="22"/>
        </w:rPr>
        <w:t>:</w:t>
      </w:r>
      <w:r>
        <w:rPr>
          <w:rFonts w:ascii="Times New Roman" w:hAnsi="Times New Roman"/>
          <w:b w:val="false"/>
          <w:i w:val="false"/>
          <w:color w:val="000000"/>
          <w:sz w:val="22"/>
        </w:rPr>
        <w:t xml:space="preserve"> In some instances, the numbering of this chapter does not adhere to the scheme developed for the Iowa Administrative Code.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13B.pdf" Type="http://schemas.openxmlformats.org/officeDocument/2006/relationships/hyperlink" Id="rId5"/>
    <Relationship TargetMode="External" Target="https://www.legis.iowa.gov/docs/ico/chapter/513B.pdf" Type="http://schemas.openxmlformats.org/officeDocument/2006/relationships/hyperlink" Id="rId6"/>
    <Relationship TargetMode="External" Target="https://www.legis.iowa.gov/docs/ico/chapter/513B.5.pdf" Type="http://schemas.openxmlformats.org/officeDocument/2006/relationships/hyperlink" Id="rId7"/>
    <Relationship TargetMode="External" Target="https://www.legis.iowa.gov/docs/ico/chapter/513B.pdf" Type="http://schemas.openxmlformats.org/officeDocument/2006/relationships/hyperlink" Id="rId8"/>
    <Relationship TargetMode="External" Target="https://www.legis.iowa.gov/docs/ico/chapter/135.2.pdf" Type="http://schemas.openxmlformats.org/officeDocument/2006/relationships/hyperlink" Id="rId9"/>
    <Relationship TargetMode="External" Target="https://www.legis.iowa.gov/docs/ico/chapter/514.5.pdf" Type="http://schemas.openxmlformats.org/officeDocument/2006/relationships/hyperlink" Id="rId10"/>
    <Relationship TargetMode="External" Target="https://www.legis.iowa.gov/docs/ico/chapter/513B.pdf" Type="http://schemas.openxmlformats.org/officeDocument/2006/relationships/hyperlink" Id="rId11"/>
    <Relationship TargetMode="External" Target="https://www.legis.iowa.gov/docs/ico/chapter/513B.3.pdf" Type="http://schemas.openxmlformats.org/officeDocument/2006/relationships/hyperlink" Id="rId12"/>
    <Relationship TargetMode="External" Target="https://www.legis.iowa.gov/docs/ico/chapter/513B.pdf" Type="http://schemas.openxmlformats.org/officeDocument/2006/relationships/hyperlink" Id="rId13"/>
    <Relationship TargetMode="External" Target="https://www.legis.iowa.gov/docs/ico/chapter/513B.pdf" Type="http://schemas.openxmlformats.org/officeDocument/2006/relationships/hyperlink" Id="rId14"/>
    <Relationship TargetMode="External" Target="https://www.legis.iowa.gov/docs/ico/chapter/513B.10.pdf" Type="http://schemas.openxmlformats.org/officeDocument/2006/relationships/hyperlink" Id="rId15"/>
    <Relationship TargetMode="External" Target="https://www.legis.iowa.gov/docs/ico/chapter/513B.10.pdf" Type="http://schemas.openxmlformats.org/officeDocument/2006/relationships/hyperlink" Id="rId16"/>
    <Relationship TargetMode="External" Target="https://www.legis.iowa.gov/docs/ico/chapter/513B.pdf" Type="http://schemas.openxmlformats.org/officeDocument/2006/relationships/hyperlink" Id="rId17"/>
    <Relationship TargetMode="External" Target="https://www.legis.iowa.gov/docs/ico/chapter/513B.pdf" Type="http://schemas.openxmlformats.org/officeDocument/2006/relationships/hyperlink" Id="rId18"/>
    <Relationship TargetMode="External" Target="https://www.legis.iowa.gov/docs/ico/chapter/513B.pdf" Type="http://schemas.openxmlformats.org/officeDocument/2006/relationships/hyperlink" Id="rId19"/>
    <Relationship TargetMode="External" Target="https://www.legis.iowa.gov/docs/ico/chapter/513B.pdf" Type="http://schemas.openxmlformats.org/officeDocument/2006/relationships/hyperlink" Id="rId20"/>
    <Relationship TargetMode="External" Target="https://www.legis.iowa.gov/docs/ico/chapter/513B.pdf" Type="http://schemas.openxmlformats.org/officeDocument/2006/relationships/hyperlink" Id="rId21"/>
    <Relationship TargetMode="External" Target="https://www.legis.iowa.gov/docs/ico/chapter/513B.pdf" Type="http://schemas.openxmlformats.org/officeDocument/2006/relationships/hyperlink" Id="rId22"/>
    <Relationship TargetMode="External" Target="https://www.legis.iowa.gov/docs/ico/chapter/513B.pdf" Type="http://schemas.openxmlformats.org/officeDocument/2006/relationships/hyperlink" Id="rId23"/>
    <Relationship TargetMode="External" Target="https://www.legis.iowa.gov/docs/ico/chapter/513B.pdf" Type="http://schemas.openxmlformats.org/officeDocument/2006/relationships/hyperlink" Id="rId24"/>
    <Relationship TargetMode="External" Target="https://www.legis.iowa.gov/docs/ico/chapter/513B.pdf" Type="http://schemas.openxmlformats.org/officeDocument/2006/relationships/hyperlink" Id="rId25"/>
    <Relationship TargetMode="External" Target="https://www.legis.iowa.gov/docs/ico/chapter/513B.pdf" Type="http://schemas.openxmlformats.org/officeDocument/2006/relationships/hyperlink" Id="rId26"/>
    <Relationship TargetMode="External" Target="https://www.legis.iowa.gov/docs/ico/chapter/513B.pdf" Type="http://schemas.openxmlformats.org/officeDocument/2006/relationships/hyperlink" Id="rId27"/>
    <Relationship TargetMode="External" Target="https://www.legis.iowa.gov/docs/ico/chapter/513B.2.pdf" Type="http://schemas.openxmlformats.org/officeDocument/2006/relationships/hyperlink" Id="rId28"/>
    <Relationship TargetMode="External" Target="https://www.legis.iowa.gov/docs/ico/chapter/513B.2.pdf" Type="http://schemas.openxmlformats.org/officeDocument/2006/relationships/hyperlink" Id="rId29"/>
    <Relationship TargetMode="External" Target="https://www.legis.iowa.gov/docs/ico/chapter/513B.3.pdf" Type="http://schemas.openxmlformats.org/officeDocument/2006/relationships/hyperlink" Id="rId30"/>
    <Relationship TargetMode="External" Target="https://www.legis.iowa.gov/docs/ico/chapter/513B.pdf" Type="http://schemas.openxmlformats.org/officeDocument/2006/relationships/hyperlink" Id="rId31"/>
    <Relationship TargetMode="External" Target="https://www.legis.iowa.gov/docs/iac/rule/191.71.5.pdf" Type="http://schemas.openxmlformats.org/officeDocument/2006/relationships/hyperlink" Id="rId32"/>
    <Relationship TargetMode="External" Target="https://www.legis.iowa.gov/docs/iac/rule/191.71.5.pdf" Type="http://schemas.openxmlformats.org/officeDocument/2006/relationships/hyperlink" Id="rId33"/>
    <Relationship TargetMode="External" Target="https://www.legis.iowa.gov/docs/iac/rule/191.71.5.pdf" Type="http://schemas.openxmlformats.org/officeDocument/2006/relationships/hyperlink" Id="rId34"/>
    <Relationship TargetMode="External" Target="https://www.legis.iowa.gov/docs/iac/rule/191.71.5.pdf" Type="http://schemas.openxmlformats.org/officeDocument/2006/relationships/hyperlink" Id="rId35"/>
    <Relationship TargetMode="External" Target="https://www.legis.iowa.gov/docs/iac/rule/191.71.5.pdf" Type="http://schemas.openxmlformats.org/officeDocument/2006/relationships/hyperlink" Id="rId36"/>
    <Relationship TargetMode="External" Target="https://www.legis.iowa.gov/docs/iac/rule/191.71.5.pdf" Type="http://schemas.openxmlformats.org/officeDocument/2006/relationships/hyperlink" Id="rId37"/>
    <Relationship TargetMode="External" Target="https://www.legis.iowa.gov/docs/iac/rule/191.71.5.pdf" Type="http://schemas.openxmlformats.org/officeDocument/2006/relationships/hyperlink" Id="rId38"/>
    <Relationship TargetMode="External" Target="https://www.legis.iowa.gov/docs/ico/chapter/513B.4.pdf" Type="http://schemas.openxmlformats.org/officeDocument/2006/relationships/hyperlink" Id="rId39"/>
    <Relationship TargetMode="External" Target="https://www.legis.iowa.gov/docs/ico/chapter/513B.17.pdf" Type="http://schemas.openxmlformats.org/officeDocument/2006/relationships/hyperlink" Id="rId40"/>
    <Relationship TargetMode="External" Target="https://www.legis.iowa.gov/docs/ico/chapter/513B.4.pdf" Type="http://schemas.openxmlformats.org/officeDocument/2006/relationships/hyperlink" Id="rId41"/>
    <Relationship TargetMode="External" Target="https://www.legis.iowa.gov/docs/ico/chapter/513B.4.pdf" Type="http://schemas.openxmlformats.org/officeDocument/2006/relationships/hyperlink" Id="rId42"/>
    <Relationship TargetMode="External" Target="https://www.legis.iowa.gov/docs/iac/rule/191.71.5.pdf" Type="http://schemas.openxmlformats.org/officeDocument/2006/relationships/hyperlink" Id="rId43"/>
    <Relationship TargetMode="External" Target="https://www.legis.iowa.gov/docs/ico/chapter/513B.4.pdf" Type="http://schemas.openxmlformats.org/officeDocument/2006/relationships/hyperlink" Id="rId44"/>
    <Relationship TargetMode="External" Target="https://www.legis.iowa.gov/docs/iac/rule/191.71.5.pdf" Type="http://schemas.openxmlformats.org/officeDocument/2006/relationships/hyperlink" Id="rId45"/>
    <Relationship TargetMode="External" Target="https://www.legis.iowa.gov/docs/iac/rule/191.71.5.pdf" Type="http://schemas.openxmlformats.org/officeDocument/2006/relationships/hyperlink" Id="rId46"/>
    <Relationship TargetMode="External" Target="https://www.legis.iowa.gov/docs/ico/chapter/513B.2.pdf" Type="http://schemas.openxmlformats.org/officeDocument/2006/relationships/hyperlink" Id="rId47"/>
    <Relationship TargetMode="External" Target="https://www.legis.iowa.gov/docs/ico/chapter/513B.4.pdf" Type="http://schemas.openxmlformats.org/officeDocument/2006/relationships/hyperlink" Id="rId48"/>
    <Relationship TargetMode="External" Target="https://www.legis.iowa.gov/docs/ico/chapter/513B.pdf" Type="http://schemas.openxmlformats.org/officeDocument/2006/relationships/hyperlink" Id="rId49"/>
    <Relationship TargetMode="External" Target="https://www.legis.iowa.gov/docs/ico/chapter/521.pdf" Type="http://schemas.openxmlformats.org/officeDocument/2006/relationships/hyperlink" Id="rId50"/>
    <Relationship TargetMode="External" Target="https://www.legis.iowa.gov/docs/ico/chapter/521B.pdf" Type="http://schemas.openxmlformats.org/officeDocument/2006/relationships/hyperlink" Id="rId51"/>
    <Relationship TargetMode="External" Target="https://www.legis.iowa.gov/docs/ico/chapter/521.pdf" Type="http://schemas.openxmlformats.org/officeDocument/2006/relationships/hyperlink" Id="rId52"/>
    <Relationship TargetMode="External" Target="https://www.legis.iowa.gov/docs/ico/chapter/521B.pdf" Type="http://schemas.openxmlformats.org/officeDocument/2006/relationships/hyperlink" Id="rId53"/>
    <Relationship TargetMode="External" Target="https://www.legis.iowa.gov/docs/ico/chapter/513B.pdf" Type="http://schemas.openxmlformats.org/officeDocument/2006/relationships/hyperlink" Id="rId54"/>
    <Relationship TargetMode="External" Target="https://www.legis.iowa.gov/docs/ico/chapter/513B.4.pdf" Type="http://schemas.openxmlformats.org/officeDocument/2006/relationships/hyperlink" Id="rId55"/>
    <Relationship TargetMode="External" Target="https://www.legis.iowa.gov/docs/iac/rule/191.71.6.pdf" Type="http://schemas.openxmlformats.org/officeDocument/2006/relationships/hyperlink" Id="rId56"/>
    <Relationship TargetMode="External" Target="https://www.legis.iowa.gov/docs/ico/chapter/513B.4.pdf" Type="http://schemas.openxmlformats.org/officeDocument/2006/relationships/hyperlink" Id="rId57"/>
    <Relationship TargetMode="External" Target="https://www.legis.iowa.gov/docs/iac/rule/191.71.6.pdf" Type="http://schemas.openxmlformats.org/officeDocument/2006/relationships/hyperlink" Id="rId58"/>
    <Relationship TargetMode="External" Target="https://www.legis.iowa.gov/docs/iac/rule/191.71.6.pdf" Type="http://schemas.openxmlformats.org/officeDocument/2006/relationships/hyperlink" Id="rId59"/>
    <Relationship TargetMode="External" Target="https://www.legis.iowa.gov/docs/iac/rule/191.71.6.pdf" Type="http://schemas.openxmlformats.org/officeDocument/2006/relationships/hyperlink" Id="rId60"/>
    <Relationship TargetMode="External" Target="https://www.legis.iowa.gov/docs/ico/chapter/513B.4.pdf" Type="http://schemas.openxmlformats.org/officeDocument/2006/relationships/hyperlink" Id="rId61"/>
    <Relationship TargetMode="External" Target="https://www.legis.iowa.gov/docs/iac/rule/191.71.6.pdf" Type="http://schemas.openxmlformats.org/officeDocument/2006/relationships/hyperlink" Id="rId62"/>
    <Relationship TargetMode="External" Target="https://www.legis.iowa.gov/docs/iac/rule/191.71.6.pdf" Type="http://schemas.openxmlformats.org/officeDocument/2006/relationships/hyperlink" Id="rId63"/>
    <Relationship TargetMode="External" Target="https://www.legis.iowa.gov/docs/ico/chapter/513B.4.pdf" Type="http://schemas.openxmlformats.org/officeDocument/2006/relationships/hyperlink" Id="rId64"/>
    <Relationship TargetMode="External" Target="https://www.legis.iowa.gov/docs/ico/chapter/513B.4.pdf" Type="http://schemas.openxmlformats.org/officeDocument/2006/relationships/hyperlink" Id="rId65"/>
    <Relationship TargetMode="External" Target="https://www.legis.iowa.gov/docs/ico/chapter/513B.4.pdf" Type="http://schemas.openxmlformats.org/officeDocument/2006/relationships/hyperlink" Id="rId66"/>
    <Relationship TargetMode="External" Target="https://www.legis.iowa.gov/docs/ico/chapter/513B.4.pdf" Type="http://schemas.openxmlformats.org/officeDocument/2006/relationships/hyperlink" Id="rId67"/>
    <Relationship TargetMode="External" Target="https://www.legis.iowa.gov/docs/ico/chapter/513B.4.pdf" Type="http://schemas.openxmlformats.org/officeDocument/2006/relationships/hyperlink" Id="rId68"/>
    <Relationship TargetMode="External" Target="https://www.legis.iowa.gov/docs/ico/chapter/513B.4.pdf" Type="http://schemas.openxmlformats.org/officeDocument/2006/relationships/hyperlink" Id="rId69"/>
    <Relationship TargetMode="External" Target="https://www.legis.iowa.gov/docs/ico/chapter/513B.4.pdf" Type="http://schemas.openxmlformats.org/officeDocument/2006/relationships/hyperlink" Id="rId70"/>
    <Relationship TargetMode="External" Target="https://www.legis.iowa.gov/docs/ico/chapter/513B.4.pdf" Type="http://schemas.openxmlformats.org/officeDocument/2006/relationships/hyperlink" Id="rId71"/>
    <Relationship TargetMode="External" Target="https://www.legis.iowa.gov/docs/iac/rule/191.71.6.pdf" Type="http://schemas.openxmlformats.org/officeDocument/2006/relationships/hyperlink" Id="rId72"/>
    <Relationship TargetMode="External" Target="https://www.legis.iowa.gov/docs/iac/rule/191.71.6.pdf" Type="http://schemas.openxmlformats.org/officeDocument/2006/relationships/hyperlink" Id="rId73"/>
    <Relationship TargetMode="External" Target="https://www.legis.iowa.gov/docs/ico/chapter/513B.4.pdf" Type="http://schemas.openxmlformats.org/officeDocument/2006/relationships/hyperlink" Id="rId74"/>
    <Relationship TargetMode="External" Target="https://www.legis.iowa.gov/docs/ico/chapter/513B.4.pdf" Type="http://schemas.openxmlformats.org/officeDocument/2006/relationships/hyperlink" Id="rId75"/>
    <Relationship TargetMode="External" Target="https://www.legis.iowa.gov/docs/ico/chapter/513B.4A.pdf" Type="http://schemas.openxmlformats.org/officeDocument/2006/relationships/hyperlink" Id="rId76"/>
    <Relationship TargetMode="External" Target="https://www.legis.iowa.gov/docs/ico/chapter/513B.10.pdf" Type="http://schemas.openxmlformats.org/officeDocument/2006/relationships/hyperlink" Id="rId77"/>
    <Relationship TargetMode="External" Target="https://www.legis.iowa.gov/docs/ico/chapter/514E.pdf" Type="http://schemas.openxmlformats.org/officeDocument/2006/relationships/hyperlink" Id="rId78"/>
    <Relationship TargetMode="External" Target="https://www.legis.iowa.gov/docs/ico/chapter/514E.pdf" Type="http://schemas.openxmlformats.org/officeDocument/2006/relationships/hyperlink" Id="rId79"/>
    <Relationship TargetMode="External" Target="https://www.legis.iowa.gov/docs/iac/rule/191.71.7.pdf" Type="http://schemas.openxmlformats.org/officeDocument/2006/relationships/hyperlink" Id="rId80"/>
    <Relationship TargetMode="External" Target="https://www.legis.iowa.gov/docs/iac/rule/191.71.7.pdf" Type="http://schemas.openxmlformats.org/officeDocument/2006/relationships/hyperlink" Id="rId81"/>
    <Relationship TargetMode="External" Target="https://www.legis.iowa.gov/docs/iac/rule/191.71.7.pdf" Type="http://schemas.openxmlformats.org/officeDocument/2006/relationships/hyperlink" Id="rId82"/>
    <Relationship TargetMode="External" Target="https://www.legis.iowa.gov/docs/iac/rule/191.71.7.pdf" Type="http://schemas.openxmlformats.org/officeDocument/2006/relationships/hyperlink" Id="rId83"/>
    <Relationship TargetMode="External" Target="https://www.legis.iowa.gov/docs/iac/rule/191.71.7.pdf" Type="http://schemas.openxmlformats.org/officeDocument/2006/relationships/hyperlink" Id="rId84"/>
    <Relationship TargetMode="External" Target="https://www.legis.iowa.gov/docs/ico/chapter/513B.10.pdf" Type="http://schemas.openxmlformats.org/officeDocument/2006/relationships/hyperlink" Id="rId85"/>
    <Relationship TargetMode="External" Target="https://www.legis.iowa.gov/docs/ico/chapter/513B.10.pdf" Type="http://schemas.openxmlformats.org/officeDocument/2006/relationships/hyperlink" Id="rId86"/>
    <Relationship TargetMode="External" Target="https://www.legis.iowa.gov/docs/ico/chapter/513B.4.pdf" Type="http://schemas.openxmlformats.org/officeDocument/2006/relationships/hyperlink" Id="rId87"/>
    <Relationship TargetMode="External" Target="https://www.legis.iowa.gov/docs/ico/chapter/513B.2.pdf" Type="http://schemas.openxmlformats.org/officeDocument/2006/relationships/hyperlink" Id="rId88"/>
    <Relationship TargetMode="External" Target="https://www.legis.iowa.gov/docs/iac/rule/191.71.7.pdf" Type="http://schemas.openxmlformats.org/officeDocument/2006/relationships/hyperlink" Id="rId89"/>
    <Relationship TargetMode="External" Target="https://www.legis.iowa.gov/docs/iac/rule/191.71.7.pdf" Type="http://schemas.openxmlformats.org/officeDocument/2006/relationships/hyperlink" Id="rId90"/>
    <Relationship TargetMode="External" Target="https://www.legis.iowa.gov/docs/ico/chapter/513B.4.pdf" Type="http://schemas.openxmlformats.org/officeDocument/2006/relationships/hyperlink" Id="rId91"/>
    <Relationship TargetMode="External" Target="https://www.legis.iowa.gov/docs/ico/chapter/513B.5.pdf" Type="http://schemas.openxmlformats.org/officeDocument/2006/relationships/hyperlink" Id="rId92"/>
    <Relationship TargetMode="External" Target="https://www.legis.iowa.gov/docs/ico/chapter/513B.5.pdf" Type="http://schemas.openxmlformats.org/officeDocument/2006/relationships/hyperlink" Id="rId93"/>
    <Relationship TargetMode="External" Target="https://www.legis.iowa.gov/docs/ico/chapter/513B.2.pdf" Type="http://schemas.openxmlformats.org/officeDocument/2006/relationships/hyperlink" Id="rId94"/>
    <Relationship TargetMode="External" Target="https://www.legis.iowa.gov/docs/ico/chapter/513B.10.pdf" Type="http://schemas.openxmlformats.org/officeDocument/2006/relationships/hyperlink" Id="rId95"/>
    <Relationship TargetMode="External" Target="https://www.legis.iowa.gov/docs/ico/chapter/513B.pdf" Type="http://schemas.openxmlformats.org/officeDocument/2006/relationships/hyperlink" Id="rId96"/>
    <Relationship TargetMode="External" Target="https://www.legis.iowa.gov/docs/iac/rule/191.71.12.pdf" Type="http://schemas.openxmlformats.org/officeDocument/2006/relationships/hyperlink" Id="rId97"/>
    <Relationship TargetMode="External" Target="https://www.legis.iowa.gov/docs/ico/chapter/513B.pdf" Type="http://schemas.openxmlformats.org/officeDocument/2006/relationships/hyperlink" Id="rId98"/>
    <Relationship TargetMode="External" Target="https://www.legis.iowa.gov/docs/ico/chapter/513B.11-13.pdf" Type="http://schemas.openxmlformats.org/officeDocument/2006/relationships/hyperlink" Id="rId99"/>
    <Relationship TargetMode="External" Target="https://www.legis.iowa.gov/docs/ico/chapter/513B.pdf" Type="http://schemas.openxmlformats.org/officeDocument/2006/relationships/hyperlink" Id="rId100"/>
    <Relationship TargetMode="External" Target="https://www.legis.iowa.gov/docs/ico/chapter/513B.11-13.pdf" Type="http://schemas.openxmlformats.org/officeDocument/2006/relationships/hyperlink" Id="rId101"/>
    <Relationship TargetMode="External" Target="https://www.legis.iowa.gov/docs/ico/chapter/513B.17A.pdf" Type="http://schemas.openxmlformats.org/officeDocument/2006/relationships/hyperlink" Id="rId102"/>
    <Relationship TargetMode="External" Target="https://www.legis.iowa.gov/docs/iac/rule/191.71.13.pdf" Type="http://schemas.openxmlformats.org/officeDocument/2006/relationships/hyperlink" Id="rId103"/>
    <Relationship TargetMode="External" Target="https://www.legis.iowa.gov/docs/ico/chapter/513B.11.pdf" Type="http://schemas.openxmlformats.org/officeDocument/2006/relationships/hyperlink" Id="rId104"/>
    <Relationship TargetMode="External" Target="https://www.legis.iowa.gov/docs/iac/rule/191.71.12.pdf" Type="http://schemas.openxmlformats.org/officeDocument/2006/relationships/hyperlink" Id="rId105"/>
    <Relationship TargetMode="External" Target="https://www.legis.iowa.gov/docs/iac/rule/191.71.13.pdf" Type="http://schemas.openxmlformats.org/officeDocument/2006/relationships/hyperlink" Id="rId106"/>
    <Relationship TargetMode="External" Target="https://www.legis.iowa.gov/docs/iac/rule/191.71.13.pdf" Type="http://schemas.openxmlformats.org/officeDocument/2006/relationships/hyperlink" Id="rId107"/>
    <Relationship TargetMode="External" Target="https://www.legis.iowa.gov/docs/ico/chapter/513B.5.pdf" Type="http://schemas.openxmlformats.org/officeDocument/2006/relationships/hyperlink" Id="rId108"/>
    <Relationship TargetMode="External" Target="https://www.legis.iowa.gov/docs/iac/rule/191.71.13.pdf" Type="http://schemas.openxmlformats.org/officeDocument/2006/relationships/hyperlink" Id="rId109"/>
    <Relationship TargetMode="External" Target="https://www.legis.iowa.gov/docs/ico/chapter/513B.5.pdf" Type="http://schemas.openxmlformats.org/officeDocument/2006/relationships/hyperlink" Id="rId110"/>
    <Relationship TargetMode="External" Target="https://www.legis.iowa.gov/docs/iac/rule/191.71.13.pdf" Type="http://schemas.openxmlformats.org/officeDocument/2006/relationships/hyperlink" Id="rId111"/>
    <Relationship TargetMode="External" Target="https://www.legis.iowa.gov/docs/iac/rule/191.71.13.pdf" Type="http://schemas.openxmlformats.org/officeDocument/2006/relationships/hyperlink" Id="rId112"/>
    <Relationship TargetMode="External" Target="https://www.legis.iowa.gov/docs/iac/rule/191.71.13.pdf" Type="http://schemas.openxmlformats.org/officeDocument/2006/relationships/hyperlink" Id="rId113"/>
    <Relationship TargetMode="External" Target="https://www.legis.iowa.gov/docs/ico/chapter/513B.4.pdf" Type="http://schemas.openxmlformats.org/officeDocument/2006/relationships/hyperlink" Id="rId114"/>
    <Relationship TargetMode="External" Target="https://www.legis.iowa.gov/docs/ico/chapter/513B.12.pdf" Type="http://schemas.openxmlformats.org/officeDocument/2006/relationships/hyperlink" Id="rId115"/>
    <Relationship TargetMode="External" Target="https://www.legis.iowa.gov/docs/ico/chapter/151.pdf" Type="http://schemas.openxmlformats.org/officeDocument/2006/relationships/hyperlink" Id="rId116"/>
    <Relationship TargetMode="External" Target="https://www.legis.iowa.gov/docs/iac/chapter/191.80.pdf" Type="http://schemas.openxmlformats.org/officeDocument/2006/relationships/hyperlink" Id="rId117"/>
    <Relationship TargetMode="External" Target="https://www.legis.iowa.gov/docs/ico/chapter/513B.pdf" Type="http://schemas.openxmlformats.org/officeDocument/2006/relationships/hyperlink" Id="rId118"/>
    <Relationship TargetMode="External" Target="https://www.legis.iowa.gov/docs/ico/chapter/514C.18.pdf" Type="http://schemas.openxmlformats.org/officeDocument/2006/relationships/hyperlink" Id="rId119"/>
    <Relationship TargetMode="External" Target="https://www.legis.iowa.gov/docs/iac/rule/191.71.15.pdf" Type="http://schemas.openxmlformats.org/officeDocument/2006/relationships/hyperlink" Id="rId120"/>
    <Relationship TargetMode="External" Target="https://www.legis.iowa.gov/docs/iac/rule/191.71.15.pdf" Type="http://schemas.openxmlformats.org/officeDocument/2006/relationships/hyperlink" Id="rId121"/>
    <Relationship TargetMode="External" Target="https://www.legis.iowa.gov/docs/iac/rule/191.71.15.pdf" Type="http://schemas.openxmlformats.org/officeDocument/2006/relationships/hyperlink" Id="rId122"/>
    <Relationship TargetMode="External" Target="https://www.legis.iowa.gov/docs/iac/rule/191.71.15.pdf" Type="http://schemas.openxmlformats.org/officeDocument/2006/relationships/hyperlink" Id="rId123"/>
    <Relationship TargetMode="External" Target="https://www.legis.iowa.gov/docs/iac/rule/191.71.15.pdf" Type="http://schemas.openxmlformats.org/officeDocument/2006/relationships/hyperlink" Id="rId124"/>
    <Relationship TargetMode="External" Target="https://www.legis.iowa.gov/docs/iac/rule/191.71.15.pdf" Type="http://schemas.openxmlformats.org/officeDocument/2006/relationships/hyperlink" Id="rId125"/>
    <Relationship TargetMode="External" Target="https://www.legis.iowa.gov/docs/iac/rule/191.71.15.pdf" Type="http://schemas.openxmlformats.org/officeDocument/2006/relationships/hyperlink" Id="rId126"/>
    <Relationship TargetMode="External" Target="https://www.legis.iowa.gov/docs/iac/rule/191.71.18.pdf" Type="http://schemas.openxmlformats.org/officeDocument/2006/relationships/hyperlink" Id="rId127"/>
    <Relationship TargetMode="External" Target="https://www.legis.iowa.gov/docs/iac/rule/191.71.18.pdf" Type="http://schemas.openxmlformats.org/officeDocument/2006/relationships/hyperlink" Id="rId128"/>
    <Relationship TargetMode="External" Target="https://www.legis.iowa.gov/docs/iac/rule/191.71.18.pdf" Type="http://schemas.openxmlformats.org/officeDocument/2006/relationships/hyperlink" Id="rId129"/>
    <Relationship TargetMode="External" Target="https://www.legis.iowa.gov/docs/ico/chapter/513B.pdf" Type="http://schemas.openxmlformats.org/officeDocument/2006/relationships/hyperlink" Id="rId130"/>
    <Relationship TargetMode="External" Target="https://www.legis.iowa.gov/docs/ico/chapter/514C.pdf" Type="http://schemas.openxmlformats.org/officeDocument/2006/relationships/hyperlink" Id="rId131"/>
    <Relationship TargetMode="External" Target="https://www.legis.iowa.gov/docs/ico/chapter/514C.19.pdf" Type="http://schemas.openxmlformats.org/officeDocument/2006/relationships/hyperlink" Id="rId132"/>
    <Relationship TargetMode="External" Target="https://www.legis.iowa.gov/docs/ico/chapter/513B.pdf" Type="http://schemas.openxmlformats.org/officeDocument/2006/relationships/hyperlink" Id="rId133"/>
    <Relationship TargetMode="External" Target="https://www.legis.iowa.gov/docs/ico/chapter/513B.13.pdf" Type="http://schemas.openxmlformats.org/officeDocument/2006/relationships/hyperlink" Id="rId134"/>
    <Relationship TargetMode="External" Target="https://www.legis.iowa.gov/docs/ico/chapter/513B.18.pdf" Type="http://schemas.openxmlformats.org/officeDocument/2006/relationships/hyperlink" Id="rId13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