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WORKERS’ COMPENSATION INSURANCE RATE FILING PROCEDURES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191—60.1</w:t>
      </w:r>
      <w:r>
        <w:rPr>
          <w:rFonts w:ascii="Times New Roman" w:hAnsi="Times New Roman"/>
          <w:b/>
          <w:i w:val="false"/>
          <w:color w:val="000000"/>
          <w:sz w:val="22"/>
        </w:rPr>
        <w:t xml:space="preserve">(515A)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set forth filing procedures and parameters for rates as required by Iowa Code chapter </w:t>
      </w:r>
      <w:hyperlink r:id="rId5">
        <w:r>
          <w:rPr>
            <w:rStyle w:val="Hyperlink"/>
            <w:rFonts w:ascii="Times New Roman" w:hAnsi="Times New Roman"/>
            <w:b w:val="false"/>
            <w:i w:val="false"/>
            <w:color w:val="000000"/>
            <w:sz w:val="22"/>
          </w:rPr>
          <w:t>515A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to create or imply a private cause of action for a violation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191—60.2</w:t>
      </w:r>
      <w:r>
        <w:rPr>
          <w:rFonts w:ascii="Times New Roman" w:hAnsi="Times New Roman"/>
          <w:b/>
          <w:i w:val="false"/>
          <w:color w:val="000000"/>
          <w:sz w:val="22"/>
        </w:rPr>
        <w:t xml:space="preserve">(515A) </w:t>
      </w:r>
      <w:r>
        <w:rPr>
          <w:rFonts w:ascii="Times New Roman" w:hAnsi="Times New Roman"/>
          <w:b/>
          <w:i w:val="false"/>
          <w:color w:val="000000"/>
          <w:sz w:val="22"/>
        </w:rPr>
        <w:t xml:space="preserve">Definitions, scope,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515A.2</w:t>
        </w:r>
      </w:hyperlink>
      <w:r>
        <w:rPr>
          <w:rFonts w:ascii="Times New Roman" w:hAnsi="Times New Roman"/>
          <w:b w:val="false"/>
          <w:i w:val="false"/>
          <w:color w:val="000000"/>
          <w:sz w:val="22"/>
        </w:rPr>
        <w:t xml:space="preserve"> are incorporated into this chapter by this reference.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“SERFF” </w:t>
      </w:r>
      <w:r>
        <w:rPr>
          <w:rFonts w:ascii="Times New Roman" w:hAnsi="Times New Roman"/>
          <w:b w:val="false"/>
          <w:i w:val="false"/>
          <w:color w:val="000000"/>
          <w:sz w:val="22"/>
        </w:rPr>
        <w:t>means the National Association of Insurance Commissioners’ System for Electronic Rate and Form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This chapter shall apply only to workers’ compensation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issued under the authority of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515A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191—60.3</w:t>
      </w:r>
      <w:r>
        <w:rPr>
          <w:rFonts w:ascii="Times New Roman" w:hAnsi="Times New Roman"/>
          <w:b/>
          <w:i w:val="false"/>
          <w:color w:val="000000"/>
          <w:sz w:val="22"/>
        </w:rPr>
        <w:t xml:space="preserve">(515A) </w:t>
      </w:r>
      <w:r>
        <w:rPr>
          <w:rFonts w:ascii="Times New Roman" w:hAnsi="Times New Roman"/>
          <w:b/>
          <w:i w:val="false"/>
          <w:color w:val="000000"/>
          <w:sz w:val="22"/>
        </w:rPr>
        <w:t xml:space="preserve">General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required to file rates with the division shall submit required rate filings and any fees required for the filings electronically using SERFF. Insurers must comply with the division’s requirements, including both the Iowa general instructions and the specific submission requirements for the type of insurance for which the companies are submitting forms or rates, as set out on the SERFF website at </w:t>
      </w:r>
      <w:hyperlink r:id="rId9">
        <w:r>
          <w:rPr>
            <w:rStyle w:val="Hyperlink"/>
            <w:rFonts w:ascii="Times New Roman" w:hAnsi="Times New Roman"/>
            <w:b w:val="false"/>
            <w:i w:val="false"/>
            <w:color w:val="000000"/>
            <w:sz w:val="22"/>
            <w:u w:val="single"/>
          </w:rPr>
          <w:t>serff.com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No rate filing shall include any adjustment designed to recover underwriting or operating losses incurred out of state. Upon request by the division, insurers doing business in Iowa shall segregate in their rate filings data from any state identified by the division, and the filings shall include a certification that no portion of any rate increase is designed to recover underwriting or operating losses incurred in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191—60.4</w:t>
      </w:r>
      <w:r>
        <w:rPr>
          <w:rFonts w:ascii="Times New Roman" w:hAnsi="Times New Roman"/>
          <w:b/>
          <w:i w:val="false"/>
          <w:color w:val="000000"/>
          <w:sz w:val="22"/>
        </w:rPr>
        <w:t xml:space="preserve">(515A) </w:t>
      </w:r>
      <w:r>
        <w:rPr>
          <w:rFonts w:ascii="Times New Roman" w:hAnsi="Times New Roman"/>
          <w:b/>
          <w:i w:val="false"/>
          <w:color w:val="000000"/>
          <w:sz w:val="22"/>
        </w:rPr>
        <w:t xml:space="preserve">Rate or manual rule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insurer, either on its own or via a licensed rating organization, shall file with the division, pursuant to provisions of Iowa Code chapter </w:t>
      </w:r>
      <w:hyperlink r:id="rId10">
        <w:r>
          <w:rPr>
            <w:rStyle w:val="Hyperlink"/>
            <w:rFonts w:ascii="Times New Roman" w:hAnsi="Times New Roman"/>
            <w:b w:val="false"/>
            <w:i w:val="false"/>
            <w:color w:val="000000"/>
            <w:sz w:val="22"/>
          </w:rPr>
          <w:t>515A</w:t>
        </w:r>
      </w:hyperlink>
      <w:r>
        <w:rPr>
          <w:rFonts w:ascii="Times New Roman" w:hAnsi="Times New Roman"/>
          <w:b w:val="false"/>
          <w:i w:val="false"/>
          <w:color w:val="000000"/>
          <w:sz w:val="22"/>
        </w:rPr>
        <w:t>, every manual, minimum, class rate, rating schedule or rating plan and every other rating rule, and every modification of any of the foregoing that it proposes to use.</w:t>
      </w:r>
    </w:p>
    <w:p>
      <w:pPr>
        <w:spacing w:before="0" w:after="0"/>
        <w:ind w:left="120"/>
        <w:jc w:val="both"/>
      </w:pPr>
      <w:r>
        <w:rPr>
          <w:rFonts w:ascii="Times New Roman" w:hAnsi="Times New Roman"/>
          <w:b w:val="false"/>
          <w:i w:val="false"/>
          <w:color w:val="000000"/>
          <w:sz w:val="22"/>
        </w:rPr>
        <w:t xml:space="preserve">Every insurer shall adhere to the filings made on its behalf by a rating organization except that any such insurer may file a deviation from the class rates, schedules, rating plans, or rules, or a combination thereof, at any time during the year and, once approved, the deviation need only be refiled to propose changes to any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An insurer may file for approval by the division a uniform percentage rate deviation to be applied to the class rates of the rating organization’s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rate deviation from the approved class rates of a rating organization shall not exceed 15 percent nor shall it cause the rate charged a policyholder to exceed the approved assigned risk rates but must state whether or not the proposed deviation is to be applied to minimum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an insurer has an existing approved filing for which the deviation results in rates above those approved for the assigned risk, the insurer must use the same deviation as approved for the assigned risk effective the same date as the approval of the assigned risk rates. A filing must be made confirming use of the new deviation on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w:t>
      </w:r>
      <w:r>
        <w:rPr>
          <w:rFonts w:ascii="Times New Roman" w:hAnsi="Times New Roman"/>
          <w:b w:val="false"/>
          <w:i w:val="false"/>
          <w:color w:val="000000"/>
          <w:sz w:val="22"/>
        </w:rPr>
        <w:t> </w:t>
      </w:r>
      <w:r>
        <w:rPr>
          <w:rFonts w:ascii="Times New Roman" w:hAnsi="Times New Roman"/>
          <w:b w:val="false"/>
          <w:i w:val="false"/>
          <w:color w:val="000000"/>
          <w:sz w:val="22"/>
        </w:rPr>
        <w:t>Schedule rating may be used by any company, regardless of whether that company has an approved deviation. The maximum modification allowed for schedule rating is 15 percent for individual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191—60.5</w:t>
      </w:r>
      <w:r>
        <w:rPr>
          <w:rFonts w:ascii="Times New Roman" w:hAnsi="Times New Roman"/>
          <w:b/>
          <w:i w:val="false"/>
          <w:color w:val="000000"/>
          <w:sz w:val="22"/>
        </w:rPr>
        <w:t xml:space="preserve">(515A) </w:t>
      </w:r>
      <w:r>
        <w:rPr>
          <w:rFonts w:ascii="Times New Roman" w:hAnsi="Times New Roman"/>
          <w:b/>
          <w:i w:val="false"/>
          <w:color w:val="000000"/>
          <w:sz w:val="22"/>
        </w:rPr>
        <w:t xml:space="preserve">Violation and penalties. </w:t>
      </w:r>
      <w:r>
        <w:rPr>
          <w:rFonts w:ascii="Times New Roman" w:hAnsi="Times New Roman"/>
          <w:b w:val="false"/>
          <w:i w:val="false"/>
          <w:color w:val="000000"/>
          <w:sz w:val="22"/>
        </w:rPr>
        <w:t xml:space="preserve">Any insurer found after hearing to have violated a provision of this chapter shall be deemed to have committed an unfair trade practice under Iowa Code chapter </w:t>
      </w:r>
      <w:hyperlink r:id="rId1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shall be subject to the penalties set forth in Iowa Code chapter </w:t>
      </w:r>
      <w:hyperlink r:id="rId1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191—60.6</w:t>
      </w:r>
      <w:r>
        <w:rPr>
          <w:rFonts w:ascii="Times New Roman" w:hAnsi="Times New Roman"/>
          <w:b/>
          <w:i w:val="false"/>
          <w:color w:val="000000"/>
          <w:sz w:val="22"/>
        </w:rPr>
        <w:t xml:space="preserve">(515A)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chapter or the application thereof to any person or circumstance is held invalid for any reason, the invalidity shall not affect the other provisions or any other application of these rules that can be given effect without the invalid provisions or application. To this end, all provisions of these rules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191—60.7</w:t>
      </w:r>
      <w:r>
        <w:rPr>
          <w:rFonts w:ascii="Times New Roman" w:hAnsi="Times New Roman"/>
          <w:b/>
          <w:i w:val="false"/>
          <w:color w:val="000000"/>
          <w:sz w:val="22"/>
        </w:rPr>
        <w:t xml:space="preserve">(515A)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These rules are effective as of April 24, 2024, and apply to acts or practices committed on or after January 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515A.7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7740C</w:t>
      </w:r>
      <w:r>
        <w:rPr>
          <w:rFonts w:ascii="Times New Roman" w:hAnsi="Times New Roman"/>
          <w:b w:val="false"/>
          <w:i w:val="false"/>
          <w:color w:val="000000"/>
          <w:sz w:val="21"/>
        </w:rPr>
        <w:t xml:space="preserve"> (Notice ARC 7355C,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5A.pdf" Type="http://schemas.openxmlformats.org/officeDocument/2006/relationships/hyperlink" Id="rId5"/>
    <Relationship TargetMode="External" Target="https://www.legis.iowa.gov/docs/ico/chapter/515A.2.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515A.pdf" Type="http://schemas.openxmlformats.org/officeDocument/2006/relationships/hyperlink" Id="rId8"/>
    <Relationship TargetMode="External" Target="http://serff.com" Type="http://schemas.openxmlformats.org/officeDocument/2006/relationships/hyperlink" Id="rId9"/>
    <Relationship TargetMode="External" Target="https://www.legis.iowa.gov/docs/ico/chapter/515A.pdf" Type="http://schemas.openxmlformats.org/officeDocument/2006/relationships/hyperlink" Id="rId10"/>
    <Relationship TargetMode="External" Target="https://www.legis.iowa.gov/docs/ico/chapter/507B.pdf" Type="http://schemas.openxmlformats.org/officeDocument/2006/relationships/hyperlink" Id="rId11"/>
    <Relationship TargetMode="External" Target="https://www.legis.iowa.gov/docs/ico/chapter/507B.pdf" Type="http://schemas.openxmlformats.org/officeDocument/2006/relationships/hyperlink" Id="rId12"/>
    <Relationship TargetMode="External" Target="https://www.legis.iowa.gov/docs/ico/chapter/515A.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