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SECURITIES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w:t>
      </w:r>
    </w:p>
    <w:p>
      <w:pPr>
        <w:spacing w:before="0" w:after="0"/>
        <w:ind w:left="120"/>
        <w:jc w:val="center"/>
      </w:pPr>
      <w:r>
        <w:rPr>
          <w:rFonts w:ascii="Times New Roman" w:hAnsi="Times New Roman"/>
          <w:b w:val="false"/>
          <w:i w:val="false"/>
          <w:color w:val="000000"/>
          <w:sz w:val="21"/>
        </w:rPr>
        <w:t>REGULATION OF SECURITIES OFFERINGS AND THOSE WHO ENGAGE</w:t>
      </w:r>
      <w:r>
        <w:br/>
      </w:r>
      <w:r>
        <w:rPr>
          <w:rFonts w:ascii="Times New Roman" w:hAnsi="Times New Roman"/>
          <w:b w:val="false"/>
          <w:i w:val="false"/>
          <w:color w:val="000000"/>
          <w:sz w:val="21"/>
        </w:rPr>
        <w:t>IN THE SECURITIES BUSINESS</w:t>
      </w:r>
    </w:p>
    <w:p>
      <w:pPr>
        <w:spacing w:before="0" w:after="0"/>
        <w:ind w:left="120"/>
        <w:jc w:val="center"/>
      </w:pPr>
      <w:r>
        <w:rPr>
          <w:rFonts w:ascii="Times New Roman" w:hAnsi="Times New Roman"/>
          <w:b w:val="false"/>
          <w:i w:val="false"/>
          <w:color w:val="000000"/>
          <w:sz w:val="14"/>
        </w:rPr>
        <w:t>[Appeared as Ch 17, 1973 IDR]</w:t>
      </w:r>
    </w:p>
    <w:p>
      <w:pPr>
        <w:spacing w:before="0" w:after="0"/>
        <w:ind w:left="120"/>
        <w:jc w:val="center"/>
      </w:pPr>
      <w:r>
        <w:rPr>
          <w:rFonts w:ascii="Times New Roman" w:hAnsi="Times New Roman"/>
          <w:b w:val="false"/>
          <w:i w:val="false"/>
          <w:color w:val="000000"/>
          <w:sz w:val="14"/>
        </w:rPr>
        <w:t>[Prior to 10/22/86, Insurance Department[510]]</w:t>
      </w:r>
      <w:r>
        <w:br/>
      </w:r>
    </w:p>
    <w:p>
      <w:pPr>
        <w:pBdr>
          <w:top w:space="10"/>
          <w:bottom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DEFINITIONS AND ADMINISTRATION</w:t>
      </w:r>
    </w:p>
    <w:p>
      <w:pPr>
        <w:spacing w:before="0" w:after="0"/>
        <w:ind w:left="120"/>
        <w:jc w:val="both"/>
      </w:pPr>
      <w:r>
        <w:rPr>
          <w:rFonts w:ascii="Times New Roman" w:hAnsi="Times New Roman"/>
          <w:b/>
          <w:i w:val="false"/>
          <w:color w:val="000000"/>
          <w:sz w:val="22"/>
        </w:rPr>
        <w:t>191—50.1</w:t>
      </w:r>
      <w:r>
        <w:rPr>
          <w:rFonts w:ascii="Times New Roman" w:hAnsi="Times New Roman"/>
          <w:b/>
          <w:i w:val="false"/>
          <w:color w:val="000000"/>
          <w:sz w:val="22"/>
        </w:rPr>
        <w:t xml:space="preserve">(502)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definitions in Iowa Code chapter </w:t>
      </w:r>
      <w:hyperlink r:id="rId5">
        <w:r>
          <w:rPr>
            <w:rStyle w:val="Hyperlink"/>
            <w:rFonts w:ascii="Times New Roman" w:hAnsi="Times New Roman"/>
            <w:b w:val="false"/>
            <w:i w:val="false"/>
            <w:color w:val="000000"/>
            <w:sz w:val="22"/>
          </w:rPr>
          <w:t>502</w:t>
        </w:r>
      </w:hyperlink>
      <w:r>
        <w:rPr>
          <w:rFonts w:ascii="Times New Roman" w:hAnsi="Times New Roman"/>
          <w:b w:val="false"/>
          <w:i w:val="false"/>
          <w:color w:val="000000"/>
          <w:sz w:val="22"/>
        </w:rPr>
        <w:t xml:space="preserve"> and the following definitions shall apply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Iowa Code chapter </w:t>
      </w:r>
      <w:hyperlink r:id="rId6">
        <w:r>
          <w:rPr>
            <w:rStyle w:val="Hyperlink"/>
            <w:rFonts w:ascii="Times New Roman" w:hAnsi="Times New Roman"/>
            <w:b w:val="false"/>
            <w:i w:val="false"/>
            <w:color w:val="000000"/>
            <w:sz w:val="22"/>
          </w:rPr>
          <w:t>502</w:t>
        </w:r>
      </w:hyperlink>
      <w:r>
        <w:rPr>
          <w:rFonts w:ascii="Times New Roman" w:hAnsi="Times New Roman"/>
          <w:b w:val="false"/>
          <w:i w:val="false"/>
          <w:color w:val="000000"/>
          <w:sz w:val="22"/>
        </w:rPr>
        <w:t>, the Iowa Uniform Securities Act (Blue Sky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 xml:space="preserve">means the commissioner of insurance or the deputy administrator appointed under Iowa Code section </w:t>
      </w:r>
      <w:hyperlink r:id="rId7">
        <w:r>
          <w:rPr>
            <w:rStyle w:val="Hyperlink"/>
            <w:rFonts w:ascii="Times New Roman" w:hAnsi="Times New Roman"/>
            <w:b w:val="false"/>
            <w:i w:val="false"/>
            <w:color w:val="000000"/>
            <w:sz w:val="22"/>
          </w:rPr>
          <w:t>502.601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“CCH NASAA Reports” </w:t>
      </w:r>
      <w:r>
        <w:rPr>
          <w:rFonts w:ascii="Times New Roman" w:hAnsi="Times New Roman"/>
          <w:b w:val="false"/>
          <w:i w:val="false"/>
          <w:color w:val="000000"/>
          <w:sz w:val="22"/>
        </w:rPr>
        <w:t>means the official statements of policy of the North American Securities Administrators Association, Inc., printed by Commerce Clearing House, the official reporter for NASAA.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“CRD” </w:t>
      </w:r>
      <w:r>
        <w:rPr>
          <w:rFonts w:ascii="Times New Roman" w:hAnsi="Times New Roman"/>
          <w:b w:val="false"/>
          <w:i w:val="false"/>
          <w:color w:val="000000"/>
          <w:sz w:val="22"/>
        </w:rPr>
        <w:t>means the Central Registration Depository.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“CSRU” </w:t>
      </w:r>
      <w:r>
        <w:rPr>
          <w:rFonts w:ascii="Times New Roman" w:hAnsi="Times New Roman"/>
          <w:b w:val="false"/>
          <w:i w:val="false"/>
          <w:color w:val="000000"/>
          <w:sz w:val="22"/>
        </w:rPr>
        <w:t>means the Iowa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“FDIC” </w:t>
      </w:r>
      <w:r>
        <w:rPr>
          <w:rFonts w:ascii="Times New Roman" w:hAnsi="Times New Roman"/>
          <w:b w:val="false"/>
          <w:i w:val="false"/>
          <w:color w:val="000000"/>
          <w:sz w:val="22"/>
        </w:rPr>
        <w:t>means the Federal Deposit Insurance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“FINRA” </w:t>
      </w:r>
      <w:r>
        <w:rPr>
          <w:rFonts w:ascii="Times New Roman" w:hAnsi="Times New Roman"/>
          <w:b w:val="false"/>
          <w:i w:val="false"/>
          <w:color w:val="000000"/>
          <w:sz w:val="22"/>
        </w:rPr>
        <w:t>means the Financial Industry Regulatory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ADV” </w:t>
      </w:r>
      <w:r>
        <w:rPr>
          <w:rFonts w:ascii="Times New Roman" w:hAnsi="Times New Roman"/>
          <w:b w:val="false"/>
          <w:i w:val="false"/>
          <w:color w:val="000000"/>
          <w:sz w:val="22"/>
        </w:rPr>
        <w:t>means Uniform Application for Investment Adviser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ADV-E” </w:t>
      </w:r>
      <w:r>
        <w:rPr>
          <w:rFonts w:ascii="Times New Roman" w:hAnsi="Times New Roman"/>
          <w:b w:val="false"/>
          <w:i w:val="false"/>
          <w:color w:val="000000"/>
          <w:sz w:val="22"/>
        </w:rPr>
        <w:t>means the Certificate of Accounting of Client Securities and Funds in the Possession or Custody of an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ADV-H” </w:t>
      </w:r>
      <w:r>
        <w:rPr>
          <w:rFonts w:ascii="Times New Roman" w:hAnsi="Times New Roman"/>
          <w:b w:val="false"/>
          <w:i w:val="false"/>
          <w:color w:val="000000"/>
          <w:sz w:val="22"/>
        </w:rPr>
        <w:t>means Notice of Hardship Application for Investment Adviser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ADV-W” </w:t>
      </w:r>
      <w:r>
        <w:rPr>
          <w:rFonts w:ascii="Times New Roman" w:hAnsi="Times New Roman"/>
          <w:b w:val="false"/>
          <w:i w:val="false"/>
          <w:color w:val="000000"/>
          <w:sz w:val="22"/>
        </w:rPr>
        <w:t>means Notice of Withdrawal from Registration as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BD” </w:t>
      </w:r>
      <w:r>
        <w:rPr>
          <w:rFonts w:ascii="Times New Roman" w:hAnsi="Times New Roman"/>
          <w:b w:val="false"/>
          <w:i w:val="false"/>
          <w:color w:val="000000"/>
          <w:sz w:val="22"/>
        </w:rPr>
        <w:t>means Uniform Application for Broker-Dealer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BDW” </w:t>
      </w:r>
      <w:r>
        <w:rPr>
          <w:rFonts w:ascii="Times New Roman" w:hAnsi="Times New Roman"/>
          <w:b w:val="false"/>
          <w:i w:val="false"/>
          <w:color w:val="000000"/>
          <w:sz w:val="22"/>
        </w:rPr>
        <w:t>means Uniform Request for Broker-Dealer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1CP” </w:t>
      </w:r>
      <w:r>
        <w:rPr>
          <w:rFonts w:ascii="Times New Roman" w:hAnsi="Times New Roman"/>
          <w:b w:val="false"/>
          <w:i w:val="false"/>
          <w:color w:val="000000"/>
          <w:sz w:val="22"/>
        </w:rPr>
        <w:t>means Agricultural Cooperative Notice of Sales of Notes or Evidences of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F-7” </w:t>
      </w:r>
      <w:r>
        <w:rPr>
          <w:rFonts w:ascii="Times New Roman" w:hAnsi="Times New Roman"/>
          <w:b w:val="false"/>
          <w:i w:val="false"/>
          <w:color w:val="000000"/>
          <w:sz w:val="22"/>
        </w:rPr>
        <w:t>means Registration Statement Under the Securities Act of 1933, for registration of securities of certain Canadian issuers offered for cash upon the exercise of rights granted to existing security 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F-8” </w:t>
      </w:r>
      <w:r>
        <w:rPr>
          <w:rFonts w:ascii="Times New Roman" w:hAnsi="Times New Roman"/>
          <w:b w:val="false"/>
          <w:i w:val="false"/>
          <w:color w:val="000000"/>
          <w:sz w:val="22"/>
        </w:rPr>
        <w:t>means Registration Statement Under the Securities Act of 1933, for registration of securities of certain Canadian issuers to be issued in exchange offers or a business combination.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F-9” </w:t>
      </w:r>
      <w:r>
        <w:rPr>
          <w:rFonts w:ascii="Times New Roman" w:hAnsi="Times New Roman"/>
          <w:b w:val="false"/>
          <w:i w:val="false"/>
          <w:color w:val="000000"/>
          <w:sz w:val="22"/>
        </w:rPr>
        <w:t>means Registration Statement Under the Securities Act of 1933, for registration of certain investment grade debt or investment grade preferred securities of certain Canadian issuers.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F-10” </w:t>
      </w:r>
      <w:r>
        <w:rPr>
          <w:rFonts w:ascii="Times New Roman" w:hAnsi="Times New Roman"/>
          <w:b w:val="false"/>
          <w:i w:val="false"/>
          <w:color w:val="000000"/>
          <w:sz w:val="22"/>
        </w:rPr>
        <w:t>means Registration Statement Under the Securities Act of 1933, for registration of securities of certain Canadian issuers.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NF” </w:t>
      </w:r>
      <w:r>
        <w:rPr>
          <w:rFonts w:ascii="Times New Roman" w:hAnsi="Times New Roman"/>
          <w:b w:val="false"/>
          <w:i w:val="false"/>
          <w:color w:val="000000"/>
          <w:sz w:val="22"/>
        </w:rPr>
        <w:t>means Uniform Investment Company Notice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S-1” </w:t>
      </w:r>
      <w:r>
        <w:rPr>
          <w:rFonts w:ascii="Times New Roman" w:hAnsi="Times New Roman"/>
          <w:b w:val="false"/>
          <w:i w:val="false"/>
          <w:color w:val="000000"/>
          <w:sz w:val="22"/>
        </w:rPr>
        <w:t>means Registration Statement Under the Securities Act of 1933, for registration of securities for which no other form is authorized or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SB-2” </w:t>
      </w:r>
      <w:r>
        <w:rPr>
          <w:rFonts w:ascii="Times New Roman" w:hAnsi="Times New Roman"/>
          <w:b w:val="false"/>
          <w:i w:val="false"/>
          <w:color w:val="000000"/>
          <w:sz w:val="22"/>
        </w:rPr>
        <w:t>means Registration Statement Under the Securities Act of 1933, for registration of securities to be sold to the public by small business issuers.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U-1” </w:t>
      </w:r>
      <w:r>
        <w:rPr>
          <w:rFonts w:ascii="Times New Roman" w:hAnsi="Times New Roman"/>
          <w:b w:val="false"/>
          <w:i w:val="false"/>
          <w:color w:val="000000"/>
          <w:sz w:val="22"/>
        </w:rPr>
        <w:t>means Uniform Application to Register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U-2” </w:t>
      </w:r>
      <w:r>
        <w:rPr>
          <w:rFonts w:ascii="Times New Roman" w:hAnsi="Times New Roman"/>
          <w:b w:val="false"/>
          <w:i w:val="false"/>
          <w:color w:val="000000"/>
          <w:sz w:val="22"/>
        </w:rPr>
        <w:t>means Uniform Consent to Service of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U-2A” </w:t>
      </w:r>
      <w:r>
        <w:rPr>
          <w:rFonts w:ascii="Times New Roman" w:hAnsi="Times New Roman"/>
          <w:b w:val="false"/>
          <w:i w:val="false"/>
          <w:color w:val="000000"/>
          <w:sz w:val="22"/>
        </w:rPr>
        <w:t>means Uniform Corporate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U-4” </w:t>
      </w:r>
      <w:r>
        <w:rPr>
          <w:rFonts w:ascii="Times New Roman" w:hAnsi="Times New Roman"/>
          <w:b w:val="false"/>
          <w:i w:val="false"/>
          <w:color w:val="000000"/>
          <w:sz w:val="22"/>
        </w:rPr>
        <w:t>means Uniform Application for Securities Industry Registration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U-5” </w:t>
      </w:r>
      <w:r>
        <w:rPr>
          <w:rFonts w:ascii="Times New Roman" w:hAnsi="Times New Roman"/>
          <w:b w:val="false"/>
          <w:i w:val="false"/>
          <w:color w:val="000000"/>
          <w:sz w:val="22"/>
        </w:rPr>
        <w:t>means Uniform Termination Notice for Securities Industry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U-6” </w:t>
      </w:r>
      <w:r>
        <w:rPr>
          <w:rFonts w:ascii="Times New Roman" w:hAnsi="Times New Roman"/>
          <w:b w:val="false"/>
          <w:i w:val="false"/>
          <w:color w:val="000000"/>
          <w:sz w:val="22"/>
        </w:rPr>
        <w:t>means Uniform Disciplinary Action Reporting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U-7” </w:t>
      </w:r>
      <w:r>
        <w:rPr>
          <w:rFonts w:ascii="Times New Roman" w:hAnsi="Times New Roman"/>
          <w:b w:val="false"/>
          <w:i w:val="false"/>
          <w:color w:val="000000"/>
          <w:sz w:val="22"/>
        </w:rPr>
        <w:t>means Small Corporate Offering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USR-1” </w:t>
      </w:r>
      <w:r>
        <w:rPr>
          <w:rFonts w:ascii="Times New Roman" w:hAnsi="Times New Roman"/>
          <w:b w:val="false"/>
          <w:i w:val="false"/>
          <w:color w:val="000000"/>
          <w:sz w:val="22"/>
        </w:rPr>
        <w:t>means Investment Company Report of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“Gift” </w:t>
      </w:r>
      <w:r>
        <w:rPr>
          <w:rFonts w:ascii="Times New Roman" w:hAnsi="Times New Roman"/>
          <w:b w:val="false"/>
          <w:i w:val="false"/>
          <w:color w:val="000000"/>
          <w:sz w:val="22"/>
        </w:rPr>
        <w:t>means a rendering of anything of value in return for which legal consideration of equal or greater value is not given and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“IARD” </w:t>
      </w:r>
      <w:r>
        <w:rPr>
          <w:rFonts w:ascii="Times New Roman" w:hAnsi="Times New Roman"/>
          <w:b w:val="false"/>
          <w:i w:val="false"/>
          <w:color w:val="000000"/>
          <w:sz w:val="22"/>
        </w:rPr>
        <w:t>means the Investment Advisory Registration Depository.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family” </w:t>
      </w:r>
      <w:r>
        <w:rPr>
          <w:rFonts w:ascii="Times New Roman" w:hAnsi="Times New Roman"/>
          <w:b w:val="false"/>
          <w:i w:val="false"/>
          <w:color w:val="000000"/>
          <w:sz w:val="22"/>
        </w:rPr>
        <w:t>includes parent, mother-in-law, father-in-law, spouse, former spouse, brother, sister, brother-in-law, sister-in-law, son-in-law, daughter-in-law, child and stepchild. In addition, “immediate family” includes any other person who is supported, directly or indirectly, to a material extent by an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“Investment contract” </w:t>
      </w:r>
      <w:r>
        <w:rPr>
          <w:rFonts w:ascii="Times New Roman" w:hAnsi="Times New Roman"/>
          <w:b w:val="false"/>
          <w:i w:val="false"/>
          <w:color w:val="000000"/>
          <w:sz w:val="22"/>
        </w:rPr>
        <w:t xml:space="preserve">as used in Iowa Code section </w:t>
      </w:r>
      <w:hyperlink r:id="rId8">
        <w:r>
          <w:rPr>
            <w:rStyle w:val="Hyperlink"/>
            <w:rFonts w:ascii="Times New Roman" w:hAnsi="Times New Roman"/>
            <w:b w:val="false"/>
            <w:i w:val="false"/>
            <w:color w:val="000000"/>
            <w:sz w:val="22"/>
          </w:rPr>
          <w:t>502.102(28)</w:t>
        </w:r>
      </w:hyperlink>
      <w:r>
        <w:rPr>
          <w:rFonts w:ascii="Times New Roman" w:hAnsi="Times New Roman"/>
          <w:b w:val="false"/>
          <w:i w:val="false"/>
          <w:color w:val="000000"/>
          <w:sz w:val="22"/>
        </w:rPr>
        <w:t xml:space="preserve">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investment in a common enterprise with the expectation of profit to be derived through the essential managerial efforts of someone other than the investor.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“Common enterprise” in this definition means an enterprise in which the fortunes of the investor are tied to the efficacy of the efforts and successes of those seeking the investment or of a third party.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“Profit” in this definition includes income or a return on the investment, including a fixed rate of return, dividends, other periodic payments, or the increased value of the investment;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investment by which an offeree furnishes initial value to an offerer, and a portion of this initial value is subjected to the risks of the enterprise, and the furnishing of the initial value is induced by the offerer’s promises or representations which give rise to a reasonable understanding that a valuable benefit of some kind over and above the initial value will accrue to the offeree as a result of the operation of the enterprise, and the offeree does not exercise practical and actual control over the managerial decisions of the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“Loan” </w:t>
      </w:r>
      <w:r>
        <w:rPr>
          <w:rFonts w:ascii="Times New Roman" w:hAnsi="Times New Roman"/>
          <w:b w:val="false"/>
          <w:i w:val="false"/>
          <w:color w:val="000000"/>
          <w:sz w:val="22"/>
        </w:rPr>
        <w:t>means an agreement to advance property, including but not limited to money, in return for the promise that payment will be made for use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“NASAA” </w:t>
      </w:r>
      <w:r>
        <w:rPr>
          <w:rFonts w:ascii="Times New Roman" w:hAnsi="Times New Roman"/>
          <w:b w:val="false"/>
          <w:i w:val="false"/>
          <w:color w:val="000000"/>
          <w:sz w:val="22"/>
        </w:rPr>
        <w:t>means the North American Securities Administrators Association, Inc.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“NASDAQ” </w:t>
      </w:r>
      <w:r>
        <w:rPr>
          <w:rFonts w:ascii="Times New Roman" w:hAnsi="Times New Roman"/>
          <w:b w:val="false"/>
          <w:i w:val="false"/>
          <w:color w:val="000000"/>
          <w:sz w:val="22"/>
        </w:rPr>
        <w:t>means the NASDAQ Stock Market.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“NCUA” </w:t>
      </w:r>
      <w:r>
        <w:rPr>
          <w:rFonts w:ascii="Times New Roman" w:hAnsi="Times New Roman"/>
          <w:b w:val="false"/>
          <w:i w:val="false"/>
          <w:color w:val="000000"/>
          <w:sz w:val="22"/>
        </w:rPr>
        <w:t>means the National Credit Union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“NSMIA” </w:t>
      </w:r>
      <w:r>
        <w:rPr>
          <w:rFonts w:ascii="Times New Roman" w:hAnsi="Times New Roman"/>
          <w:b w:val="false"/>
          <w:i w:val="false"/>
          <w:color w:val="000000"/>
          <w:sz w:val="22"/>
        </w:rPr>
        <w:t>means the National Securities Markets Improvement Act of 1996, Public Law 104-290.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“NYSE” </w:t>
      </w:r>
      <w:r>
        <w:rPr>
          <w:rFonts w:ascii="Times New Roman" w:hAnsi="Times New Roman"/>
          <w:b w:val="false"/>
          <w:i w:val="false"/>
          <w:color w:val="000000"/>
          <w:sz w:val="22"/>
        </w:rPr>
        <w:t>means the New York Stock Exchange.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“OTC” </w:t>
      </w:r>
      <w:r>
        <w:rPr>
          <w:rFonts w:ascii="Times New Roman" w:hAnsi="Times New Roman"/>
          <w:b w:val="false"/>
          <w:i w:val="false"/>
          <w:color w:val="000000"/>
          <w:sz w:val="22"/>
        </w:rPr>
        <w:t>means over the 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“PCAOB” </w:t>
      </w:r>
      <w:r>
        <w:rPr>
          <w:rFonts w:ascii="Times New Roman" w:hAnsi="Times New Roman"/>
          <w:b w:val="false"/>
          <w:i w:val="false"/>
          <w:color w:val="000000"/>
          <w:sz w:val="22"/>
        </w:rPr>
        <w:t>means the Public Company Accounting Oversight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“SAI” </w:t>
      </w:r>
      <w:r>
        <w:rPr>
          <w:rFonts w:ascii="Times New Roman" w:hAnsi="Times New Roman"/>
          <w:b w:val="false"/>
          <w:i w:val="false"/>
          <w:color w:val="000000"/>
          <w:sz w:val="22"/>
        </w:rPr>
        <w:t>means Statement of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 </w:t>
      </w:r>
      <w:r>
        <w:rPr>
          <w:rFonts w:ascii="Times New Roman" w:hAnsi="Times New Roman"/>
          <w:b w:val="false"/>
          <w:i w:val="false"/>
          <w:color w:val="000000"/>
          <w:sz w:val="22"/>
        </w:rPr>
        <w:t>means the United States Securities and Exchange Commission as established pursuant to 15 U.S.C. Section 78(d).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“SOIF” </w:t>
      </w:r>
      <w:r>
        <w:rPr>
          <w:rFonts w:ascii="Times New Roman" w:hAnsi="Times New Roman"/>
          <w:b w:val="false"/>
          <w:i w:val="false"/>
          <w:color w:val="000000"/>
          <w:sz w:val="22"/>
        </w:rPr>
        <w:t>means Solicitation of Interest Form.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502.605(1)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9169B</w:t>
      </w:r>
      <w:r>
        <w:rPr>
          <w:rFonts w:ascii="Times New Roman" w:hAnsi="Times New Roman"/>
          <w:b w:val="false"/>
          <w:i w:val="false"/>
          <w:color w:val="000000"/>
          <w:sz w:val="16"/>
        </w:rPr>
        <w:t>, IAB 10/20/10, effective 11/24/10</w:t>
      </w:r>
      <w:r>
        <w:rPr>
          <w:rFonts w:ascii="Times New Roman" w:hAnsi="Times New Roman"/>
          <w:b w:val="false"/>
          <w:i w:val="false"/>
          <w:color w:val="000000"/>
          <w:sz w:val="16"/>
        </w:rPr>
        <w:t xml:space="preserve">; </w:t>
      </w:r>
      <w:r>
        <w:rPr>
          <w:rFonts w:ascii="Times New Roman" w:hAnsi="Times New Roman"/>
          <w:b/>
          <w:i w:val="false"/>
          <w:color w:val="000000"/>
          <w:sz w:val="16"/>
        </w:rPr>
        <w:t>ARC 1076C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2175C</w:t>
      </w:r>
      <w:r>
        <w:rPr>
          <w:rFonts w:ascii="Times New Roman" w:hAnsi="Times New Roman"/>
          <w:b w:val="false"/>
          <w:i w:val="false"/>
          <w:color w:val="000000"/>
          <w:sz w:val="16"/>
        </w:rPr>
        <w:t>, IAB 9/30/15,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191—50.2</w:t>
      </w:r>
      <w:r>
        <w:rPr>
          <w:rFonts w:ascii="Times New Roman" w:hAnsi="Times New Roman"/>
          <w:b/>
          <w:i w:val="false"/>
          <w:color w:val="000000"/>
          <w:sz w:val="22"/>
        </w:rPr>
        <w:t xml:space="preserve">(502) </w:t>
      </w:r>
      <w:r>
        <w:rPr>
          <w:rFonts w:ascii="Times New Roman" w:hAnsi="Times New Roman"/>
          <w:b/>
          <w:i w:val="false"/>
          <w:color w:val="000000"/>
          <w:sz w:val="22"/>
        </w:rPr>
        <w:t xml:space="preserve">Cost of audit or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may assess the broker-dealer or investment adviser for reasonable charges of travel, lodging, and other expenses incurred by Iowa insurance division staff or independent persons conducting an audit or inspection and directly attributable to an audit or inspection made pursuant to Iowa Code section </w:t>
      </w:r>
      <w:hyperlink r:id="rId10">
        <w:r>
          <w:rPr>
            <w:rStyle w:val="Hyperlink"/>
            <w:rFonts w:ascii="Times New Roman" w:hAnsi="Times New Roman"/>
            <w:b w:val="false"/>
            <w:i w:val="false"/>
            <w:color w:val="000000"/>
            <w:sz w:val="22"/>
          </w:rPr>
          <w:t>502.411(4)</w:t>
        </w:r>
      </w:hyperlink>
      <w:r>
        <w:rPr>
          <w:rFonts w:ascii="Times New Roman" w:hAnsi="Times New Roman"/>
          <w:b w:val="false"/>
          <w:i w:val="false"/>
          <w:color w:val="000000"/>
          <w:sz w:val="22"/>
        </w:rPr>
        <w:t>. The assessment of costs of meals, lodging, transportation, and other actual and necessary travel expenses, if any, incurred by persons conducting an audit or inspection shall be determined in accordance with one of the following, as agreed by the administrator and the persons conducting an audit 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of administrative services (DAS) state accounting enterprise Accounting Policy and Procedures Manual guidelines for employee travel (</w:t>
      </w:r>
      <w:hyperlink r:id="rId11">
        <w:r>
          <w:rPr>
            <w:rStyle w:val="Hyperlink"/>
            <w:rFonts w:ascii="Times New Roman" w:hAnsi="Times New Roman"/>
            <w:b w:val="false"/>
            <w:i w:val="false"/>
            <w:color w:val="000000"/>
            <w:sz w:val="22"/>
            <w:u w:val="single"/>
          </w:rPr>
          <w:t>das.iowa.gov/state-accounting/sae-policies-procedures-manual</w:t>
        </w:r>
      </w:hyperlink>
      <w:r>
        <w:rPr>
          <w:rFonts w:ascii="Times New Roman" w:hAnsi="Times New Roman"/>
          <w:b w:val="false"/>
          <w:i w:val="false"/>
          <w:color w:val="000000"/>
          <w:sz w:val="22"/>
        </w:rPr>
        <w:t>) and the DAS form Travel Section Policy and Procedures (</w:t>
      </w:r>
      <w:hyperlink r:id="rId12">
        <w:r>
          <w:rPr>
            <w:rStyle w:val="Hyperlink"/>
            <w:rFonts w:ascii="Times New Roman" w:hAnsi="Times New Roman"/>
            <w:b w:val="false"/>
            <w:i w:val="false"/>
            <w:color w:val="000000"/>
            <w:sz w:val="22"/>
            <w:u w:val="single"/>
          </w:rPr>
          <w:t>das.iowa.gov/state-accounting/travel-relocation</w:t>
        </w:r>
      </w:hyperlink>
      <w:r>
        <w:rPr>
          <w:rFonts w:ascii="Times New Roman" w:hAnsi="Times New Roman"/>
          <w:b w:val="false"/>
          <w:i w:val="false"/>
          <w:color w:val="000000"/>
          <w:sz w:val="22"/>
        </w:rPr>
        <w:t>) in effect at the time of the audit 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of administrative services state accounting enterprise Accounting Policy and Procedures Manual guidelines for travel for in-state board, commission, advisory council, and task force member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United States General Services Administration Continental United States (“CONUS”) per diem travel allowances for lodging, meals and incidental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reimbursement schedule as agreed by the administrator and the persons conducting the audit 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w:t>
      </w:r>
      <w:r>
        <w:rPr>
          <w:rFonts w:ascii="Times New Roman" w:hAnsi="Times New Roman"/>
          <w:b w:val="false"/>
          <w:i w:val="false"/>
          <w:color w:val="000000"/>
          <w:sz w:val="22"/>
        </w:rPr>
        <w:t> </w:t>
      </w:r>
      <w:r>
        <w:rPr>
          <w:rFonts w:ascii="Times New Roman" w:hAnsi="Times New Roman"/>
          <w:b w:val="false"/>
          <w:i w:val="false"/>
          <w:color w:val="000000"/>
          <w:sz w:val="22"/>
        </w:rPr>
        <w:t xml:space="preserve">If costs are assessed under subrule </w:t>
      </w:r>
      <w:hyperlink r:id="rId13">
        <w:r>
          <w:rPr>
            <w:rStyle w:val="Hyperlink"/>
            <w:rFonts w:ascii="Times New Roman" w:hAnsi="Times New Roman"/>
            <w:b w:val="false"/>
            <w:i w:val="false"/>
            <w:color w:val="000000"/>
            <w:sz w:val="22"/>
          </w:rPr>
          <w:t>50.2(1)</w:t>
        </w:r>
      </w:hyperlink>
      <w:r>
        <w:rPr>
          <w:rFonts w:ascii="Times New Roman" w:hAnsi="Times New Roman"/>
          <w:b w:val="false"/>
          <w:i w:val="false"/>
          <w:color w:val="000000"/>
          <w:sz w:val="22"/>
        </w:rPr>
        <w:t>, the administrator may, upon completion of the examination, or at such regular intervals prior to completion as the administrator determines, prepare an account of the costs incurred in performing and preparing the report of the examination which shall be charged to and paid by the broker-dealer or investment adviser examined.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50.2(3)</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notify the broker-dealer or investment adviser of the expenses attributable to the audit or inspection as soon as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w:t>
      </w:r>
      <w:r>
        <w:rPr>
          <w:rFonts w:ascii="Times New Roman" w:hAnsi="Times New Roman"/>
          <w:b w:val="false"/>
          <w:i w:val="false"/>
          <w:color w:val="000000"/>
          <w:sz w:val="22"/>
        </w:rPr>
        <w:t> </w:t>
      </w:r>
      <w:r>
        <w:rPr>
          <w:rFonts w:ascii="Times New Roman" w:hAnsi="Times New Roman"/>
          <w:b w:val="false"/>
          <w:i w:val="false"/>
          <w:color w:val="000000"/>
          <w:sz w:val="22"/>
        </w:rPr>
        <w:t>Assessments collected pursuant to this rule shall be paid by the broker-dealer or investment adviser as directed by the administrator either to the administrator or to the persons conducting the audit or inspection. The persons conducting the audit or inspection shall be reimbursed only for the actual and necessary costs incurred in conducting the audit or inspection.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502.411(4)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2175C</w:t>
      </w:r>
      <w:r>
        <w:rPr>
          <w:rFonts w:ascii="Times New Roman" w:hAnsi="Times New Roman"/>
          <w:b w:val="false"/>
          <w:i w:val="false"/>
          <w:color w:val="000000"/>
          <w:sz w:val="16"/>
        </w:rPr>
        <w:t>, IAB 9/30/15,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2872C</w:t>
      </w:r>
      <w:r>
        <w:rPr>
          <w:rFonts w:ascii="Times New Roman" w:hAnsi="Times New Roman"/>
          <w:b w:val="false"/>
          <w:i w:val="false"/>
          <w:color w:val="000000"/>
          <w:sz w:val="16"/>
        </w:rPr>
        <w:t>, IAB 12/21/16, effective 1/25/17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191—50.3</w:t>
      </w:r>
      <w:r>
        <w:rPr>
          <w:rFonts w:ascii="Times New Roman" w:hAnsi="Times New Roman"/>
          <w:b/>
          <w:i w:val="false"/>
          <w:color w:val="000000"/>
          <w:sz w:val="22"/>
        </w:rPr>
        <w:t xml:space="preserve">(502) </w:t>
      </w:r>
      <w:r>
        <w:rPr>
          <w:rFonts w:ascii="Times New Roman" w:hAnsi="Times New Roman"/>
          <w:b/>
          <w:i w:val="false"/>
          <w:color w:val="000000"/>
          <w:sz w:val="22"/>
        </w:rPr>
        <w:t xml:space="preserve">Interpretative opinions or no-action letters. </w:t>
      </w:r>
      <w:r>
        <w:rPr>
          <w:rFonts w:ascii="Times New Roman" w:hAnsi="Times New Roman"/>
          <w:b w:val="false"/>
          <w:i w:val="false"/>
          <w:color w:val="000000"/>
          <w:sz w:val="22"/>
        </w:rPr>
        <w:t xml:space="preserve">Interested persons may request the administrator to issue an interpretative opinion pursuant to Iowa Code section </w:t>
      </w:r>
      <w:hyperlink r:id="rId15">
        <w:r>
          <w:rPr>
            <w:rStyle w:val="Hyperlink"/>
            <w:rFonts w:ascii="Times New Roman" w:hAnsi="Times New Roman"/>
            <w:b w:val="false"/>
            <w:i w:val="false"/>
            <w:color w:val="000000"/>
            <w:sz w:val="22"/>
          </w:rPr>
          <w:t>502.605(4)</w:t>
        </w:r>
      </w:hyperlink>
      <w:r>
        <w:rPr>
          <w:rFonts w:ascii="Times New Roman" w:hAnsi="Times New Roman"/>
          <w:b w:val="false"/>
          <w:i w:val="false"/>
          <w:color w:val="000000"/>
          <w:sz w:val="22"/>
        </w:rPr>
        <w:t>. These requests will be answered by means of a no-action letter. Requests for confirmation of the availability of an exemption shall be answered in the same manner. The following procedure is recommended for the submission of such requests: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w:t>
      </w:r>
      <w:r>
        <w:rPr>
          <w:rFonts w:ascii="Times New Roman" w:hAnsi="Times New Roman"/>
          <w:b w:val="false"/>
          <w:i w:val="false"/>
          <w:color w:val="000000"/>
          <w:sz w:val="22"/>
        </w:rPr>
        <w:t> </w:t>
      </w:r>
      <w:r>
        <w:rPr>
          <w:rFonts w:ascii="Times New Roman" w:hAnsi="Times New Roman"/>
          <w:b w:val="false"/>
          <w:i w:val="false"/>
          <w:color w:val="000000"/>
          <w:sz w:val="22"/>
        </w:rPr>
        <w:t>The request should be in writing and include the factual situation involved, a citation to the applicable part of the rule or statute, and the question sought to be answered. Any disclosure or informational materials which pertain to the issue should also be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or any person delegated under Iowa Code section </w:t>
      </w:r>
      <w:hyperlink r:id="rId16">
        <w:r>
          <w:rPr>
            <w:rStyle w:val="Hyperlink"/>
            <w:rFonts w:ascii="Times New Roman" w:hAnsi="Times New Roman"/>
            <w:b w:val="false"/>
            <w:i w:val="false"/>
            <w:color w:val="000000"/>
            <w:sz w:val="22"/>
          </w:rPr>
          <w:t>502.601(1)</w:t>
        </w:r>
      </w:hyperlink>
      <w:r>
        <w:rPr>
          <w:rFonts w:ascii="Times New Roman" w:hAnsi="Times New Roman"/>
          <w:b w:val="false"/>
          <w:i w:val="false"/>
          <w:color w:val="000000"/>
          <w:sz w:val="22"/>
        </w:rPr>
        <w:t>, may respond to the request by determining to take or not to take a no-action position or by declining to reach a determination due to insufficient facts, conflicting case or administrative law or such other reasons as the administrator’s discretionary power allows.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50.3(3)</w:t>
      </w:r>
      <w:r>
        <w:rPr>
          <w:rFonts w:ascii="Times New Roman" w:hAnsi="Times New Roman"/>
          <w:b w:val="false"/>
          <w:i w:val="false"/>
          <w:color w:val="000000"/>
          <w:sz w:val="22"/>
        </w:rPr>
        <w:t> </w:t>
      </w:r>
      <w:r>
        <w:rPr>
          <w:rFonts w:ascii="Times New Roman" w:hAnsi="Times New Roman"/>
          <w:b w:val="false"/>
          <w:i w:val="false"/>
          <w:color w:val="000000"/>
          <w:sz w:val="22"/>
        </w:rPr>
        <w:t>All no-action determinations shall be based upon the representations made by the requesting party in the letter and information filed, since any different facts or conditions might require a different conclusion. The no-action letter shall express the administrator’s position on enforcement action only and shall not purport to express any legal conclusion on the questions presented. No determination shall take a position on whether or not any disclosure materials satisfactorily comply with the antifraud and civil liability sections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50.3(4)</w:t>
      </w:r>
      <w:r>
        <w:rPr>
          <w:rFonts w:ascii="Times New Roman" w:hAnsi="Times New Roman"/>
          <w:b w:val="false"/>
          <w:i w:val="false"/>
          <w:color w:val="000000"/>
          <w:sz w:val="22"/>
        </w:rPr>
        <w:t> </w:t>
      </w:r>
      <w:r>
        <w:rPr>
          <w:rFonts w:ascii="Times New Roman" w:hAnsi="Times New Roman"/>
          <w:b w:val="false"/>
          <w:i w:val="false"/>
          <w:color w:val="000000"/>
          <w:sz w:val="22"/>
        </w:rPr>
        <w:t>A no-action determination issued under this rule may be provided to interested persons for a filing fee of $100.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502.605(4)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2872C</w:t>
      </w:r>
      <w:r>
        <w:rPr>
          <w:rFonts w:ascii="Times New Roman" w:hAnsi="Times New Roman"/>
          <w:b w:val="false"/>
          <w:i w:val="false"/>
          <w:color w:val="000000"/>
          <w:sz w:val="16"/>
        </w:rPr>
        <w:t>, IAB 12/21/16, effective 1/25/17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191—50.4</w:t>
      </w:r>
      <w:r>
        <w:rPr>
          <w:rFonts w:ascii="Times New Roman" w:hAnsi="Times New Roman"/>
          <w:b w:val="false"/>
          <w:i w:val="false"/>
          <w:color w:val="000000"/>
          <w:sz w:val="22"/>
        </w:rPr>
        <w:t xml:space="preserve"> to </w:t>
      </w:r>
      <w:r>
        <w:rPr>
          <w:rFonts w:ascii="Times New Roman" w:hAnsi="Times New Roman"/>
          <w:b/>
          <w:i w:val="false"/>
          <w:color w:val="000000"/>
          <w:sz w:val="22"/>
        </w:rPr>
        <w:t>50.9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REGISTRATION OF BROKER-DEALERS AND AGENTS</w:t>
      </w:r>
    </w:p>
    <w:p>
      <w:pPr>
        <w:spacing w:before="0" w:after="0"/>
        <w:ind w:left="120"/>
        <w:jc w:val="both"/>
      </w:pPr>
      <w:r>
        <w:rPr>
          <w:rFonts w:ascii="Times New Roman" w:hAnsi="Times New Roman"/>
          <w:b/>
          <w:i w:val="false"/>
          <w:color w:val="000000"/>
          <w:sz w:val="22"/>
        </w:rPr>
        <w:t>191—50.10</w:t>
      </w:r>
      <w:r>
        <w:rPr>
          <w:rFonts w:ascii="Times New Roman" w:hAnsi="Times New Roman"/>
          <w:b/>
          <w:i w:val="false"/>
          <w:color w:val="000000"/>
          <w:sz w:val="22"/>
        </w:rPr>
        <w:t xml:space="preserve">(502) </w:t>
      </w:r>
      <w:r>
        <w:rPr>
          <w:rFonts w:ascii="Times New Roman" w:hAnsi="Times New Roman"/>
          <w:b/>
          <w:i w:val="false"/>
          <w:color w:val="000000"/>
          <w:sz w:val="22"/>
        </w:rPr>
        <w:t xml:space="preserve">Broker-dealer registrations, renewals, amendments, succession, and withdrawals.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w:t>
      </w:r>
      <w:r>
        <w:rPr>
          <w:rFonts w:ascii="Times New Roman" w:hAnsi="Times New Roman"/>
          <w:b w:val="false"/>
          <w:i w:val="false"/>
          <w:color w:val="000000"/>
          <w:sz w:val="22"/>
        </w:rPr>
        <w:t> </w:t>
      </w:r>
      <w:r>
        <w:rPr>
          <w:rFonts w:ascii="Times New Roman" w:hAnsi="Times New Roman"/>
          <w:b w:val="false"/>
          <w:i w:val="false"/>
          <w:color w:val="000000"/>
          <w:sz w:val="22"/>
        </w:rPr>
        <w:t>An applicant for an initial registration to conduct business as a broker-dealer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File a current Form BD. If the applicant is a member of FINRA, Form BD shall be filed with CRD. If the applicant is not a member of FINRA, Form BD shall be signed and notarized and filed with the administrator;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 a $200 filing fee. If the applicant is a member of FINRA, the fee shall be remitted to the CRD. If the applicant is not a member of FINRA, the fee shall be remitted to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50.10(2)</w:t>
      </w:r>
      <w:r>
        <w:rPr>
          <w:rFonts w:ascii="Times New Roman" w:hAnsi="Times New Roman"/>
          <w:b w:val="false"/>
          <w:i w:val="false"/>
          <w:color w:val="000000"/>
          <w:sz w:val="22"/>
        </w:rPr>
        <w:t> </w:t>
      </w:r>
      <w:r>
        <w:rPr>
          <w:rFonts w:ascii="Times New Roman" w:hAnsi="Times New Roman"/>
          <w:b w:val="false"/>
          <w:i w:val="false"/>
          <w:color w:val="000000"/>
          <w:sz w:val="22"/>
        </w:rPr>
        <w:t xml:space="preserve">No application for initial registration will be deemed complete for purposes of Iowa Code section </w:t>
      </w:r>
      <w:hyperlink r:id="rId18">
        <w:r>
          <w:rPr>
            <w:rStyle w:val="Hyperlink"/>
            <w:rFonts w:ascii="Times New Roman" w:hAnsi="Times New Roman"/>
            <w:b w:val="false"/>
            <w:i w:val="false"/>
            <w:color w:val="000000"/>
            <w:sz w:val="22"/>
          </w:rPr>
          <w:t>502.406(3)</w:t>
        </w:r>
      </w:hyperlink>
      <w:r>
        <w:rPr>
          <w:rFonts w:ascii="Times New Roman" w:hAnsi="Times New Roman"/>
          <w:b w:val="false"/>
          <w:i w:val="false"/>
          <w:color w:val="000000"/>
          <w:sz w:val="22"/>
        </w:rPr>
        <w:t xml:space="preserve"> until the applicant has been approved as a member of FINRA.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50.10(3)</w:t>
      </w:r>
      <w:r>
        <w:rPr>
          <w:rFonts w:ascii="Times New Roman" w:hAnsi="Times New Roman"/>
          <w:b w:val="false"/>
          <w:i w:val="false"/>
          <w:color w:val="000000"/>
          <w:sz w:val="22"/>
        </w:rPr>
        <w:t> </w:t>
      </w:r>
      <w:r>
        <w:rPr>
          <w:rFonts w:ascii="Times New Roman" w:hAnsi="Times New Roman"/>
          <w:b w:val="false"/>
          <w:i w:val="false"/>
          <w:color w:val="000000"/>
          <w:sz w:val="22"/>
        </w:rPr>
        <w:t>An applicant that is a member of FINRA and that seeks renewal of a broker-dealer registration shall comply with the renewal time frames established by FINRA for renewal on the CRD system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File with CRD an updated Form BD;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 to the CRD a $200 renewal filing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50.10(4)</w:t>
      </w:r>
      <w:r>
        <w:rPr>
          <w:rFonts w:ascii="Times New Roman" w:hAnsi="Times New Roman"/>
          <w:b w:val="false"/>
          <w:i w:val="false"/>
          <w:color w:val="000000"/>
          <w:sz w:val="22"/>
        </w:rPr>
        <w:t> </w:t>
      </w:r>
      <w:r>
        <w:rPr>
          <w:rFonts w:ascii="Times New Roman" w:hAnsi="Times New Roman"/>
          <w:b w:val="false"/>
          <w:i w:val="false"/>
          <w:color w:val="000000"/>
          <w:sz w:val="22"/>
        </w:rPr>
        <w:t>An applicant that is not a member of FINRA and that seeks renewal of a broker-dealer registration shall by November 30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File with the administrator an updated Form BD, manually signed and notarized;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File with the administrator the renewal applicant’s most recent audited financial statements if they were not previously submitted to the administrator pursuant to subrule </w:t>
      </w:r>
      <w:hyperlink r:id="rId19">
        <w:r>
          <w:rPr>
            <w:rStyle w:val="Hyperlink"/>
            <w:rFonts w:ascii="Times New Roman" w:hAnsi="Times New Roman"/>
            <w:b w:val="false"/>
            <w:i w:val="false"/>
            <w:color w:val="000000"/>
            <w:sz w:val="22"/>
          </w:rPr>
          <w:t>50.10(1)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 a $200 renewal filing fee, which shall be remitted to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50.10(5)</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requirements of subrule </w:t>
      </w:r>
      <w:hyperlink r:id="rId20">
        <w:r>
          <w:rPr>
            <w:rStyle w:val="Hyperlink"/>
            <w:rFonts w:ascii="Times New Roman" w:hAnsi="Times New Roman"/>
            <w:b w:val="false"/>
            <w:i w:val="false"/>
            <w:color w:val="000000"/>
            <w:sz w:val="22"/>
          </w:rPr>
          <w:t>50.10(3)</w:t>
        </w:r>
      </w:hyperlink>
      <w:r>
        <w:rPr>
          <w:rFonts w:ascii="Times New Roman" w:hAnsi="Times New Roman"/>
          <w:b w:val="false"/>
          <w:i w:val="false"/>
          <w:color w:val="000000"/>
          <w:sz w:val="22"/>
        </w:rPr>
        <w:t xml:space="preserve"> or </w:t>
      </w:r>
      <w:hyperlink r:id="rId21">
        <w:r>
          <w:rPr>
            <w:rStyle w:val="Hyperlink"/>
            <w:rFonts w:ascii="Times New Roman" w:hAnsi="Times New Roman"/>
            <w:b w:val="false"/>
            <w:i w:val="false"/>
            <w:color w:val="000000"/>
            <w:sz w:val="22"/>
          </w:rPr>
          <w:t>50.10(4)</w:t>
        </w:r>
      </w:hyperlink>
      <w:r>
        <w:rPr>
          <w:rFonts w:ascii="Times New Roman" w:hAnsi="Times New Roman"/>
          <w:b w:val="false"/>
          <w:i w:val="false"/>
          <w:color w:val="000000"/>
          <w:sz w:val="22"/>
        </w:rPr>
        <w:t xml:space="preserve"> shall be deemed a request for withdrawal of the broker-dealer registration, and the registration will be terminated as of December 31 of the renewal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50.10(6)</w:t>
      </w:r>
      <w:r>
        <w:rPr>
          <w:rFonts w:ascii="Times New Roman" w:hAnsi="Times New Roman"/>
          <w:b w:val="false"/>
          <w:i w:val="false"/>
          <w:color w:val="000000"/>
          <w:sz w:val="22"/>
        </w:rPr>
        <w:t> </w:t>
      </w:r>
      <w:r>
        <w:rPr>
          <w:rFonts w:ascii="Times New Roman" w:hAnsi="Times New Roman"/>
          <w:b w:val="false"/>
          <w:i w:val="false"/>
          <w:color w:val="000000"/>
          <w:sz w:val="22"/>
        </w:rPr>
        <w:t>A registered broker-dealer that is a FINRA member shall submit a withdrawal request by filing an accurate and complete Form BDW with CRD. A registered broker-dealer that is not a FINRA member shall submit a withdrawal request by filing an accurate and complete Form BDW with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50.10(7)</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Iowa Code section </w:t>
      </w:r>
      <w:hyperlink r:id="rId22">
        <w:r>
          <w:rPr>
            <w:rStyle w:val="Hyperlink"/>
            <w:rFonts w:ascii="Times New Roman" w:hAnsi="Times New Roman"/>
            <w:b w:val="false"/>
            <w:i w:val="false"/>
            <w:color w:val="000000"/>
            <w:sz w:val="22"/>
          </w:rPr>
          <w:t>502.406(2)</w:t>
        </w:r>
      </w:hyperlink>
      <w:r>
        <w:rPr>
          <w:rFonts w:ascii="Times New Roman" w:hAnsi="Times New Roman"/>
          <w:b w:val="false"/>
          <w:i w:val="false"/>
          <w:color w:val="000000"/>
          <w:sz w:val="22"/>
        </w:rPr>
        <w:t>, a correcting amendment to the information or a record contained in either an initial or renewal application shall be considered to be filed “promptly” with the administrator if filed within 30 days of the event necessitating the correcting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50.10(8)</w:t>
      </w:r>
      <w:r>
        <w:rPr>
          <w:rFonts w:ascii="Times New Roman" w:hAnsi="Times New Roman"/>
          <w:b w:val="false"/>
          <w:i w:val="false"/>
          <w:color w:val="000000"/>
          <w:sz w:val="22"/>
        </w:rPr>
        <w:t> </w:t>
      </w:r>
      <w:r>
        <w:rPr>
          <w:rFonts w:ascii="Times New Roman" w:hAnsi="Times New Roman"/>
          <w:b w:val="false"/>
          <w:i w:val="false"/>
          <w:color w:val="000000"/>
          <w:sz w:val="22"/>
        </w:rPr>
        <w:t>Succession and change in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an organizational change, including a change in the state of incorporation or form of organization, not involving a material change in financial condition or management, a broker-dealer shall file all applicable amendments to Form BD.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an organizational change, including a change in the state of incorporation or form of organization, involving a material change in financial condition or management, a broker-dealer shall file a new application for registration pursuant to subrule </w:t>
      </w:r>
      <w:hyperlink r:id="rId23">
        <w:r>
          <w:rPr>
            <w:rStyle w:val="Hyperlink"/>
            <w:rFonts w:ascii="Times New Roman" w:hAnsi="Times New Roman"/>
            <w:b w:val="false"/>
            <w:i w:val="false"/>
            <w:color w:val="000000"/>
            <w:sz w:val="22"/>
          </w:rPr>
          <w:t>50.10(1)</w:t>
        </w:r>
      </w:hyperlink>
      <w:r>
        <w:rPr>
          <w:rFonts w:ascii="Times New Roman" w:hAnsi="Times New Roman"/>
          <w:b w:val="false"/>
          <w:i w:val="false"/>
          <w:color w:val="000000"/>
          <w:sz w:val="22"/>
        </w:rPr>
        <w:t xml:space="preserve">. The filing must include the fee pursuant to paragraph </w:t>
      </w:r>
      <w:hyperlink r:id="rId24">
        <w:r>
          <w:rPr>
            <w:rStyle w:val="Hyperlink"/>
            <w:rFonts w:ascii="Times New Roman" w:hAnsi="Times New Roman"/>
            <w:b w:val="false"/>
            <w:i w:val="false"/>
            <w:color w:val="000000"/>
            <w:sz w:val="22"/>
          </w:rPr>
          <w:t>50.10(1)</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registration fees for all Iowa-registered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of a change in name, a broker-dealer shall file all applicable amendments to Form BD.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50.10(9)</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administrator’s oral or written request, a broker-dealer shall provide to the administrator the broker-dealer’s most recent financial reports, audited or unaudited, within two business days of the request. A broker-dealer may utilize express mail delivery or transmission via electronic means to comply with a request pursuant to this subrule. Financial reports not received by the filing deadline are subject to a late fee of $50 per day beyond the filing deadline, not to exceed an aggregate penalty of $500. Imposition of the late fee is not a reportable event. In the event of the broker-dealer’s continued noncompliance, the administrator may also pursue sanctions authorized by Iowa Code section </w:t>
      </w:r>
      <w:hyperlink r:id="rId25">
        <w:r>
          <w:rPr>
            <w:rStyle w:val="Hyperlink"/>
            <w:rFonts w:ascii="Times New Roman" w:hAnsi="Times New Roman"/>
            <w:b w:val="false"/>
            <w:i w:val="false"/>
            <w:color w:val="000000"/>
            <w:sz w:val="22"/>
          </w:rPr>
          <w:t>502.412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50.10(10)</w:t>
      </w:r>
      <w:r>
        <w:rPr>
          <w:rFonts w:ascii="Times New Roman" w:hAnsi="Times New Roman"/>
          <w:b w:val="false"/>
          <w:i w:val="false"/>
          <w:color w:val="000000"/>
          <w:sz w:val="22"/>
        </w:rPr>
        <w:t> </w:t>
      </w:r>
      <w:r>
        <w:rPr>
          <w:rFonts w:ascii="Times New Roman" w:hAnsi="Times New Roman"/>
          <w:b w:val="false"/>
          <w:i w:val="false"/>
          <w:color w:val="000000"/>
          <w:sz w:val="22"/>
        </w:rPr>
        <w:t>Registration exemption for merger and acquisition brokers.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rule 191—50.10(502), in addition to the definitions set forth in rule 191—50.1(502),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 xml:space="preserve">“Control” </w:t>
      </w:r>
      <w:r>
        <w:rPr>
          <w:rFonts w:ascii="Times New Roman" w:hAnsi="Times New Roman"/>
          <w:b w:val="false"/>
          <w:i w:val="false"/>
          <w:color w:val="000000"/>
          <w:sz w:val="22"/>
        </w:rPr>
        <w:t>means the power, directly or indirectly, to direct the management or policies of a company, whether through ownership of securities, by contract or otherwise. There is a presumption of control for any person who meets at least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director, general partner, member, or manager of a limited liability company, or officer exercising executive responsibility (or similar status or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the right to vote 20 percent or more of a class of voting securities or the power to sell or direct the sale of 20 percent or more of a class of voting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case of a partnership or limited liability company, has the right to receive upon dissolution, or has contributed, 20 percent or more of the capital.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 xml:space="preserve">“Eligible privately held company” </w:t>
      </w:r>
      <w:r>
        <w:rPr>
          <w:rFonts w:ascii="Times New Roman" w:hAnsi="Times New Roman"/>
          <w:b w:val="false"/>
          <w:i w:val="false"/>
          <w:color w:val="000000"/>
          <w:sz w:val="22"/>
        </w:rPr>
        <w:t>means a company that meets both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company does not have any class of securities: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Registered, or required to be registered, pursuant to the Securities Exchange Act of 1934 (15 U.S.C. Section 781);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which the company files, or is required to file, periodic information, documents, and reports pursuant to the Securities Exchange Act of 1934 (15 U.S.C. Section 78o(d)).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fiscal year ending immediately before the fiscal year in which the services of the merger and acquisition broker are initially engaged with respect to the securities transaction, the company meets either or both of the following conditions (determined in accordance with the historical financial accounting records of the company):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earnings of the company before interest, taxes, depreciation, and amortization are less than $25 million.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gross revenues of the company are less than $250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color w:val="000000"/>
          <w:sz w:val="22"/>
        </w:rPr>
        <w:t xml:space="preserve">“Merger and acquisition broker” </w:t>
      </w:r>
      <w:r>
        <w:rPr>
          <w:rFonts w:ascii="Times New Roman" w:hAnsi="Times New Roman"/>
          <w:b w:val="false"/>
          <w:i w:val="false"/>
          <w:color w:val="000000"/>
          <w:sz w:val="22"/>
        </w:rPr>
        <w:t>means any broker-dealer and any person that is associated with a broker-dealer: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is engaged in the business of effecting securities transactions solely in connection with the transfer of ownership of an eligible privately held company;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That is thus engaged regardless of whether that broker-dealer acts on behalf of a seller or buyer;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That is thus engaged through the purchase, sale, exchange, issuance, repurchase, or redemption of, or a business combination involving, securities or assets of the eligible privately held company;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meets both of the following conditions: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broker-dealer reasonably believes that, upon consummation of the transaction, any person acquiring securities or assets of the eligible privately held company, acting alone or in concert, will control and, directly or indirectly, will be active in the management of the eligible privately held company or the business conducted with the assets of the eligible privately held company;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any person offered securities in exchange for securities or assets of the eligible privately held company, such person will, prior to becoming legally bound to consummate the transaction, receive or have reasonable access to both of the following:</w:t>
      </w:r>
      <w:r>
        <w:br/>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o The most recent fiscal year-end financial statements of the issuer of the securities as customarily prepared by its management in the normal course of operations; and </w:t>
      </w:r>
      <w:r>
        <w:br/>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 If the financial statements of the issuer are audited, reviewed or compiled, all of the following:</w:t>
      </w:r>
      <w:r>
        <w:br/>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Any related statement by the independent accountant;</w:t>
      </w:r>
      <w:r>
        <w:br/>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A balance sheet dated not more than 120 days before the date of the exchange offer;</w:t>
      </w:r>
      <w:r>
        <w:br/>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Information pertaining to the management, business, and results of operations for the period covered by the foregoing financial statements; and</w:t>
      </w:r>
      <w:r>
        <w:br/>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Any material loss contingencies of the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color w:val="000000"/>
          <w:sz w:val="22"/>
        </w:rPr>
        <w:t xml:space="preserve">“Public shell company” </w:t>
      </w:r>
      <w:r>
        <w:rPr>
          <w:rFonts w:ascii="Times New Roman" w:hAnsi="Times New Roman"/>
          <w:b w:val="false"/>
          <w:i w:val="false"/>
          <w:color w:val="000000"/>
          <w:sz w:val="22"/>
        </w:rPr>
        <w:t xml:space="preserve">means a company that, at the time of a transaction with an eligible privately held company, meets all three of the following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any class of securities registered, or required to be registered, with the SEC pursuant to the Securities Exchange Act of 1934 (15 U.S.C. Section 781), or with respect to which the company files, or is required to file, periodic information, documents, and reports pursuant to the Securities Exchange Act of 1934 (15 U.S.C. 78o(d)).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no or nominal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assets consisting of one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 or nominal assets.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Cash and cash equivalents.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amount of cash and cash equivalents and nominal other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Merger and acquisition broker exemption from registration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Exemption. Except as provided in subparagraphs 50.10(10)</w:t>
      </w:r>
      <w:r>
        <w:rPr>
          <w:rFonts w:ascii="Times New Roman" w:hAnsi="Times New Roman"/>
          <w:b w:val="false"/>
          <w:i/>
          <w:color w:val="000000"/>
          <w:sz w:val="22"/>
        </w:rPr>
        <w:t>“b”</w:t>
      </w:r>
      <w:r>
        <w:rPr>
          <w:rFonts w:ascii="Times New Roman" w:hAnsi="Times New Roman"/>
          <w:b w:val="false"/>
          <w:i w:val="false"/>
          <w:color w:val="000000"/>
          <w:sz w:val="22"/>
        </w:rPr>
        <w:t xml:space="preserve">(2) and (3), a merger and acquisition broker is exempt from the broker-dealer registration requirements and procedures of Iowa Code sections </w:t>
      </w:r>
      <w:hyperlink r:id="rId26">
        <w:r>
          <w:rPr>
            <w:rStyle w:val="Hyperlink"/>
            <w:rFonts w:ascii="Times New Roman" w:hAnsi="Times New Roman"/>
            <w:b w:val="false"/>
            <w:i w:val="false"/>
            <w:color w:val="000000"/>
            <w:sz w:val="22"/>
          </w:rPr>
          <w:t>502.401</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502.406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Activities not exempt. A merger and acquisition broker is not exempt from the broker-dealer registration requirements of Iowa Code sections </w:t>
      </w:r>
      <w:hyperlink r:id="rId28">
        <w:r>
          <w:rPr>
            <w:rStyle w:val="Hyperlink"/>
            <w:rFonts w:ascii="Times New Roman" w:hAnsi="Times New Roman"/>
            <w:b w:val="false"/>
            <w:i w:val="false"/>
            <w:color w:val="000000"/>
            <w:sz w:val="22"/>
          </w:rPr>
          <w:t>502.401</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502.406</w:t>
        </w:r>
      </w:hyperlink>
      <w:r>
        <w:rPr>
          <w:rFonts w:ascii="Times New Roman" w:hAnsi="Times New Roman"/>
          <w:b w:val="false"/>
          <w:i w:val="false"/>
          <w:color w:val="000000"/>
          <w:sz w:val="22"/>
        </w:rPr>
        <w:t xml:space="preserve"> if the merger and acquisition broker does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Directly or indirectly, in connection with the transfer of ownership of an eligible privately held company, receives, holds, transmits, or has custody of the funds or securities to be exchanged by the parties to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Engages on behalf of an issuer in a public offering of any class of securities that is registered, or is required to be registered, with the SEC under the Securities Exchange Act of 1934 (15 U.S.C. Section 781) or with respect to which the issuer files, or is required to file, periodic information, documents, and reports under the Securities Exchange Act of 1934 (15 U.S.C. Section 78o(d)).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Engages on behalf of any party in a transaction involving a public shell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Disqualifications. A merger and acquisition broker is not exempt from registration under this subrule if the merger and acquisition broker is subject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Suspension or revocation of registration under the Securities Exchange Act of 1934 (15 U.S.C. Section 78o(b)(4));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statutory disqualification described in the Securities Exchange Act of 1934 (15 U.S.C. Section 78c(a)(39));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disqualification under the rules adopted by the SEC pursuant to the Dodd-Frank Wall Street Reform and Consumer Protection Act (15 U.S.C. Section 77d note));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final order described in the Securities Exchange Act of 1934 (15 U.S.C. Section 78o(b)(4)(H)).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Rule of construction. Nothing in this subrule shall be construed to limit any other authority of the administrator to exempt any person, or any class of persons, from Iowa Code chapter </w:t>
      </w:r>
      <w:hyperlink r:id="rId30">
        <w:r>
          <w:rPr>
            <w:rStyle w:val="Hyperlink"/>
            <w:rFonts w:ascii="Times New Roman" w:hAnsi="Times New Roman"/>
            <w:b w:val="false"/>
            <w:i w:val="false"/>
            <w:color w:val="000000"/>
            <w:sz w:val="22"/>
          </w:rPr>
          <w:t>502</w:t>
        </w:r>
      </w:hyperlink>
      <w:r>
        <w:rPr>
          <w:rFonts w:ascii="Times New Roman" w:hAnsi="Times New Roman"/>
          <w:b w:val="false"/>
          <w:i w:val="false"/>
          <w:color w:val="000000"/>
          <w:sz w:val="22"/>
        </w:rPr>
        <w:t xml:space="preserve"> or from any provision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Inflation adjustment. </w:t>
      </w:r>
      <w:r>
        <w:rPr>
          <w:rFonts w:ascii="Times New Roman" w:hAnsi="Times New Roman"/>
          <w:b w:val="false"/>
          <w:i w:val="false"/>
          <w:color w:val="000000"/>
          <w:sz w:val="22"/>
        </w:rPr>
        <w:t>On July 1, 2023, and every five years thereafter, each dollar amount in 50.10(10)</w:t>
      </w:r>
      <w:r>
        <w:rPr>
          <w:rFonts w:ascii="Times New Roman" w:hAnsi="Times New Roman"/>
          <w:b w:val="false"/>
          <w:i/>
          <w:color w:val="000000"/>
          <w:sz w:val="22"/>
        </w:rPr>
        <w:t>“a”</w:t>
      </w:r>
      <w:r>
        <w:rPr>
          <w:rFonts w:ascii="Times New Roman" w:hAnsi="Times New Roman"/>
          <w:b w:val="false"/>
          <w:i w:val="false"/>
          <w:color w:val="000000"/>
          <w:sz w:val="22"/>
        </w:rPr>
        <w:t>(2)“2” shall be adjusted by the following calculation, and the dollar amount determined under the calculation shall be rounded to the nearest multiple of $100,000: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Dividing the annual value of the Employment Cost Index for Wages and Salaries, Private Industry Workers (or any successor index), as published by the Bureau of Labor Statistics, for the calendar year preceding the calendar year in which the adjustment is being made by the annual value of such index (or successor index) for the calendar year ending December 31, 2017;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Multiplying the dollar amount in 50.10(10)</w:t>
      </w:r>
      <w:r>
        <w:rPr>
          <w:rFonts w:ascii="Times New Roman" w:hAnsi="Times New Roman"/>
          <w:b w:val="false"/>
          <w:i/>
          <w:color w:val="000000"/>
          <w:sz w:val="22"/>
        </w:rPr>
        <w:t>“a”</w:t>
      </w:r>
      <w:r>
        <w:rPr>
          <w:rFonts w:ascii="Times New Roman" w:hAnsi="Times New Roman"/>
          <w:b w:val="false"/>
          <w:i w:val="false"/>
          <w:color w:val="000000"/>
          <w:sz w:val="22"/>
        </w:rPr>
        <w:t>(2)“2” by the quotient obtained under subparagraph 50.10(10)</w:t>
      </w:r>
      <w:r>
        <w:rPr>
          <w:rFonts w:ascii="Times New Roman" w:hAnsi="Times New Roman"/>
          <w:b w:val="false"/>
          <w:i/>
          <w:color w:val="000000"/>
          <w:sz w:val="22"/>
        </w:rPr>
        <w:t>“c”</w:t>
      </w:r>
      <w:r>
        <w:rPr>
          <w:rFonts w:ascii="Times New Roman" w:hAnsi="Times New Roman"/>
          <w:b w:val="false"/>
          <w:i w:val="false"/>
          <w:color w:val="000000"/>
          <w:sz w:val="22"/>
        </w:rPr>
        <w:t>(1), above.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502.411(2)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9169B</w:t>
      </w:r>
      <w:r>
        <w:rPr>
          <w:rFonts w:ascii="Times New Roman" w:hAnsi="Times New Roman"/>
          <w:b w:val="false"/>
          <w:i w:val="false"/>
          <w:color w:val="000000"/>
          <w:sz w:val="16"/>
        </w:rPr>
        <w:t>, IAB 10/20/10, effective 11/24/10</w:t>
      </w:r>
      <w:r>
        <w:rPr>
          <w:rFonts w:ascii="Times New Roman" w:hAnsi="Times New Roman"/>
          <w:b w:val="false"/>
          <w:i w:val="false"/>
          <w:color w:val="000000"/>
          <w:sz w:val="16"/>
        </w:rPr>
        <w:t xml:space="preserve">; </w:t>
      </w:r>
      <w:r>
        <w:rPr>
          <w:rFonts w:ascii="Times New Roman" w:hAnsi="Times New Roman"/>
          <w:b/>
          <w:i w:val="false"/>
          <w:color w:val="000000"/>
          <w:sz w:val="16"/>
        </w:rPr>
        <w:t>ARC 3741C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191—50.11</w:t>
      </w:r>
      <w:r>
        <w:rPr>
          <w:rFonts w:ascii="Times New Roman" w:hAnsi="Times New Roman"/>
          <w:b/>
          <w:i w:val="false"/>
          <w:color w:val="000000"/>
          <w:sz w:val="22"/>
        </w:rPr>
        <w:t xml:space="preserve">(502) </w:t>
      </w:r>
      <w:r>
        <w:rPr>
          <w:rFonts w:ascii="Times New Roman" w:hAnsi="Times New Roman"/>
          <w:b/>
          <w:i w:val="false"/>
          <w:color w:val="000000"/>
          <w:sz w:val="22"/>
        </w:rPr>
        <w:t xml:space="preserve">Principals. </w:t>
      </w:r>
      <w:r>
        <w:rPr>
          <w:rFonts w:ascii="Times New Roman" w:hAnsi="Times New Roman"/>
          <w:b w:val="false"/>
          <w:i w:val="false"/>
          <w:color w:val="000000"/>
          <w:sz w:val="22"/>
        </w:rPr>
        <w:t>Every registered broker-dealer shall have at least two officers or partners registered with FINRA as principals, appropriate to the function(s) to be performed.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502.406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9169B</w:t>
      </w:r>
      <w:r>
        <w:rPr>
          <w:rFonts w:ascii="Times New Roman" w:hAnsi="Times New Roman"/>
          <w:b w:val="false"/>
          <w:i w:val="false"/>
          <w:color w:val="000000"/>
          <w:sz w:val="16"/>
        </w:rPr>
        <w:t>, IAB 10/20/10, effective 11/24/10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191—50.12</w:t>
      </w:r>
      <w:r>
        <w:rPr>
          <w:rFonts w:ascii="Times New Roman" w:hAnsi="Times New Roman"/>
          <w:b/>
          <w:i w:val="false"/>
          <w:color w:val="000000"/>
          <w:sz w:val="22"/>
        </w:rPr>
        <w:t xml:space="preserve">(502) </w:t>
      </w:r>
      <w:r>
        <w:rPr>
          <w:rFonts w:ascii="Times New Roman" w:hAnsi="Times New Roman"/>
          <w:b/>
          <w:i w:val="false"/>
          <w:color w:val="000000"/>
          <w:sz w:val="22"/>
        </w:rPr>
        <w:t xml:space="preserve">Agent and issuer registrations, renewals and amendments.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50.12(1)</w:t>
      </w:r>
      <w:r>
        <w:rPr>
          <w:rFonts w:ascii="Times New Roman" w:hAnsi="Times New Roman"/>
          <w:b w:val="false"/>
          <w:i w:val="false"/>
          <w:color w:val="000000"/>
          <w:sz w:val="22"/>
        </w:rPr>
        <w:t> </w:t>
      </w:r>
      <w:r>
        <w:rPr>
          <w:rFonts w:ascii="Times New Roman" w:hAnsi="Times New Roman"/>
          <w:b w:val="false"/>
          <w:i w:val="false"/>
          <w:color w:val="000000"/>
          <w:sz w:val="22"/>
        </w:rPr>
        <w:t>Agent registration. Every applicant for registration as an agent of a broker-dealer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Pass the Uniform Securities Agent State Law Examination (Series 63) or the Uniform Combined State Law Examination (Series 66);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Pass the appropriate qualifying examination administered by FINRA. In the event that an applicant for registration as an agent has received a waiver by FINRA of a FINRA examination otherwise required by this paragraph, the FINRA waiver will be accepted in lieu of the examination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File an accurate and complete Form U-4 with CRD;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 a $40 filing fee to FINRA if applying for registration as an agent of a FINRA member broker-dealer, or to the administrator if applying for registration as an agent of a non-FINRA member broker-dealer.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50.12(2)</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individual who is out of the business of effecting transactions in securities for less than two years from the date of filing an application and who has previously passed an examination required in subrule </w:t>
      </w:r>
      <w:hyperlink r:id="rId33">
        <w:r>
          <w:rPr>
            <w:rStyle w:val="Hyperlink"/>
            <w:rFonts w:ascii="Times New Roman" w:hAnsi="Times New Roman"/>
            <w:b w:val="false"/>
            <w:i w:val="false"/>
            <w:color w:val="000000"/>
            <w:sz w:val="22"/>
          </w:rPr>
          <w:t>50.12(1)</w:t>
        </w:r>
      </w:hyperlink>
      <w:r>
        <w:rPr>
          <w:rFonts w:ascii="Times New Roman" w:hAnsi="Times New Roman"/>
          <w:b w:val="false"/>
          <w:i w:val="false"/>
          <w:color w:val="000000"/>
          <w:sz w:val="22"/>
        </w:rPr>
        <w:t xml:space="preserve"> shall not be required to retake the examination to be eligible to be relicensed upon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50.12(3)</w:t>
      </w:r>
      <w:r>
        <w:rPr>
          <w:rFonts w:ascii="Times New Roman" w:hAnsi="Times New Roman"/>
          <w:b w:val="false"/>
          <w:i w:val="false"/>
          <w:color w:val="000000"/>
          <w:sz w:val="22"/>
        </w:rPr>
        <w:t> </w:t>
      </w:r>
      <w:r>
        <w:rPr>
          <w:rFonts w:ascii="Times New Roman" w:hAnsi="Times New Roman"/>
          <w:b w:val="false"/>
          <w:i w:val="false"/>
          <w:color w:val="000000"/>
          <w:sz w:val="22"/>
        </w:rPr>
        <w:t>Renewals, amendments, and withdrawal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registered agent of a FINRA member broker-dealer shall submit all renewals, renewal fees, amendments to Form U-4, and withdrawal requests to CRD. A withdrawal request shall be made by filing an accurate and complete Form U-5 with CRD.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registered agent of a non-FINRA member broker-dealer shall submit all renewals, renewal fees, amendments to Form U-4, and withdrawal requests to the administrator. A withdrawal request shall be made by filing an accurate and complete Form U-5 with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50.12(4)</w:t>
      </w:r>
      <w:r>
        <w:rPr>
          <w:rFonts w:ascii="Times New Roman" w:hAnsi="Times New Roman"/>
          <w:b w:val="false"/>
          <w:i w:val="false"/>
          <w:color w:val="000000"/>
          <w:sz w:val="22"/>
        </w:rPr>
        <w:t> </w:t>
      </w:r>
      <w:r>
        <w:rPr>
          <w:rFonts w:ascii="Times New Roman" w:hAnsi="Times New Roman"/>
          <w:b w:val="false"/>
          <w:i w:val="false"/>
          <w:color w:val="000000"/>
          <w:sz w:val="22"/>
        </w:rPr>
        <w:t xml:space="preserve">An issuer seeking to employ persons as agents of the issuer within the meaning of Iowa Code section </w:t>
      </w:r>
      <w:hyperlink r:id="rId34">
        <w:r>
          <w:rPr>
            <w:rStyle w:val="Hyperlink"/>
            <w:rFonts w:ascii="Times New Roman" w:hAnsi="Times New Roman"/>
            <w:b w:val="false"/>
            <w:i w:val="false"/>
            <w:color w:val="000000"/>
            <w:sz w:val="22"/>
          </w:rPr>
          <w:t>502.102(2)</w:t>
        </w:r>
      </w:hyperlink>
      <w:r>
        <w:rPr>
          <w:rFonts w:ascii="Times New Roman" w:hAnsi="Times New Roman"/>
          <w:b w:val="false"/>
          <w:i w:val="false"/>
          <w:color w:val="000000"/>
          <w:sz w:val="22"/>
        </w:rPr>
        <w:t xml:space="preserve"> must apply in writing to the administrator for such authority. The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issuer’s intent to employ agents for the sale of its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address, social security number, and proof of satisfaction of subrule </w:t>
      </w:r>
      <w:hyperlink r:id="rId35">
        <w:r>
          <w:rPr>
            <w:rStyle w:val="Hyperlink"/>
            <w:rFonts w:ascii="Times New Roman" w:hAnsi="Times New Roman"/>
            <w:b w:val="false"/>
            <w:i w:val="false"/>
            <w:color w:val="000000"/>
            <w:sz w:val="22"/>
          </w:rPr>
          <w:t>50.12(1)</w:t>
        </w:r>
      </w:hyperlink>
      <w:r>
        <w:rPr>
          <w:rFonts w:ascii="Times New Roman" w:hAnsi="Times New Roman"/>
          <w:b w:val="false"/>
          <w:i w:val="false"/>
          <w:color w:val="000000"/>
          <w:sz w:val="22"/>
        </w:rPr>
        <w:t xml:space="preserve"> for each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 description of the subject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complete and accurate Form U-4;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$40 filing fee.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502.406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9169B</w:t>
      </w:r>
      <w:r>
        <w:rPr>
          <w:rFonts w:ascii="Times New Roman" w:hAnsi="Times New Roman"/>
          <w:b w:val="false"/>
          <w:i w:val="false"/>
          <w:color w:val="000000"/>
          <w:sz w:val="16"/>
        </w:rPr>
        <w:t>, IAB 10/20/10, effective 11/24/10</w:t>
      </w:r>
      <w:r>
        <w:rPr>
          <w:rFonts w:ascii="Times New Roman" w:hAnsi="Times New Roman"/>
          <w:b w:val="false"/>
          <w:i w:val="false"/>
          <w:color w:val="000000"/>
          <w:sz w:val="16"/>
        </w:rPr>
        <w:t xml:space="preserve">; </w:t>
      </w:r>
      <w:r>
        <w:rPr>
          <w:rFonts w:ascii="Times New Roman" w:hAnsi="Times New Roman"/>
          <w:b/>
          <w:i w:val="false"/>
          <w:color w:val="000000"/>
          <w:sz w:val="16"/>
        </w:rPr>
        <w:t>ARC 1076C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3741C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191—50.13</w:t>
      </w:r>
      <w:r>
        <w:rPr>
          <w:rFonts w:ascii="Times New Roman" w:hAnsi="Times New Roman"/>
          <w:b/>
          <w:i w:val="false"/>
          <w:color w:val="000000"/>
          <w:sz w:val="22"/>
        </w:rPr>
        <w:t xml:space="preserve">(502) </w:t>
      </w:r>
      <w:r>
        <w:rPr>
          <w:rFonts w:ascii="Times New Roman" w:hAnsi="Times New Roman"/>
          <w:b/>
          <w:i w:val="false"/>
          <w:color w:val="000000"/>
          <w:sz w:val="22"/>
        </w:rPr>
        <w:t xml:space="preserve">Agent continuing education requirements. </w:t>
      </w:r>
      <w:r>
        <w:rPr>
          <w:rFonts w:ascii="Times New Roman" w:hAnsi="Times New Roman"/>
          <w:b w:val="false"/>
          <w:i w:val="false"/>
          <w:color w:val="000000"/>
          <w:sz w:val="22"/>
        </w:rPr>
        <w:t xml:space="preserve">Every registered agent shall comply with all applicable continuing education requirements adopted by FINRA, NYSE, or any other self-regulatory agency. Failure to comply with any such requirements may be a basis for discipline pursuant to Iowa Code section </w:t>
      </w:r>
      <w:hyperlink r:id="rId37">
        <w:r>
          <w:rPr>
            <w:rStyle w:val="Hyperlink"/>
            <w:rFonts w:ascii="Times New Roman" w:hAnsi="Times New Roman"/>
            <w:b w:val="false"/>
            <w:i w:val="false"/>
            <w:color w:val="000000"/>
            <w:sz w:val="22"/>
          </w:rPr>
          <w:t>502.412(4)</w:t>
        </w:r>
      </w:hyperlink>
      <w:r>
        <w:rPr>
          <w:rFonts w:ascii="Times New Roman" w:hAnsi="Times New Roman"/>
          <w:b w:val="false"/>
          <w:i/>
          <w:color w:val="000000"/>
          <w:sz w:val="22"/>
        </w:rPr>
        <w:t>“n.”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502.411(8)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9169B</w:t>
      </w:r>
      <w:r>
        <w:rPr>
          <w:rFonts w:ascii="Times New Roman" w:hAnsi="Times New Roman"/>
          <w:b w:val="false"/>
          <w:i w:val="false"/>
          <w:color w:val="000000"/>
          <w:sz w:val="16"/>
        </w:rPr>
        <w:t>, IAB 10/20/10, effective 11/24/10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191—50.14</w:t>
      </w:r>
      <w:r>
        <w:rPr>
          <w:rFonts w:ascii="Times New Roman" w:hAnsi="Times New Roman"/>
          <w:b/>
          <w:i w:val="false"/>
          <w:color w:val="000000"/>
          <w:sz w:val="22"/>
        </w:rPr>
        <w:t xml:space="preserve">(502) </w:t>
      </w:r>
      <w:r>
        <w:rPr>
          <w:rFonts w:ascii="Times New Roman" w:hAnsi="Times New Roman"/>
          <w:b/>
          <w:i w:val="false"/>
          <w:color w:val="000000"/>
          <w:sz w:val="22"/>
        </w:rPr>
        <w:t xml:space="preserve">Broker-dealer record-keeping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50.14(1)</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an SEC order, each broker-dealer registered or required to be registered under the Act shall make, maintain and preserve books and records in compliance with SEC Rules 17a-3 (17 CFR 240.17a-3), 17a-4 (17 CFR 240.17a-4), 15c2-6 (17 CFR 240.15c2-6) and 15c2-11 (17 CFR 240.15c2-11).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50.14(2)</w:t>
      </w:r>
      <w:r>
        <w:rPr>
          <w:rFonts w:ascii="Times New Roman" w:hAnsi="Times New Roman"/>
          <w:b w:val="false"/>
          <w:i w:val="false"/>
          <w:color w:val="000000"/>
          <w:sz w:val="22"/>
        </w:rPr>
        <w:t> </w:t>
      </w:r>
      <w:r>
        <w:rPr>
          <w:rFonts w:ascii="Times New Roman" w:hAnsi="Times New Roman"/>
          <w:b w:val="false"/>
          <w:i w:val="false"/>
          <w:color w:val="000000"/>
          <w:sz w:val="22"/>
        </w:rPr>
        <w:t>To the extent that the SEC amends the above-referenced rules, broker-dealers complying with such rules as amended shall not be subject to enforcement action by the administrator for violating this rule to the extent that the violation results solely from the broker-dealer’s compliance with the amended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
        <w:r>
          <w:rPr>
            <w:rStyle w:val="Hyperlink"/>
            <w:rFonts w:ascii="Times New Roman" w:hAnsi="Times New Roman"/>
            <w:b w:val="false"/>
            <w:i w:val="false"/>
            <w:color w:val="000000"/>
            <w:sz w:val="22"/>
          </w:rPr>
          <w:t>502.411(3)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191—50.15</w:t>
      </w:r>
      <w:r>
        <w:rPr>
          <w:rFonts w:ascii="Times New Roman" w:hAnsi="Times New Roman"/>
          <w:b/>
          <w:i w:val="false"/>
          <w:color w:val="000000"/>
          <w:sz w:val="22"/>
        </w:rPr>
        <w:t xml:space="preserve">(502) </w:t>
      </w:r>
      <w:r>
        <w:rPr>
          <w:rFonts w:ascii="Times New Roman" w:hAnsi="Times New Roman"/>
          <w:b/>
          <w:i w:val="false"/>
          <w:color w:val="000000"/>
          <w:sz w:val="22"/>
        </w:rPr>
        <w:t xml:space="preserve">Broker-dealer minimum financial requirements and financial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50.15(1)</w:t>
      </w:r>
      <w:r>
        <w:rPr>
          <w:rFonts w:ascii="Times New Roman" w:hAnsi="Times New Roman"/>
          <w:b w:val="false"/>
          <w:i w:val="false"/>
          <w:color w:val="000000"/>
          <w:sz w:val="22"/>
        </w:rPr>
        <w:t> </w:t>
      </w:r>
      <w:r>
        <w:rPr>
          <w:rFonts w:ascii="Times New Roman" w:hAnsi="Times New Roman"/>
          <w:b w:val="false"/>
          <w:i w:val="false"/>
          <w:color w:val="000000"/>
          <w:sz w:val="22"/>
        </w:rPr>
        <w:t>Each broker-dealer registered or required to be registered under the Act shall comply with SEC Rules 15c3-1 (17 CFR 240.15c3-1), 15c3-2 (17 CFR 240.15c3-2), and 15c3-3 (17 CFR 240.15c3-3).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50.15(2)</w:t>
      </w:r>
      <w:r>
        <w:rPr>
          <w:rFonts w:ascii="Times New Roman" w:hAnsi="Times New Roman"/>
          <w:b w:val="false"/>
          <w:i w:val="false"/>
          <w:color w:val="000000"/>
          <w:sz w:val="22"/>
        </w:rPr>
        <w:t> </w:t>
      </w:r>
      <w:r>
        <w:rPr>
          <w:rFonts w:ascii="Times New Roman" w:hAnsi="Times New Roman"/>
          <w:b w:val="false"/>
          <w:i w:val="false"/>
          <w:color w:val="000000"/>
          <w:sz w:val="22"/>
        </w:rPr>
        <w:t>Each broker-dealer registered or required to be registered under the Act shall comply with SEC Rule 17a-11 (17 CFR 240.17a-11) and shall file with the administrator copies of notices of financial deficiencies, as required under SEC Rule 17a-11 (17 CFR 240.17a-11).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50.15(3)</w:t>
      </w:r>
      <w:r>
        <w:rPr>
          <w:rFonts w:ascii="Times New Roman" w:hAnsi="Times New Roman"/>
          <w:b w:val="false"/>
          <w:i w:val="false"/>
          <w:color w:val="000000"/>
          <w:sz w:val="22"/>
        </w:rPr>
        <w:t> </w:t>
      </w:r>
      <w:r>
        <w:rPr>
          <w:rFonts w:ascii="Times New Roman" w:hAnsi="Times New Roman"/>
          <w:b w:val="false"/>
          <w:i w:val="false"/>
          <w:color w:val="000000"/>
          <w:sz w:val="22"/>
        </w:rPr>
        <w:t>To the extent that the SEC amends the above-referenced rules, broker-dealers complying with such rules as amended shall not be subject to enforcement action by the administrator for violations resulting solely from the broker-dealer’s compliance with the amended rules.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
        <w:r>
          <w:rPr>
            <w:rStyle w:val="Hyperlink"/>
            <w:rFonts w:ascii="Times New Roman" w:hAnsi="Times New Roman"/>
            <w:b w:val="false"/>
            <w:i w:val="false"/>
            <w:color w:val="000000"/>
            <w:sz w:val="22"/>
          </w:rPr>
          <w:t>502.411(2)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191—50.16</w:t>
      </w:r>
      <w:r>
        <w:rPr>
          <w:rFonts w:ascii="Times New Roman" w:hAnsi="Times New Roman"/>
          <w:b/>
          <w:i w:val="false"/>
          <w:color w:val="000000"/>
          <w:sz w:val="22"/>
        </w:rPr>
        <w:t xml:space="preserve">(502) </w:t>
      </w:r>
      <w:r>
        <w:rPr>
          <w:rFonts w:ascii="Times New Roman" w:hAnsi="Times New Roman"/>
          <w:b/>
          <w:i w:val="false"/>
          <w:color w:val="000000"/>
          <w:sz w:val="22"/>
        </w:rPr>
        <w:t xml:space="preserve">Dishonest or unethical practices in the securities business.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50.16(1)</w:t>
      </w:r>
      <w:r>
        <w:rPr>
          <w:rFonts w:ascii="Times New Roman" w:hAnsi="Times New Roman"/>
          <w:b w:val="false"/>
          <w:i w:val="false"/>
          <w:color w:val="000000"/>
          <w:sz w:val="22"/>
        </w:rPr>
        <w:t> </w:t>
      </w:r>
      <w:r>
        <w:rPr>
          <w:rFonts w:ascii="Times New Roman" w:hAnsi="Times New Roman"/>
          <w:b w:val="false"/>
          <w:i w:val="false"/>
          <w:color w:val="000000"/>
          <w:sz w:val="22"/>
        </w:rPr>
        <w:t xml:space="preserve">Dishonest or unethical business practices by any person in the securities business, other than an agent, investment adviser, investment adviser representative, or federal covered investment adviser, as prohibited pursuant to Iowa Code section </w:t>
      </w:r>
      <w:hyperlink r:id="rId41">
        <w:r>
          <w:rPr>
            <w:rStyle w:val="Hyperlink"/>
            <w:rFonts w:ascii="Times New Roman" w:hAnsi="Times New Roman"/>
            <w:b w:val="false"/>
            <w:i w:val="false"/>
            <w:color w:val="000000"/>
            <w:sz w:val="22"/>
          </w:rPr>
          <w:t>502.412(4)</w:t>
        </w:r>
      </w:hyperlink>
      <w:r>
        <w:rPr>
          <w:rFonts w:ascii="Times New Roman" w:hAnsi="Times New Roman"/>
          <w:b w:val="false"/>
          <w:i/>
          <w:color w:val="000000"/>
          <w:sz w:val="22"/>
        </w:rPr>
        <w:t>“m”</w:t>
      </w:r>
      <w:r>
        <w:rPr>
          <w:rFonts w:ascii="Times New Roman" w:hAnsi="Times New Roman"/>
          <w:b w:val="false"/>
          <w:i w:val="false"/>
          <w:color w:val="000000"/>
          <w:sz w:val="22"/>
        </w:rPr>
        <w:t xml:space="preserv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Engaging in any unreasonable and unjustifiable delay in delivering securities purchased by any customers or paying, upon request, free credit balances reflecting completed transactions of any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Inducing in a customer’s account trading which is excessive in size or frequency relative to the financial resources and character of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Suitability: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Failing to use reasonable diligence, in regard to the opening and maintenance of every account, to know and retain the essential facts concerning every customer and concerning the authority of each person acting on behalf of such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Recommending a transaction or investment strategy involving a security or securities without a reasonable basis to believe that the transaction or investment strategy is suitable for the customer, based on the information obtained through the reasonable diligence of the member or associated person to ascertain the customer’s investment profile. A customer’s investment profile includes, but is not limited to, the customer’s age, other investments, financial situation and needs, tax status, investment objectives, investment experience, investment time horizon, liquidity needs, risk tolerance, and any other information the customer may disclose to the broker-dealer or agent in connection with such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Executing a transaction on behalf of a customer without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Exercising any discretionary power in effecting a transaction for a customer’s account without first obtaining written discretionary authority from the customer, unless the discretionary power relates solely to the time or price for executing the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Executing any transaction in a margin account without securing from the customer a properly executed written margin agreement prior to the initial transaction in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Failing to segregate customers’ free securities or securities held in safekeeping;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Hypothecating a customer’s securities without having a lien on them unless the broker-dealer secures from the customer a properly executed written consent promptly after the initial transaction, except as otherwise permitted by SEC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Entering into a transaction with or for a customer at a price not reasonably related to the current market price of the security or receiving an unreasonable commission or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furnish on or before the transaction confirmation date a final prospectus, or, if a final prospectus is not available, a preliminary prospectus together with additional documents which include all information that would be set forth in the final prospectus, to a customer purchasing securities in an offering registered pursuant to Iowa Code section </w:t>
      </w:r>
      <w:hyperlink r:id="rId42">
        <w:r>
          <w:rPr>
            <w:rStyle w:val="Hyperlink"/>
            <w:rFonts w:ascii="Times New Roman" w:hAnsi="Times New Roman"/>
            <w:b w:val="false"/>
            <w:i w:val="false"/>
            <w:color w:val="000000"/>
            <w:sz w:val="22"/>
          </w:rPr>
          <w:t>502.303</w:t>
        </w:r>
      </w:hyperlink>
      <w:r>
        <w:rPr>
          <w:rFonts w:ascii="Times New Roman" w:hAnsi="Times New Roman"/>
          <w:b w:val="false"/>
          <w:i w:val="false"/>
          <w:color w:val="000000"/>
          <w:sz w:val="22"/>
        </w:rPr>
        <w:t xml:space="preserve"> or </w:t>
      </w:r>
      <w:hyperlink r:id="rId43">
        <w:r>
          <w:rPr>
            <w:rStyle w:val="Hyperlink"/>
            <w:rFonts w:ascii="Times New Roman" w:hAnsi="Times New Roman"/>
            <w:b w:val="false"/>
            <w:i w:val="false"/>
            <w:color w:val="000000"/>
            <w:sz w:val="22"/>
          </w:rPr>
          <w:t>502.304</w:t>
        </w:r>
      </w:hyperlink>
      <w:r>
        <w:rPr>
          <w:rFonts w:ascii="Times New Roman" w:hAnsi="Times New Roman"/>
          <w:b w:val="false"/>
          <w:i w:val="false"/>
          <w:color w:val="000000"/>
          <w:sz w:val="22"/>
        </w:rPr>
        <w:t xml:space="preserve"> or that is subject to a notice filing made pursuant to Iowa Code section </w:t>
      </w:r>
      <w:hyperlink r:id="rId44">
        <w:r>
          <w:rPr>
            <w:rStyle w:val="Hyperlink"/>
            <w:rFonts w:ascii="Times New Roman" w:hAnsi="Times New Roman"/>
            <w:b w:val="false"/>
            <w:i w:val="false"/>
            <w:color w:val="000000"/>
            <w:sz w:val="22"/>
          </w:rPr>
          <w:t>502.302</w:t>
        </w:r>
      </w:hyperlink>
      <w:r>
        <w:rPr>
          <w:rFonts w:ascii="Times New Roman" w:hAnsi="Times New Roman"/>
          <w:b w:val="false"/>
          <w:i w:val="false"/>
          <w:color w:val="000000"/>
          <w:sz w:val="22"/>
        </w:rPr>
        <w:t>. If the offering is not registered, the broker-dealer shall furnish those disclosure documents that are customarily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Charging unreasonable and inequitable fees for services performed, including miscellaneous services such as collecting moneys due for principal, dividends or interest, exchange or transfer of securities, appraisals, safekeeping, custody of securities or other services regarding the securities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Offering to buy from or sell to any person any security at a stated price unless the broker-dealer is prepared to purchase or sell the security at the stated price and under the conditions as stated at the time of the offer to buy or sell the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Representing that a security is being offered to a customer “at the market” or a price relevant to the market price unless the broker-dealer knows or has reasonable grounds to believe that a market for the security exists other than that made, created or controlled by the broker-dealer, or by any person for whom the broker-dealer is acting or with whom the broker-dealer is associated in the distribution, or any person controlled by, controlling or under common control with such broker-dealer;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Effecting any transaction in, or inducing the purchase or sale of, any security by any manipulative, deceptive or fraudulent device, practice, plan, program, design or contrivance,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Effecting any transaction in a security involving no change in the beneficial ownership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Entertaining an order for the purchase or sale of any security knowing that an order or orders of substantially the same size have been or will be entered by or for the same or different parties at substantially the same time and price for the purpose of creating a false or misleading appearance of active trading in the security or a false or misleading appearance regarding the market for the security. Nothing in this subparagraph shall prohibit a broker-dealer from entering bona fide agency cross transactions for the broker-dealer’s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Effecting, alone or with one or more persons, a series of transactions in any security which creates actual or apparent active trading in a security or raising or depressing the price of the security for the purpose of inducing the purchase or sale of the security by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Guaranteeing a customer against loss in any securities account of the customer carried by the broker-dealer or in any securities transaction effected by the broker-dealer with or for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Publishing or circulating, or causing to be published or circulated, any notice, circular, advertisement, newspaper article, investment service, or communication of any kind purporting to report any transaction as a purchase or sale of any security unless the broker-dealer believes that the transaction was a bona fide purchase or sale of such security, or purporting to quote the bid price or asked price for any security unless the broker-dealer believes that the quotation represents a bona fide bid for or offer of such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Using any advertising or sales presentation in a deceptive or misleading fashion including but not limited to a distribution of any nonfactual data, material or presentation based on conjecture, unfounded or unrealistic claims or assertions in any brochure or flyer, or display by words, pictures, graphs or other medium designed to supplement, detract from, supersede or defeat the purpose or effect of any prospectus or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Failing to disclose that the broker-dealer is controlled by, controlling, affiliated with or under common control of the issuer of any security before entering into any contract with or for a customer for the purchase or sale of the security. The existence of any control or affiliation shall be disclosed to the customer in writing prior to completion of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Failing to make a bona fide public offering of all of the securities allotted to a broker-dealer for distribution, whether the securities were acquired by the broker-dealer as an underwriter, as a selling group member, or from a member participating in the distribution as an underwriter or selling group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Failing or refusing to furnish a customer, upon reasonable request, information to which the customer is entitled or to respond to a formal written request or complaint from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Failing or refusing to provide information requested in writing by the administrator within 14 days or a later time as prescribed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Extending credit to a customer in violation of the Securities Exchange Act of 1934 or the regulations of the Federal Reserve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 xml:space="preserve">Engaging in acts or practices enumerated in rule </w:t>
      </w:r>
      <w:hyperlink r:id="rId45">
        <w:r>
          <w:rPr>
            <w:rStyle w:val="Hyperlink"/>
            <w:rFonts w:ascii="Times New Roman" w:hAnsi="Times New Roman"/>
            <w:b w:val="false"/>
            <w:i w:val="false"/>
            <w:color w:val="000000"/>
            <w:sz w:val="22"/>
          </w:rPr>
          <w:t>191—50.100</w:t>
        </w:r>
      </w:hyperlink>
      <w:r>
        <w:rPr>
          <w:rFonts w:ascii="Times New Roman" w:hAnsi="Times New Roman"/>
          <w:b w:val="false"/>
          <w:i w:val="false"/>
          <w:color w:val="000000"/>
          <w:sz w:val="22"/>
        </w:rPr>
        <w:t>(502);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Failing in the solicitation of a sale or purchase of an OTC non-NASDAQ security to promptly provide, upon the customer’s request, the most current prospectus, the most recent periodic report filed pursuant to Section 13 of the Securities Exchange Act of 1934, or any other available research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Marking any order tickets or confirmations as unsolicited when the transaction is solicited;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Failing to provide each customer, on no greater than a quarterly basis, a statement of account that, for all OTC non-NASDAQ equity securities in the account for which the firm has been a market maker during the reportable period, contains a value for each security based on the closing market bid on a date certain for any month in which activity has occurred in a customer’s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any applicable provision of the FINRA Conduct Rules or any applicable fair practice or ethical standard promulgated by the SEC or by a self-regulatory organization approved by the SEC;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val="false"/>
          <w:color w:val="000000"/>
          <w:sz w:val="22"/>
        </w:rPr>
        <w:t>Engaging in or aiding in “boiler-room” operations or high-pressure tactics in connection with the promotion of speculative offerings or “hot issues” by means of an intensive telephone campaign or unsolicited calls to persons not known by, nor having an account with, the agent or broker-dealer represented by the agent, where the prospective purchaser is encouraged to make a hasty decision to buy, irrespective of the purchaser’s investment needs and objectives.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50.16(2)</w:t>
      </w:r>
      <w:r>
        <w:rPr>
          <w:rFonts w:ascii="Times New Roman" w:hAnsi="Times New Roman"/>
          <w:b w:val="false"/>
          <w:i w:val="false"/>
          <w:color w:val="000000"/>
          <w:sz w:val="22"/>
        </w:rPr>
        <w:t> </w:t>
      </w:r>
      <w:r>
        <w:rPr>
          <w:rFonts w:ascii="Times New Roman" w:hAnsi="Times New Roman"/>
          <w:b w:val="false"/>
          <w:i w:val="false"/>
          <w:color w:val="000000"/>
          <w:sz w:val="22"/>
        </w:rPr>
        <w:t xml:space="preserve">Dishonest or unethical practices by an agent in the securities business as prohibited pursuant to Iowa Code section </w:t>
      </w:r>
      <w:hyperlink r:id="rId46">
        <w:r>
          <w:rPr>
            <w:rStyle w:val="Hyperlink"/>
            <w:rFonts w:ascii="Times New Roman" w:hAnsi="Times New Roman"/>
            <w:b w:val="false"/>
            <w:i w:val="false"/>
            <w:color w:val="000000"/>
            <w:sz w:val="22"/>
          </w:rPr>
          <w:t>502.412(4)</w:t>
        </w:r>
      </w:hyperlink>
      <w:r>
        <w:rPr>
          <w:rFonts w:ascii="Times New Roman" w:hAnsi="Times New Roman"/>
          <w:b w:val="false"/>
          <w:i/>
          <w:color w:val="000000"/>
          <w:sz w:val="22"/>
        </w:rPr>
        <w:t>“m”</w:t>
      </w:r>
      <w:r>
        <w:rPr>
          <w:rFonts w:ascii="Times New Roman" w:hAnsi="Times New Roman"/>
          <w:b w:val="false"/>
          <w:i w:val="false"/>
          <w:color w:val="000000"/>
          <w:sz w:val="22"/>
        </w:rPr>
        <w:t xml:space="preserv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Lending money or securities to or borrowing money or securities from a customer or acting as a custodian for money, securities, or an executed stock power of a customer unless the customer is a member of the agent’s immediate family and the act or practice is approved in advance by the agent’s supervisory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Effecting securities transactions not recorded on the regular books or records of the broker-dealer the agent represents unless the transactions are authorized in writing by the broker-dealer prior to executing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Establishing or maintaining an account containing fictitious information for the purpose of executing transactions otherwise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Sharing, directly or indirectly, in profits or losses in any customer account without the written authorization of the customer and the broker-dealer the agent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Dividing or otherwise splitting the agent’s commissions, profits, or other compensation from the purchase or sale of securities with any person who is not registered as an agent for the same broker-dealer or for a broker-dealer under direct or indirect common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Soliciting or accepting a gift, directly or indirectly, from an unrelated customer that in the aggregate exceeds $250 in a calendar year. A gift accepted by an immediate family member from an unrelated customer shall be included in the aggregate limit. An agent shall not solicit or accept from a customer a gift transferred through a relative or third party to the agent’s benefit that would have the effect of evading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Soliciting or accepting being named as a beneficiary, executor, or trustee in a will or trust of an unrelated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Evading or otherwise negating the requirements of paragraph </w:t>
      </w:r>
      <w:hyperlink r:id="rId47">
        <w:r>
          <w:rPr>
            <w:rStyle w:val="Hyperlink"/>
            <w:rFonts w:ascii="Times New Roman" w:hAnsi="Times New Roman"/>
            <w:b w:val="false"/>
            <w:i w:val="false"/>
            <w:color w:val="000000"/>
            <w:sz w:val="22"/>
          </w:rPr>
          <w:t>50.16(2)</w:t>
        </w:r>
        <w:r>
          <w:rPr>
            <w:rFonts w:ascii="Times New Roman" w:hAnsi="Times New Roman"/>
            <w:b w:val="false"/>
            <w:i/>
            <w:color w:val="000000"/>
            <w:sz w:val="22"/>
          </w:rPr>
          <w:t>“a,” “f”</w:t>
        </w:r>
        <w:r>
          <w:rPr>
            <w:rFonts w:ascii="Times New Roman" w:hAnsi="Times New Roman"/>
            <w:b w:val="false"/>
            <w:i w:val="false"/>
            <w:color w:val="000000"/>
            <w:sz w:val="22"/>
          </w:rPr>
          <w:t xml:space="preserve"> or </w:t>
        </w:r>
        <w:r>
          <w:rPr>
            <w:rFonts w:ascii="Times New Roman" w:hAnsi="Times New Roman"/>
            <w:b w:val="false"/>
            <w:i/>
            <w:color w:val="000000"/>
            <w:sz w:val="22"/>
          </w:rPr>
          <w:t>“g”</w:t>
        </w:r>
      </w:hyperlink>
      <w:r>
        <w:rPr>
          <w:rFonts w:ascii="Times New Roman" w:hAnsi="Times New Roman"/>
          <w:b w:val="false"/>
          <w:i w:val="false"/>
          <w:color w:val="000000"/>
          <w:sz w:val="22"/>
        </w:rPr>
        <w:t xml:space="preserve"> by terminating the customer relationship for the purpose of soliciting or accepting a loan or gift or being named as a beneficiary, executor or trustee in a will or trust that the agent is otherwise not permitted to solicit or accept. An agent is not in violation of this paragraph if the agent has made a bona fide termination of the customer relationship and conducted no securities-related business or other business for a period of three years with the customer;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Engaging in conduct specified in subrule </w:t>
      </w:r>
      <w:hyperlink r:id="rId48">
        <w:r>
          <w:rPr>
            <w:rStyle w:val="Hyperlink"/>
            <w:rFonts w:ascii="Times New Roman" w:hAnsi="Times New Roman"/>
            <w:b w:val="false"/>
            <w:i w:val="false"/>
            <w:color w:val="000000"/>
            <w:sz w:val="22"/>
          </w:rPr>
          <w:t>50.16(1)</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“b”</w:t>
      </w:r>
      <w:r>
        <w:rPr>
          <w:rFonts w:ascii="Times New Roman" w:hAnsi="Times New Roman"/>
          <w:b w:val="false"/>
          <w:i w:val="false"/>
          <w:color w:val="000000"/>
          <w:sz w:val="22"/>
        </w:rPr>
        <w:t xml:space="preserve"> to </w:t>
      </w:r>
      <w:r>
        <w:rPr>
          <w:rFonts w:ascii="Times New Roman" w:hAnsi="Times New Roman"/>
          <w:b w:val="false"/>
          <w:i/>
          <w:color w:val="000000"/>
          <w:sz w:val="22"/>
        </w:rPr>
        <w:t>“f,” “i,” “j,” “n”</w:t>
      </w:r>
      <w:r>
        <w:rPr>
          <w:rFonts w:ascii="Times New Roman" w:hAnsi="Times New Roman"/>
          <w:b w:val="false"/>
          <w:i w:val="false"/>
          <w:color w:val="000000"/>
          <w:sz w:val="22"/>
        </w:rPr>
        <w:t xml:space="preserve"> to </w:t>
      </w:r>
      <w:r>
        <w:rPr>
          <w:rFonts w:ascii="Times New Roman" w:hAnsi="Times New Roman"/>
          <w:b w:val="false"/>
          <w:i/>
          <w:color w:val="000000"/>
          <w:sz w:val="22"/>
        </w:rPr>
        <w:t>“q,” “u,”</w:t>
      </w:r>
      <w:r>
        <w:rPr>
          <w:rFonts w:ascii="Times New Roman" w:hAnsi="Times New Roman"/>
          <w:b w:val="false"/>
          <w:i w:val="false"/>
          <w:color w:val="000000"/>
          <w:sz w:val="22"/>
        </w:rPr>
        <w:t xml:space="preserve"> and </w:t>
      </w:r>
      <w:r>
        <w:rPr>
          <w:rFonts w:ascii="Times New Roman" w:hAnsi="Times New Roman"/>
          <w:b w:val="false"/>
          <w:i/>
          <w:color w:val="000000"/>
          <w:sz w:val="22"/>
        </w:rPr>
        <w:t>“w”</w:t>
      </w:r>
      <w:r>
        <w:rPr>
          <w:rFonts w:ascii="Times New Roman" w:hAnsi="Times New Roman"/>
          <w:b w:val="false"/>
          <w:i w:val="false"/>
          <w:color w:val="000000"/>
          <w:sz w:val="22"/>
        </w:rPr>
        <w:t xml:space="preserve"> to </w:t>
      </w:r>
      <w:r>
        <w:rPr>
          <w:rFonts w:ascii="Times New Roman" w:hAnsi="Times New Roman"/>
          <w:b w:val="false"/>
          <w:i/>
          <w:color w:val="000000"/>
          <w:sz w:val="22"/>
        </w:rPr>
        <w:t>“aa”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Engaging in conduct deemed dishonest or unethical in rule </w:t>
      </w:r>
      <w:hyperlink r:id="rId49">
        <w:r>
          <w:rPr>
            <w:rStyle w:val="Hyperlink"/>
            <w:rFonts w:ascii="Times New Roman" w:hAnsi="Times New Roman"/>
            <w:b w:val="false"/>
            <w:i w:val="false"/>
            <w:color w:val="000000"/>
            <w:sz w:val="22"/>
          </w:rPr>
          <w:t>191—50.55</w:t>
        </w:r>
      </w:hyperlink>
      <w:r>
        <w:rPr>
          <w:rFonts w:ascii="Times New Roman" w:hAnsi="Times New Roman"/>
          <w:b w:val="false"/>
          <w:i w:val="false"/>
          <w:color w:val="000000"/>
          <w:sz w:val="22"/>
        </w:rPr>
        <w:t>(502);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Employing any method or tactic which uses undue pressure, force, fright, or threat, whether explicit or implied, to solicit the purchase or sale of securities, or committing any act which shows that the agent has exerted undue influence over a person.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
        <w:r>
          <w:rPr>
            <w:rStyle w:val="Hyperlink"/>
            <w:rFonts w:ascii="Times New Roman" w:hAnsi="Times New Roman"/>
            <w:b w:val="false"/>
            <w:i w:val="false"/>
            <w:color w:val="000000"/>
            <w:sz w:val="22"/>
          </w:rPr>
          <w:t>502.412(4)</w:t>
        </w:r>
      </w:hyperlink>
      <w:r>
        <w:rPr>
          <w:rFonts w:ascii="Times New Roman" w:hAnsi="Times New Roman"/>
          <w:b w:val="false"/>
          <w:i/>
          <w:color w:val="000000"/>
          <w:sz w:val="22"/>
        </w:rPr>
        <w:t>“m.”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9169B</w:t>
      </w:r>
      <w:r>
        <w:rPr>
          <w:rFonts w:ascii="Times New Roman" w:hAnsi="Times New Roman"/>
          <w:b w:val="false"/>
          <w:i w:val="false"/>
          <w:color w:val="000000"/>
          <w:sz w:val="16"/>
        </w:rPr>
        <w:t>, IAB 10/20/10, effective 11/24/10</w:t>
      </w:r>
      <w:r>
        <w:rPr>
          <w:rFonts w:ascii="Times New Roman" w:hAnsi="Times New Roman"/>
          <w:b w:val="false"/>
          <w:i w:val="false"/>
          <w:color w:val="000000"/>
          <w:sz w:val="16"/>
        </w:rPr>
        <w:t xml:space="preserve">; </w:t>
      </w:r>
      <w:r>
        <w:rPr>
          <w:rFonts w:ascii="Times New Roman" w:hAnsi="Times New Roman"/>
          <w:b/>
          <w:i w:val="false"/>
          <w:color w:val="000000"/>
          <w:sz w:val="16"/>
        </w:rPr>
        <w:t>ARC 1076C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191—50.17</w:t>
      </w:r>
      <w:r>
        <w:rPr>
          <w:rFonts w:ascii="Times New Roman" w:hAnsi="Times New Roman"/>
          <w:b/>
          <w:i w:val="false"/>
          <w:color w:val="000000"/>
          <w:sz w:val="22"/>
        </w:rPr>
        <w:t xml:space="preserve">(502) </w:t>
      </w:r>
      <w:r>
        <w:rPr>
          <w:rFonts w:ascii="Times New Roman" w:hAnsi="Times New Roman"/>
          <w:b/>
          <w:i w:val="false"/>
          <w:color w:val="000000"/>
          <w:sz w:val="22"/>
        </w:rPr>
        <w:t xml:space="preserve">Rules of conduct.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50.17(1)</w:t>
      </w:r>
      <w:r>
        <w:rPr>
          <w:rFonts w:ascii="Times New Roman" w:hAnsi="Times New Roman"/>
          <w:b w:val="false"/>
          <w:i w:val="false"/>
          <w:color w:val="000000"/>
          <w:sz w:val="22"/>
        </w:rPr>
        <w:t> </w:t>
      </w:r>
      <w:r>
        <w:rPr>
          <w:rFonts w:ascii="Times New Roman" w:hAnsi="Times New Roman"/>
          <w:b w:val="false"/>
          <w:i w:val="false"/>
          <w:color w:val="000000"/>
          <w:sz w:val="22"/>
        </w:rPr>
        <w:t>Each broker-dealer, after executing and before completing each transaction with its customer, shall give or send the customer a written confirmation. A broker-dealer not registered pursuant to the Securities Exchange Act of 1934 shall provide a written confirmation including,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security purchased or sold, the date of the transaction, the price at which the security was purchased or sold and any commission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as to whether the broker-dealer was acting for its own account, as the agent for the customer, as the agent for some other person, or as the agent for both the customer and some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broker-dealer is acting as an agent for the customer, the name of the person from whom the security was purchased or to whom it was sold or the fact that such information will be furnished upon the customer’s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50.17(2)</w:t>
      </w:r>
      <w:r>
        <w:rPr>
          <w:rFonts w:ascii="Times New Roman" w:hAnsi="Times New Roman"/>
          <w:b w:val="false"/>
          <w:i w:val="false"/>
          <w:color w:val="000000"/>
          <w:sz w:val="22"/>
        </w:rPr>
        <w:t> </w:t>
      </w:r>
      <w:r>
        <w:rPr>
          <w:rFonts w:ascii="Times New Roman" w:hAnsi="Times New Roman"/>
          <w:b w:val="false"/>
          <w:i w:val="false"/>
          <w:color w:val="000000"/>
          <w:sz w:val="22"/>
        </w:rPr>
        <w:t>A broker-dealer registered pursuant to the Securities Exchange Act of 1934 shall comply with all requirements of the Securities Exchange Act of 1934 and its implementing rules regarding written confirmations.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broker-dealer shall establish written supervisory procedures and a system for applying those procedures which may reasonably be expected to prevent and detect any violations of Iowa Code chapter </w:t>
      </w:r>
      <w:hyperlink r:id="rId51">
        <w:r>
          <w:rPr>
            <w:rStyle w:val="Hyperlink"/>
            <w:rFonts w:ascii="Times New Roman" w:hAnsi="Times New Roman"/>
            <w:b w:val="false"/>
            <w:i w:val="false"/>
            <w:color w:val="000000"/>
            <w:sz w:val="22"/>
          </w:rPr>
          <w:t>502</w:t>
        </w:r>
      </w:hyperlink>
      <w:r>
        <w:rPr>
          <w:rFonts w:ascii="Times New Roman" w:hAnsi="Times New Roman"/>
          <w:b w:val="false"/>
          <w:i w:val="false"/>
          <w:color w:val="000000"/>
          <w:sz w:val="22"/>
        </w:rPr>
        <w:t>, its implementing rules, and any orders issued pursuant to it. Each broker-dealer shall designate and qualify a number of supervisory employees reasonable in relation to the number of its registered agents, offices, and transactions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50.17(4)</w:t>
      </w:r>
      <w:r>
        <w:rPr>
          <w:rFonts w:ascii="Times New Roman" w:hAnsi="Times New Roman"/>
          <w:b w:val="false"/>
          <w:i w:val="false"/>
          <w:color w:val="000000"/>
          <w:sz w:val="22"/>
        </w:rPr>
        <w:t> </w:t>
      </w:r>
      <w:r>
        <w:rPr>
          <w:rFonts w:ascii="Times New Roman" w:hAnsi="Times New Roman"/>
          <w:b w:val="false"/>
          <w:i w:val="false"/>
          <w:color w:val="000000"/>
          <w:sz w:val="22"/>
        </w:rPr>
        <w:t>Each broker-dealer whose principal office is located in Iowa shall have at least one partner, officer or registered agent employed on a full-time basis at its principal office.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2">
        <w:r>
          <w:rPr>
            <w:rStyle w:val="Hyperlink"/>
            <w:rFonts w:ascii="Times New Roman" w:hAnsi="Times New Roman"/>
            <w:b w:val="false"/>
            <w:i w:val="false"/>
            <w:color w:val="000000"/>
            <w:sz w:val="22"/>
          </w:rPr>
          <w:t>502.411(3)</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502.412(4)</w:t>
        </w:r>
      </w:hyperlink>
      <w:r>
        <w:rPr>
          <w:rFonts w:ascii="Times New Roman" w:hAnsi="Times New Roman"/>
          <w:b w:val="false"/>
          <w:i/>
          <w:color w:val="000000"/>
          <w:sz w:val="22"/>
        </w:rPr>
        <w:t>“i.”</w:t>
      </w:r>
    </w:p>
    <w:p>
      <w:pPr>
        <w:spacing w:before="0" w:after="0"/>
        <w:ind w:left="120"/>
        <w:jc w:val="both"/>
      </w:pPr>
      <w:r>
        <w:rPr>
          <w:rFonts w:ascii="Times New Roman" w:hAnsi="Times New Roman"/>
          <w:b/>
          <w:i w:val="false"/>
          <w:color w:val="000000"/>
          <w:sz w:val="22"/>
        </w:rPr>
        <w:t>191—50.18</w:t>
      </w:r>
      <w:r>
        <w:rPr>
          <w:rFonts w:ascii="Times New Roman" w:hAnsi="Times New Roman"/>
          <w:b/>
          <w:i w:val="false"/>
          <w:color w:val="000000"/>
          <w:sz w:val="22"/>
        </w:rPr>
        <w:t xml:space="preserve">(502) </w:t>
      </w:r>
      <w:r>
        <w:rPr>
          <w:rFonts w:ascii="Times New Roman" w:hAnsi="Times New Roman"/>
          <w:b/>
          <w:i w:val="false"/>
          <w:color w:val="000000"/>
          <w:sz w:val="22"/>
        </w:rPr>
        <w:t xml:space="preserve">Limited registration of Canadian broker-dealers and agents.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50.18(1)</w:t>
      </w:r>
      <w:r>
        <w:rPr>
          <w:rFonts w:ascii="Times New Roman" w:hAnsi="Times New Roman"/>
          <w:b w:val="false"/>
          <w:i w:val="false"/>
          <w:color w:val="000000"/>
          <w:sz w:val="22"/>
        </w:rPr>
        <w:t> </w:t>
      </w:r>
      <w:r>
        <w:rPr>
          <w:rFonts w:ascii="Times New Roman" w:hAnsi="Times New Roman"/>
          <w:b w:val="false"/>
          <w:i w:val="false"/>
          <w:color w:val="000000"/>
          <w:sz w:val="22"/>
        </w:rPr>
        <w:t>A Canadian broker-dealer may register under this rule if the broker-dealer: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Files with the administrator an application in the form required by the jurisdiction in which the broker-dealer has its principal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Files with the administrator a consent to service of process on Form U-2;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registered as a broker-dealer and is in good standing in the jurisdiction from which the broker-dealer is effecting transactions into Iowa and files with the administrator satisfactory evidence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a member of a self-regulatory organization or stock exchange in Canada;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Pays a $200 filing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50.18(2)</w:t>
      </w:r>
      <w:r>
        <w:rPr>
          <w:rFonts w:ascii="Times New Roman" w:hAnsi="Times New Roman"/>
          <w:b w:val="false"/>
          <w:i w:val="false"/>
          <w:color w:val="000000"/>
          <w:sz w:val="22"/>
        </w:rPr>
        <w:t> </w:t>
      </w:r>
      <w:r>
        <w:rPr>
          <w:rFonts w:ascii="Times New Roman" w:hAnsi="Times New Roman"/>
          <w:b w:val="false"/>
          <w:i w:val="false"/>
          <w:color w:val="000000"/>
          <w:sz w:val="22"/>
        </w:rPr>
        <w:t>An agent representing a Canadian broker-dealer registered under this rule in effecting transactions in securities in Iowa may register under this rule if the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Files with the administrator an application in the form required by the jurisdiction in which the broker-dealer has its principal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Files with the administrator a consent to service of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registered and is in good standing in the jurisdiction from which the agent is effecting transactions into Iowa and files with the administrator satisfactory evidence thereof;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Pays a $40 filing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50.18(3)</w:t>
      </w:r>
      <w:r>
        <w:rPr>
          <w:rFonts w:ascii="Times New Roman" w:hAnsi="Times New Roman"/>
          <w:b w:val="false"/>
          <w:i w:val="false"/>
          <w:color w:val="000000"/>
          <w:sz w:val="22"/>
        </w:rPr>
        <w:t> </w:t>
      </w:r>
      <w:r>
        <w:rPr>
          <w:rFonts w:ascii="Times New Roman" w:hAnsi="Times New Roman"/>
          <w:b w:val="false"/>
          <w:i w:val="false"/>
          <w:color w:val="000000"/>
          <w:sz w:val="22"/>
        </w:rPr>
        <w:t>A Canadian broker-dealer that is resident in Canada and has no office or other physical presence in Iowa may, provided that the broker-dealer is registered under this rule, effect transactions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 or for a person from Canada temporarily residing in Iowa with whom the Canadian broker-dealer had a bona fide broker-dealer-client relationship before the person entered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 or for a person from Canada currently residing in Iowa whose transactions are in a self-directed, tax-advantaged retirement plan in Canada of which the person is the holder or contributor;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 or through: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issuers of the securities involved in the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registered broker-dealers;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Banks, savings institutions, trust companies, insurance companies, or investment companies as the term is defined in the Investment Company Act of 1940;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Pension or profit-sharing trusts;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financial institutions or institutional investors, whether acting on their own behalf or as trustees.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50.18(4)</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agent registered pursuant to subrule </w:t>
      </w:r>
      <w:hyperlink r:id="rId54">
        <w:r>
          <w:rPr>
            <w:rStyle w:val="Hyperlink"/>
            <w:rFonts w:ascii="Times New Roman" w:hAnsi="Times New Roman"/>
            <w:b w:val="false"/>
            <w:i w:val="false"/>
            <w:color w:val="000000"/>
            <w:sz w:val="22"/>
          </w:rPr>
          <w:t>50.18(2)</w:t>
        </w:r>
      </w:hyperlink>
      <w:r>
        <w:rPr>
          <w:rFonts w:ascii="Times New Roman" w:hAnsi="Times New Roman"/>
          <w:b w:val="false"/>
          <w:i w:val="false"/>
          <w:color w:val="000000"/>
          <w:sz w:val="22"/>
        </w:rPr>
        <w:t xml:space="preserve"> representing a Canadian broker-dealer registered pursuant to subrule </w:t>
      </w:r>
      <w:hyperlink r:id="rId55">
        <w:r>
          <w:rPr>
            <w:rStyle w:val="Hyperlink"/>
            <w:rFonts w:ascii="Times New Roman" w:hAnsi="Times New Roman"/>
            <w:b w:val="false"/>
            <w:i w:val="false"/>
            <w:color w:val="000000"/>
            <w:sz w:val="22"/>
          </w:rPr>
          <w:t>50.18(1)</w:t>
        </w:r>
      </w:hyperlink>
      <w:r>
        <w:rPr>
          <w:rFonts w:ascii="Times New Roman" w:hAnsi="Times New Roman"/>
          <w:b w:val="false"/>
          <w:i w:val="false"/>
          <w:color w:val="000000"/>
          <w:sz w:val="22"/>
        </w:rPr>
        <w:t xml:space="preserve"> may effect all securities transactions that the broker-dealer is authorized by subrule </w:t>
      </w:r>
      <w:hyperlink r:id="rId56">
        <w:r>
          <w:rPr>
            <w:rStyle w:val="Hyperlink"/>
            <w:rFonts w:ascii="Times New Roman" w:hAnsi="Times New Roman"/>
            <w:b w:val="false"/>
            <w:i w:val="false"/>
            <w:color w:val="000000"/>
            <w:sz w:val="22"/>
          </w:rPr>
          <w:t>50.18(3)</w:t>
        </w:r>
      </w:hyperlink>
      <w:r>
        <w:rPr>
          <w:rFonts w:ascii="Times New Roman" w:hAnsi="Times New Roman"/>
          <w:b w:val="false"/>
          <w:i w:val="false"/>
          <w:color w:val="000000"/>
          <w:sz w:val="22"/>
        </w:rPr>
        <w:t xml:space="preserve"> to effect.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50.18(5)</w:t>
      </w:r>
      <w:r>
        <w:rPr>
          <w:rFonts w:ascii="Times New Roman" w:hAnsi="Times New Roman"/>
          <w:b w:val="false"/>
          <w:i w:val="false"/>
          <w:color w:val="000000"/>
          <w:sz w:val="22"/>
        </w:rPr>
        <w:t> </w:t>
      </w:r>
      <w:r>
        <w:rPr>
          <w:rFonts w:ascii="Times New Roman" w:hAnsi="Times New Roman"/>
          <w:b w:val="false"/>
          <w:i w:val="false"/>
          <w:color w:val="000000"/>
          <w:sz w:val="22"/>
        </w:rPr>
        <w:t xml:space="preserve">If no denial order is in effect and no proceeding is pending pursuant to Iowa Code section </w:t>
      </w:r>
      <w:hyperlink r:id="rId57">
        <w:r>
          <w:rPr>
            <w:rStyle w:val="Hyperlink"/>
            <w:rFonts w:ascii="Times New Roman" w:hAnsi="Times New Roman"/>
            <w:b w:val="false"/>
            <w:i w:val="false"/>
            <w:color w:val="000000"/>
            <w:sz w:val="22"/>
          </w:rPr>
          <w:t>502.304</w:t>
        </w:r>
      </w:hyperlink>
      <w:r>
        <w:rPr>
          <w:rFonts w:ascii="Times New Roman" w:hAnsi="Times New Roman"/>
          <w:b w:val="false"/>
          <w:i w:val="false"/>
          <w:color w:val="000000"/>
          <w:sz w:val="22"/>
        </w:rPr>
        <w:t>, a registration filed pursuant to this rule becomes effective on the forty-fifth day after an application is filed, unless otherwise provided by order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50.18(6)</w:t>
      </w:r>
      <w:r>
        <w:rPr>
          <w:rFonts w:ascii="Times New Roman" w:hAnsi="Times New Roman"/>
          <w:b w:val="false"/>
          <w:i w:val="false"/>
          <w:color w:val="000000"/>
          <w:sz w:val="22"/>
        </w:rPr>
        <w:t> </w:t>
      </w:r>
      <w:r>
        <w:rPr>
          <w:rFonts w:ascii="Times New Roman" w:hAnsi="Times New Roman"/>
          <w:b w:val="false"/>
          <w:i w:val="false"/>
          <w:color w:val="000000"/>
          <w:sz w:val="22"/>
        </w:rPr>
        <w:t>A Canadian broker-dealer registered under this rule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provincial or territorial registration and membership in a self-regulatory organization or stock exchange and remain in good standing in 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upon the administrator’s request, all books and records relating to its business in Iowa as a broker-dealer;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Promptly inform the administrator of any criminal action taken against the broker-dealer or of any finding or sanction imposed on the broker-dealer as a result of a self-regulatory or other regulatory action involving fraud, theft, deceit, misrepresentation, or like conduct;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Disclose in writing to each of the broker-dealer’s clients in Iowa that the broker-dealer and its agents are not subject to the full regulatory requirements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50.18(7)</w:t>
      </w:r>
      <w:r>
        <w:rPr>
          <w:rFonts w:ascii="Times New Roman" w:hAnsi="Times New Roman"/>
          <w:b w:val="false"/>
          <w:i w:val="false"/>
          <w:color w:val="000000"/>
          <w:sz w:val="22"/>
        </w:rPr>
        <w:t> </w:t>
      </w:r>
      <w:r>
        <w:rPr>
          <w:rFonts w:ascii="Times New Roman" w:hAnsi="Times New Roman"/>
          <w:b w:val="false"/>
          <w:i w:val="false"/>
          <w:color w:val="000000"/>
          <w:sz w:val="22"/>
        </w:rPr>
        <w:t>An agent of a Canadian broker-dealer registered under this rule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the agent’s provincial or territorial registration and remain in good standing;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Promptly inform the administrator of any criminal action taken against the agent or of any finding or sanction imposed on the agent as a result of a self-regulatory or other regulatory action involving fraud, theft, deceit, misrepresentation, or like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50.18(8)</w:t>
      </w:r>
      <w:r>
        <w:rPr>
          <w:rFonts w:ascii="Times New Roman" w:hAnsi="Times New Roman"/>
          <w:b w:val="false"/>
          <w:i w:val="false"/>
          <w:color w:val="000000"/>
          <w:sz w:val="22"/>
        </w:rPr>
        <w:t> </w:t>
      </w:r>
      <w:r>
        <w:rPr>
          <w:rFonts w:ascii="Times New Roman" w:hAnsi="Times New Roman"/>
          <w:b w:val="false"/>
          <w:i w:val="false"/>
          <w:color w:val="000000"/>
          <w:sz w:val="22"/>
        </w:rPr>
        <w:t xml:space="preserve">Renewal applications for Canadian broker-dealers and agents under this rule must be filed before December 1 each year and may be made by filing with the administrator the most recent renewal application, if any, filed in the jurisdiction in which the broker-dealer has its principal office or, if no such renewal application is required, the most recent application filed pursuant to paragraph </w:t>
      </w:r>
      <w:hyperlink r:id="rId58">
        <w:r>
          <w:rPr>
            <w:rStyle w:val="Hyperlink"/>
            <w:rFonts w:ascii="Times New Roman" w:hAnsi="Times New Roman"/>
            <w:b w:val="false"/>
            <w:i w:val="false"/>
            <w:color w:val="000000"/>
            <w:sz w:val="22"/>
          </w:rPr>
          <w:t>50.18(1)</w:t>
        </w:r>
        <w:r>
          <w:rPr>
            <w:rFonts w:ascii="Times New Roman" w:hAnsi="Times New Roman"/>
            <w:b w:val="false"/>
            <w:i/>
            <w:color w:val="000000"/>
            <w:sz w:val="22"/>
          </w:rPr>
          <w:t>“a”</w:t>
        </w:r>
      </w:hyperlink>
      <w:r>
        <w:rPr>
          <w:rFonts w:ascii="Times New Roman" w:hAnsi="Times New Roman"/>
          <w:b w:val="false"/>
          <w:i w:val="false"/>
          <w:color w:val="000000"/>
          <w:sz w:val="22"/>
        </w:rPr>
        <w:t xml:space="preserve"> or </w:t>
      </w:r>
      <w:hyperlink r:id="rId59">
        <w:r>
          <w:rPr>
            <w:rStyle w:val="Hyperlink"/>
            <w:rFonts w:ascii="Times New Roman" w:hAnsi="Times New Roman"/>
            <w:b w:val="false"/>
            <w:i w:val="false"/>
            <w:color w:val="000000"/>
            <w:sz w:val="22"/>
          </w:rPr>
          <w:t>50.18(2)</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50.18(9)</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applicant for registration or renewal registration pursuant to this rule shall pay the applicable fee for broker-dealers and agents as set forth in Iowa Code section </w:t>
      </w:r>
      <w:hyperlink r:id="rId60">
        <w:r>
          <w:rPr>
            <w:rStyle w:val="Hyperlink"/>
            <w:rFonts w:ascii="Times New Roman" w:hAnsi="Times New Roman"/>
            <w:b w:val="false"/>
            <w:i w:val="false"/>
            <w:color w:val="000000"/>
            <w:sz w:val="22"/>
          </w:rPr>
          <w:t>502.410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50.18(10)</w:t>
      </w:r>
      <w:r>
        <w:rPr>
          <w:rFonts w:ascii="Times New Roman" w:hAnsi="Times New Roman"/>
          <w:b w:val="false"/>
          <w:i w:val="false"/>
          <w:color w:val="000000"/>
          <w:sz w:val="22"/>
        </w:rPr>
        <w:t> </w:t>
      </w:r>
      <w:r>
        <w:rPr>
          <w:rFonts w:ascii="Times New Roman" w:hAnsi="Times New Roman"/>
          <w:b w:val="false"/>
          <w:i w:val="false"/>
          <w:color w:val="000000"/>
          <w:sz w:val="22"/>
        </w:rPr>
        <w:t xml:space="preserve">A Canadian broker-dealer or agent registered under this rule and in compliance with paragraph </w:t>
      </w:r>
      <w:hyperlink r:id="rId61">
        <w:r>
          <w:rPr>
            <w:rStyle w:val="Hyperlink"/>
            <w:rFonts w:ascii="Times New Roman" w:hAnsi="Times New Roman"/>
            <w:b w:val="false"/>
            <w:i w:val="false"/>
            <w:color w:val="000000"/>
            <w:sz w:val="22"/>
          </w:rPr>
          <w:t>50.18(3)</w:t>
        </w:r>
        <w:r>
          <w:rPr>
            <w:rFonts w:ascii="Times New Roman" w:hAnsi="Times New Roman"/>
            <w:b w:val="false"/>
            <w:i/>
            <w:color w:val="000000"/>
            <w:sz w:val="22"/>
          </w:rPr>
          <w:t>“c”</w:t>
        </w:r>
      </w:hyperlink>
      <w:r>
        <w:rPr>
          <w:rFonts w:ascii="Times New Roman" w:hAnsi="Times New Roman"/>
          <w:b w:val="false"/>
          <w:i w:val="false"/>
          <w:color w:val="000000"/>
          <w:sz w:val="22"/>
        </w:rPr>
        <w:t xml:space="preserve"> is exempt from all the requirements of the Act, except for the antifraud sections and the requirements set out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50.18(11)</w:t>
      </w:r>
      <w:r>
        <w:rPr>
          <w:rFonts w:ascii="Times New Roman" w:hAnsi="Times New Roman"/>
          <w:b w:val="false"/>
          <w:i w:val="false"/>
          <w:color w:val="000000"/>
          <w:sz w:val="22"/>
        </w:rPr>
        <w:t> </w:t>
      </w:r>
      <w:r>
        <w:rPr>
          <w:rFonts w:ascii="Times New Roman" w:hAnsi="Times New Roman"/>
          <w:b w:val="false"/>
          <w:i w:val="false"/>
          <w:color w:val="000000"/>
          <w:sz w:val="22"/>
        </w:rPr>
        <w:t xml:space="preserve">All transactions in securities effected between Canadian broker-dealers or agents registered under this rule and Canadian persons meeting the requirements of paragraph </w:t>
      </w:r>
      <w:hyperlink r:id="rId62">
        <w:r>
          <w:rPr>
            <w:rStyle w:val="Hyperlink"/>
            <w:rFonts w:ascii="Times New Roman" w:hAnsi="Times New Roman"/>
            <w:b w:val="false"/>
            <w:i w:val="false"/>
            <w:color w:val="000000"/>
            <w:sz w:val="22"/>
          </w:rPr>
          <w:t>50.18(3)</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hyperlink>
      <w:r>
        <w:rPr>
          <w:rFonts w:ascii="Times New Roman" w:hAnsi="Times New Roman"/>
          <w:b w:val="false"/>
          <w:i w:val="false"/>
          <w:color w:val="000000"/>
          <w:sz w:val="22"/>
        </w:rPr>
        <w:t xml:space="preserve"> are exempt from Iowa Code sections </w:t>
      </w:r>
      <w:hyperlink r:id="rId63">
        <w:r>
          <w:rPr>
            <w:rStyle w:val="Hyperlink"/>
            <w:rFonts w:ascii="Times New Roman" w:hAnsi="Times New Roman"/>
            <w:b w:val="false"/>
            <w:i w:val="false"/>
            <w:color w:val="000000"/>
            <w:sz w:val="22"/>
          </w:rPr>
          <w:t>502.301</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502.504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5">
        <w:r>
          <w:rPr>
            <w:rStyle w:val="Hyperlink"/>
            <w:rFonts w:ascii="Times New Roman" w:hAnsi="Times New Roman"/>
            <w:b w:val="false"/>
            <w:i w:val="false"/>
            <w:color w:val="000000"/>
            <w:sz w:val="22"/>
          </w:rPr>
          <w:t>502.401(4)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9169B</w:t>
      </w:r>
      <w:r>
        <w:rPr>
          <w:rFonts w:ascii="Times New Roman" w:hAnsi="Times New Roman"/>
          <w:b w:val="false"/>
          <w:i w:val="false"/>
          <w:color w:val="000000"/>
          <w:sz w:val="16"/>
        </w:rPr>
        <w:t>, IAB 10/20/10, effective 11/24/10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191—50.19</w:t>
      </w:r>
      <w:r>
        <w:rPr>
          <w:rFonts w:ascii="Times New Roman" w:hAnsi="Times New Roman"/>
          <w:b/>
          <w:i w:val="false"/>
          <w:color w:val="000000"/>
          <w:sz w:val="22"/>
        </w:rPr>
        <w:t xml:space="preserve">(502) </w:t>
      </w:r>
      <w:r>
        <w:rPr>
          <w:rFonts w:ascii="Times New Roman" w:hAnsi="Times New Roman"/>
          <w:b/>
          <w:i w:val="false"/>
          <w:color w:val="000000"/>
          <w:sz w:val="22"/>
        </w:rPr>
        <w:t xml:space="preserve">Brokerage services by national and state banks.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50.19(1)</w:t>
      </w:r>
      <w:r>
        <w:rPr>
          <w:rFonts w:ascii="Times New Roman" w:hAnsi="Times New Roman"/>
          <w:b w:val="false"/>
          <w:i w:val="false"/>
          <w:color w:val="000000"/>
          <w:sz w:val="22"/>
        </w:rPr>
        <w:t> </w:t>
      </w:r>
      <w:r>
        <w:rPr>
          <w:rFonts w:ascii="Times New Roman" w:hAnsi="Times New Roman"/>
          <w:b w:val="false"/>
          <w:i w:val="false"/>
          <w:color w:val="000000"/>
          <w:sz w:val="22"/>
        </w:rPr>
        <w:t>A bank may, without registering as a broker-dealer,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Transactions pursuant to Iowa Code section </w:t>
      </w:r>
      <w:hyperlink r:id="rId66">
        <w:r>
          <w:rPr>
            <w:rStyle w:val="Hyperlink"/>
            <w:rFonts w:ascii="Times New Roman" w:hAnsi="Times New Roman"/>
            <w:b w:val="false"/>
            <w:i w:val="false"/>
            <w:color w:val="000000"/>
            <w:sz w:val="22"/>
          </w:rPr>
          <w:t>502.102(4)</w:t>
        </w:r>
      </w:hyperlink>
      <w:r>
        <w:rPr>
          <w:rFonts w:ascii="Times New Roman" w:hAnsi="Times New Roman"/>
          <w:b w:val="false"/>
          <w:i/>
          <w:color w:val="000000"/>
          <w:sz w:val="22"/>
        </w:rPr>
        <w:t>“c”</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Transactions permitted by order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50.19(2)</w:t>
      </w:r>
      <w:r>
        <w:rPr>
          <w:rFonts w:ascii="Times New Roman" w:hAnsi="Times New Roman"/>
          <w:b w:val="false"/>
          <w:i w:val="false"/>
          <w:color w:val="000000"/>
          <w:sz w:val="22"/>
        </w:rPr>
        <w:t> </w:t>
      </w:r>
      <w:r>
        <w:rPr>
          <w:rFonts w:ascii="Times New Roman" w:hAnsi="Times New Roman"/>
          <w:b w:val="false"/>
          <w:i w:val="false"/>
          <w:color w:val="000000"/>
          <w:sz w:val="22"/>
        </w:rPr>
        <w:t>A bank that has entered into a contract with an Iowa-registered broker-dealer may provide the following ministerial securities services without registering as a broker-dealer: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bank customers and the public with a telephone number of the broker-dealer and provide telephone facilities on bank premises for customers and members of the public to use in contacting the broker-dealer;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Distribute literature to bank customers and members of the public about particular services provided by the broker-dealer, subject to the requirements of subrule </w:t>
      </w:r>
      <w:hyperlink r:id="rId67">
        <w:r>
          <w:rPr>
            <w:rStyle w:val="Hyperlink"/>
            <w:rFonts w:ascii="Times New Roman" w:hAnsi="Times New Roman"/>
            <w:b w:val="false"/>
            <w:i w:val="false"/>
            <w:color w:val="000000"/>
            <w:sz w:val="22"/>
          </w:rPr>
          <w:t>50.19(4)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broker-dealer account applications to bank customers and members of the public and provide assistance in completing the forms. The disclosures required pursuant to subrule </w:t>
      </w:r>
      <w:hyperlink r:id="rId68">
        <w:r>
          <w:rPr>
            <w:rStyle w:val="Hyperlink"/>
            <w:rFonts w:ascii="Times New Roman" w:hAnsi="Times New Roman"/>
            <w:b w:val="false"/>
            <w:i w:val="false"/>
            <w:color w:val="000000"/>
            <w:sz w:val="22"/>
          </w:rPr>
          <w:t>50.19(4)</w:t>
        </w:r>
      </w:hyperlink>
      <w:r>
        <w:rPr>
          <w:rFonts w:ascii="Times New Roman" w:hAnsi="Times New Roman"/>
          <w:b w:val="false"/>
          <w:i w:val="false"/>
          <w:color w:val="000000"/>
          <w:sz w:val="22"/>
        </w:rPr>
        <w:t xml:space="preserve">, in the form prescribed by subrule </w:t>
      </w:r>
      <w:hyperlink r:id="rId69">
        <w:r>
          <w:rPr>
            <w:rStyle w:val="Hyperlink"/>
            <w:rFonts w:ascii="Times New Roman" w:hAnsi="Times New Roman"/>
            <w:b w:val="false"/>
            <w:i w:val="false"/>
            <w:color w:val="000000"/>
            <w:sz w:val="22"/>
          </w:rPr>
          <w:t>50.19(5)</w:t>
        </w:r>
      </w:hyperlink>
      <w:r>
        <w:rPr>
          <w:rFonts w:ascii="Times New Roman" w:hAnsi="Times New Roman"/>
          <w:b w:val="false"/>
          <w:i w:val="false"/>
          <w:color w:val="000000"/>
          <w:sz w:val="22"/>
        </w:rPr>
        <w:t>, shall be included on either the account application or an attachment to the application. If the disclosures are provided on an attachment to the application, both the application and attachment must be signed by the applicant. The bank may mail the completed account applications to a broker-dealer;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 bank customers wishing to transfer funds into and out of their bank accounts for securities transactions;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mailers to bank customers and members of the public and assist them in transmitting securities and securities documents to the broker-dealer.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50.19(3)</w:t>
      </w:r>
      <w:r>
        <w:rPr>
          <w:rFonts w:ascii="Times New Roman" w:hAnsi="Times New Roman"/>
          <w:b w:val="false"/>
          <w:i w:val="false"/>
          <w:color w:val="000000"/>
          <w:sz w:val="22"/>
        </w:rPr>
        <w:t> </w:t>
      </w:r>
      <w:r>
        <w:rPr>
          <w:rFonts w:ascii="Times New Roman" w:hAnsi="Times New Roman"/>
          <w:b w:val="false"/>
          <w:i w:val="false"/>
          <w:color w:val="000000"/>
          <w:sz w:val="22"/>
        </w:rPr>
        <w:t>A bank that has entered into a contract with an Iowa-registered broker-dealer may attempt to effect and effect securities transactions without registering as a broker-dealer if all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bank employee who attempts to effect and effects securities transactions is a registered agent of the broker-dealer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Has passed an acceptable subject matter examination pursuant to paragraph </w:t>
      </w:r>
      <w:hyperlink r:id="rId70">
        <w:r>
          <w:rPr>
            <w:rStyle w:val="Hyperlink"/>
            <w:rFonts w:ascii="Times New Roman" w:hAnsi="Times New Roman"/>
            <w:b w:val="false"/>
            <w:i w:val="false"/>
            <w:color w:val="000000"/>
            <w:sz w:val="22"/>
          </w:rPr>
          <w:t>50.12(1)</w:t>
        </w:r>
        <w:r>
          <w:rPr>
            <w:rFonts w:ascii="Times New Roman" w:hAnsi="Times New Roman"/>
            <w:b w:val="false"/>
            <w:i/>
            <w:color w:val="000000"/>
            <w:sz w:val="22"/>
          </w:rPr>
          <w:t>“a”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passed the FINRA Series 63 or Series 66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registered with FINRA;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Is registered as an agent of the broker-dealer pursuant to rule </w:t>
      </w:r>
      <w:hyperlink r:id="rId71">
        <w:r>
          <w:rPr>
            <w:rStyle w:val="Hyperlink"/>
            <w:rFonts w:ascii="Times New Roman" w:hAnsi="Times New Roman"/>
            <w:b w:val="false"/>
            <w:i w:val="false"/>
            <w:color w:val="000000"/>
            <w:sz w:val="22"/>
          </w:rPr>
          <w:t>191—50.12</w:t>
        </w:r>
      </w:hyperlink>
      <w:r>
        <w:rPr>
          <w:rFonts w:ascii="Times New Roman" w:hAnsi="Times New Roman"/>
          <w:b w:val="false"/>
          <w:i w:val="false"/>
          <w:color w:val="000000"/>
          <w:sz w:val="22"/>
        </w:rPr>
        <w:t>(502).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broker-dealer provides securities services in an area of public access on the bank premises in which banking services are not provided, the bank requires that the broker-dealer clearly distinguish the area in which securities services are provided. If securities services and banking services are provided in the same public area on the bank premises, there shall be a sign clearly identifying the broker-dealer providing the securities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bank receives only the following types of compensation from the broker-dealer: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Transaction-related compensation, subject to the restrictions provided by paragraph </w:t>
      </w:r>
      <w:hyperlink r:id="rId72">
        <w:r>
          <w:rPr>
            <w:rStyle w:val="Hyperlink"/>
            <w:rFonts w:ascii="Times New Roman" w:hAnsi="Times New Roman"/>
            <w:b w:val="false"/>
            <w:i w:val="false"/>
            <w:color w:val="000000"/>
            <w:sz w:val="22"/>
          </w:rPr>
          <w:t>50.19(7)</w:t>
        </w:r>
        <w:r>
          <w:rPr>
            <w:rFonts w:ascii="Times New Roman" w:hAnsi="Times New Roman"/>
            <w:b w:val="false"/>
            <w:i/>
            <w:color w:val="000000"/>
            <w:sz w:val="22"/>
          </w:rPr>
          <w:t>“b”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administrative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Payments for compensation of employees jointly employed by the bank and the broker-dealer;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Lease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50.19(4)</w:t>
      </w:r>
      <w:r>
        <w:rPr>
          <w:rFonts w:ascii="Times New Roman" w:hAnsi="Times New Roman"/>
          <w:b w:val="false"/>
          <w:i w:val="false"/>
          <w:color w:val="000000"/>
          <w:sz w:val="22"/>
        </w:rPr>
        <w:t> </w:t>
      </w:r>
      <w:r>
        <w:rPr>
          <w:rFonts w:ascii="Times New Roman" w:hAnsi="Times New Roman"/>
          <w:b w:val="false"/>
          <w:i w:val="false"/>
          <w:color w:val="000000"/>
          <w:sz w:val="22"/>
        </w:rPr>
        <w:t>A bank attempting to effect and effecting securities transactions pursuant to a contract with an Iowa-registered broker-dealer may distribute advertisements or promotional materials without registering as a broker-dealer if the advertisements or promotional materials clearly and prominently: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the broker-dealer;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in bold typeface that securities transactions and related earnings or profits are not insured by the FDIC;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that the securities offered by the broker-dealer are not guaranteed by, nor are they obligations of, the bank;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 that the bank and the broker-dealer are separate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50.19(5)</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or a similar statement printed in bold typeface and capital letters shall satisfy the disclosure requirements of subrule </w:t>
      </w:r>
      <w:hyperlink r:id="rId73">
        <w:r>
          <w:rPr>
            <w:rStyle w:val="Hyperlink"/>
            <w:rFonts w:ascii="Times New Roman" w:hAnsi="Times New Roman"/>
            <w:b w:val="false"/>
            <w:i w:val="false"/>
            <w:color w:val="000000"/>
            <w:sz w:val="22"/>
          </w:rPr>
          <w:t>50.19(4)</w:t>
        </w:r>
      </w:hyperlink>
      <w:r>
        <w:rPr>
          <w:rFonts w:ascii="Times New Roman" w:hAnsi="Times New Roman"/>
          <w:b w:val="false"/>
          <w:i w:val="false"/>
          <w:color w:val="000000"/>
          <w:sz w:val="22"/>
        </w:rPr>
        <w:t>: [NAME OF BROKER-DEALER] IS NOT A BANK, AND SECURITIES OFFERED BY [NAME OF BROKER-DEALER] ARE NOT BACKED OR GUARANTEED BY ANY BANK NOR ARE THEY INSURED BY THE FDIC.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50.19(6)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disclosure requirements of subrule </w:t>
      </w:r>
      <w:hyperlink r:id="rId74">
        <w:r>
          <w:rPr>
            <w:rStyle w:val="Hyperlink"/>
            <w:rFonts w:ascii="Times New Roman" w:hAnsi="Times New Roman"/>
            <w:b w:val="false"/>
            <w:i w:val="false"/>
            <w:color w:val="000000"/>
            <w:sz w:val="22"/>
          </w:rPr>
          <w:t>50.19(4)</w:t>
        </w:r>
      </w:hyperlink>
      <w:r>
        <w:rPr>
          <w:rFonts w:ascii="Times New Roman" w:hAnsi="Times New Roman"/>
          <w:b w:val="false"/>
          <w:i w:val="false"/>
          <w:color w:val="000000"/>
          <w:sz w:val="22"/>
        </w:rPr>
        <w:t xml:space="preserve"> shall not apply to radio or television advertisements not exceeding 30 seconds in length.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50.19(7)</w:t>
      </w:r>
      <w:r>
        <w:rPr>
          <w:rFonts w:ascii="Times New Roman" w:hAnsi="Times New Roman"/>
          <w:b w:val="false"/>
          <w:i w:val="false"/>
          <w:color w:val="000000"/>
          <w:sz w:val="22"/>
        </w:rPr>
        <w:t> </w:t>
      </w:r>
      <w:r>
        <w:rPr>
          <w:rFonts w:ascii="Times New Roman" w:hAnsi="Times New Roman"/>
          <w:b w:val="false"/>
          <w:i w:val="false"/>
          <w:color w:val="000000"/>
          <w:sz w:val="22"/>
        </w:rPr>
        <w:t>A bank shall not engage in the following securities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Distribute prospectuses to bank customers or to members of the public regarding securities unless done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exercise of trust functions permitted to banks;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Pursuant to registration as a broker-dealer;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performance of securities activities as permitted by subrule </w:t>
      </w:r>
      <w:hyperlink r:id="rId75">
        <w:r>
          <w:rPr>
            <w:rStyle w:val="Hyperlink"/>
            <w:rFonts w:ascii="Times New Roman" w:hAnsi="Times New Roman"/>
            <w:b w:val="false"/>
            <w:i w:val="false"/>
            <w:color w:val="000000"/>
            <w:sz w:val="22"/>
          </w:rPr>
          <w:t>50.19(1)</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50.19(2)</w:t>
        </w:r>
      </w:hyperlink>
      <w:r>
        <w:rPr>
          <w:rFonts w:ascii="Times New Roman" w:hAnsi="Times New Roman"/>
          <w:b w:val="false"/>
          <w:i w:val="false"/>
          <w:color w:val="000000"/>
          <w:sz w:val="22"/>
        </w:rPr>
        <w:t xml:space="preserve">, or </w:t>
      </w:r>
      <w:hyperlink r:id="rId77">
        <w:r>
          <w:rPr>
            <w:rStyle w:val="Hyperlink"/>
            <w:rFonts w:ascii="Times New Roman" w:hAnsi="Times New Roman"/>
            <w:b w:val="false"/>
            <w:i w:val="false"/>
            <w:color w:val="000000"/>
            <w:sz w:val="22"/>
          </w:rPr>
          <w:t>50.19(3)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 registered joint bank and broker-dealer employees to split commissions or other transaction-related remuneration received from customers with unregistered bank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Transmit account statements, confirmations, or other broker-dealer communications to bank customers or members of the public unless the communications contain a disclosure statement as required by subrule </w:t>
      </w:r>
      <w:hyperlink r:id="rId78">
        <w:r>
          <w:rPr>
            <w:rStyle w:val="Hyperlink"/>
            <w:rFonts w:ascii="Times New Roman" w:hAnsi="Times New Roman"/>
            <w:b w:val="false"/>
            <w:i w:val="false"/>
            <w:color w:val="000000"/>
            <w:sz w:val="22"/>
          </w:rPr>
          <w:t>50.19(4)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bank employees who are not registered securities agents of the broker-dealer to receive or transmit orders to the broker-dealer from customers or the public, except as permitted by subrule </w:t>
      </w:r>
      <w:hyperlink r:id="rId79">
        <w:r>
          <w:rPr>
            <w:rStyle w:val="Hyperlink"/>
            <w:rFonts w:ascii="Times New Roman" w:hAnsi="Times New Roman"/>
            <w:b w:val="false"/>
            <w:i w:val="false"/>
            <w:color w:val="000000"/>
            <w:sz w:val="22"/>
          </w:rPr>
          <w:t>50.19(1)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bank employees who are not registered agents of the broker-dealer to perform securities functions directly involving customer contact, except as provided in subrules </w:t>
      </w:r>
      <w:hyperlink r:id="rId80">
        <w:r>
          <w:rPr>
            <w:rStyle w:val="Hyperlink"/>
            <w:rFonts w:ascii="Times New Roman" w:hAnsi="Times New Roman"/>
            <w:b w:val="false"/>
            <w:i w:val="false"/>
            <w:color w:val="000000"/>
            <w:sz w:val="22"/>
          </w:rPr>
          <w:t>50.19(1)</w:t>
        </w:r>
      </w:hyperlink>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50.19(2)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2">
        <w:r>
          <w:rPr>
            <w:rStyle w:val="Hyperlink"/>
            <w:rFonts w:ascii="Times New Roman" w:hAnsi="Times New Roman"/>
            <w:b w:val="false"/>
            <w:i w:val="false"/>
            <w:color w:val="000000"/>
            <w:sz w:val="22"/>
          </w:rPr>
          <w:t>502.102(4)</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83">
        <w:r>
          <w:rPr>
            <w:rStyle w:val="Hyperlink"/>
            <w:rFonts w:ascii="Times New Roman" w:hAnsi="Times New Roman"/>
            <w:b w:val="false"/>
            <w:i w:val="false"/>
            <w:color w:val="000000"/>
            <w:sz w:val="22"/>
          </w:rPr>
          <w:t>502.401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9169B</w:t>
      </w:r>
      <w:r>
        <w:rPr>
          <w:rFonts w:ascii="Times New Roman" w:hAnsi="Times New Roman"/>
          <w:b w:val="false"/>
          <w:i w:val="false"/>
          <w:color w:val="000000"/>
          <w:sz w:val="16"/>
        </w:rPr>
        <w:t>, IAB 10/20/10, effective 11/24/10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191—50.20</w:t>
      </w:r>
      <w:r>
        <w:rPr>
          <w:rFonts w:ascii="Times New Roman" w:hAnsi="Times New Roman"/>
          <w:b/>
          <w:i w:val="false"/>
          <w:color w:val="000000"/>
          <w:sz w:val="22"/>
        </w:rPr>
        <w:t xml:space="preserve">(502) </w:t>
      </w:r>
      <w:r>
        <w:rPr>
          <w:rFonts w:ascii="Times New Roman" w:hAnsi="Times New Roman"/>
          <w:b/>
          <w:i w:val="false"/>
          <w:color w:val="000000"/>
          <w:sz w:val="22"/>
        </w:rPr>
        <w:t xml:space="preserve">Broker-dealers having contracts with national and state banks.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50.20(1)</w:t>
      </w:r>
      <w:r>
        <w:rPr>
          <w:rFonts w:ascii="Times New Roman" w:hAnsi="Times New Roman"/>
          <w:b w:val="false"/>
          <w:i w:val="false"/>
          <w:color w:val="000000"/>
          <w:sz w:val="22"/>
        </w:rPr>
        <w:t> </w:t>
      </w:r>
      <w:r>
        <w:rPr>
          <w:rFonts w:ascii="Times New Roman" w:hAnsi="Times New Roman"/>
          <w:b w:val="false"/>
          <w:i w:val="false"/>
          <w:color w:val="000000"/>
          <w:sz w:val="22"/>
        </w:rPr>
        <w:t xml:space="preserve">A broker-dealer engaging in securities activities with banks as permitted by subrules </w:t>
      </w:r>
      <w:hyperlink r:id="rId84">
        <w:r>
          <w:rPr>
            <w:rStyle w:val="Hyperlink"/>
            <w:rFonts w:ascii="Times New Roman" w:hAnsi="Times New Roman"/>
            <w:b w:val="false"/>
            <w:i w:val="false"/>
            <w:color w:val="000000"/>
            <w:sz w:val="22"/>
          </w:rPr>
          <w:t>50.19(2)</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50.19(3)</w:t>
        </w:r>
      </w:hyperlink>
      <w:r>
        <w:rPr>
          <w:rFonts w:ascii="Times New Roman" w:hAnsi="Times New Roman"/>
          <w:b w:val="false"/>
          <w:i w:val="false"/>
          <w:color w:val="000000"/>
          <w:sz w:val="22"/>
        </w:rPr>
        <w:t xml:space="preserve"> shall maintain for three years and make available to the administrator upon request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advertisements and promotional literature disseminated by the bank and broker-dealer regarding securities services and products offered by the broker-dealer to bank customers and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each contract executed between the bank and the broker-dealer which propose to sell securities to bank customers or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new account forms to be completed by bank customers or members of the public who open an account with the broker-dealer;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list of every bank employee who is a registered securities agent of the broker-dealer and the employee’s social security number and CRD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compliance and procedures manuals regarding the securities activities of the bank.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50.20(2)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any responsibilities assumed pursuant to subrule </w:t>
      </w:r>
      <w:hyperlink r:id="rId86">
        <w:r>
          <w:rPr>
            <w:rStyle w:val="Hyperlink"/>
            <w:rFonts w:ascii="Times New Roman" w:hAnsi="Times New Roman"/>
            <w:b w:val="false"/>
            <w:i w:val="false"/>
            <w:color w:val="000000"/>
            <w:sz w:val="22"/>
          </w:rPr>
          <w:t>50.69(5)</w:t>
        </w:r>
      </w:hyperlink>
      <w:r>
        <w:rPr>
          <w:rFonts w:ascii="Times New Roman" w:hAnsi="Times New Roman"/>
          <w:b w:val="false"/>
          <w:i w:val="false"/>
          <w:color w:val="000000"/>
          <w:sz w:val="22"/>
        </w:rPr>
        <w:t xml:space="preserve">, a broker-dealer engaging in securities transactions pursuant to a contract with a bank as permitted by subrules </w:t>
      </w:r>
      <w:hyperlink r:id="rId87">
        <w:r>
          <w:rPr>
            <w:rStyle w:val="Hyperlink"/>
            <w:rFonts w:ascii="Times New Roman" w:hAnsi="Times New Roman"/>
            <w:b w:val="false"/>
            <w:i w:val="false"/>
            <w:color w:val="000000"/>
            <w:sz w:val="22"/>
          </w:rPr>
          <w:t>50.19(2)</w:t>
        </w:r>
      </w:hyperlink>
      <w:r>
        <w:rPr>
          <w:rFonts w:ascii="Times New Roman" w:hAnsi="Times New Roman"/>
          <w:b w:val="false"/>
          <w:i w:val="false"/>
          <w:color w:val="000000"/>
          <w:sz w:val="22"/>
        </w:rPr>
        <w:t xml:space="preserve"> and </w:t>
      </w:r>
      <w:hyperlink r:id="rId88">
        <w:r>
          <w:rPr>
            <w:rStyle w:val="Hyperlink"/>
            <w:rFonts w:ascii="Times New Roman" w:hAnsi="Times New Roman"/>
            <w:b w:val="false"/>
            <w:i w:val="false"/>
            <w:color w:val="000000"/>
            <w:sz w:val="22"/>
          </w:rPr>
          <w:t>50.19(3)</w:t>
        </w:r>
      </w:hyperlink>
      <w:r>
        <w:rPr>
          <w:rFonts w:ascii="Times New Roman" w:hAnsi="Times New Roman"/>
          <w:b w:val="false"/>
          <w:i w:val="false"/>
          <w:color w:val="000000"/>
          <w:sz w:val="22"/>
        </w:rPr>
        <w:t xml:space="preserve"> shall not allow a person who is not an Iowa-registered securities agent of the broker-dealer to use the broker-dealer name, logo, or trademark on business cards or letterheads.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9">
        <w:r>
          <w:rPr>
            <w:rStyle w:val="Hyperlink"/>
            <w:rFonts w:ascii="Times New Roman" w:hAnsi="Times New Roman"/>
            <w:b w:val="false"/>
            <w:i w:val="false"/>
            <w:color w:val="000000"/>
            <w:sz w:val="22"/>
          </w:rPr>
          <w:t>502.102(4)</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90">
        <w:r>
          <w:rPr>
            <w:rStyle w:val="Hyperlink"/>
            <w:rFonts w:ascii="Times New Roman" w:hAnsi="Times New Roman"/>
            <w:b w:val="false"/>
            <w:i w:val="false"/>
            <w:color w:val="000000"/>
            <w:sz w:val="22"/>
          </w:rPr>
          <w:t>502.401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191—50.21</w:t>
      </w:r>
      <w:r>
        <w:rPr>
          <w:rFonts w:ascii="Times New Roman" w:hAnsi="Times New Roman"/>
          <w:b/>
          <w:i w:val="false"/>
          <w:color w:val="000000"/>
          <w:sz w:val="22"/>
        </w:rPr>
        <w:t xml:space="preserve">(502) </w:t>
      </w:r>
      <w:r>
        <w:rPr>
          <w:rFonts w:ascii="Times New Roman" w:hAnsi="Times New Roman"/>
          <w:b/>
          <w:i w:val="false"/>
          <w:color w:val="000000"/>
          <w:sz w:val="22"/>
        </w:rPr>
        <w:t xml:space="preserve">Brokerage services by credit unions, savings banks, and savings and loan institutions.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50.21(1)</w:t>
      </w:r>
      <w:r>
        <w:rPr>
          <w:rFonts w:ascii="Times New Roman" w:hAnsi="Times New Roman"/>
          <w:b w:val="false"/>
          <w:i w:val="false"/>
          <w:color w:val="000000"/>
          <w:sz w:val="22"/>
        </w:rPr>
        <w:t> </w:t>
      </w:r>
      <w:r>
        <w:rPr>
          <w:rFonts w:ascii="Times New Roman" w:hAnsi="Times New Roman"/>
          <w:b w:val="false"/>
          <w:i w:val="false"/>
          <w:color w:val="000000"/>
          <w:sz w:val="22"/>
        </w:rPr>
        <w:t>A credit union, savings bank, or savings and loan institution may, without registering as a broker-dealer,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Transactions pursuant to Iowa Code section </w:t>
      </w:r>
      <w:hyperlink r:id="rId91">
        <w:r>
          <w:rPr>
            <w:rStyle w:val="Hyperlink"/>
            <w:rFonts w:ascii="Times New Roman" w:hAnsi="Times New Roman"/>
            <w:b w:val="false"/>
            <w:i w:val="false"/>
            <w:color w:val="000000"/>
            <w:sz w:val="22"/>
          </w:rPr>
          <w:t>502.102(4)</w:t>
        </w:r>
      </w:hyperlink>
      <w:r>
        <w:rPr>
          <w:rFonts w:ascii="Times New Roman" w:hAnsi="Times New Roman"/>
          <w:b w:val="false"/>
          <w:i/>
          <w:color w:val="000000"/>
          <w:sz w:val="22"/>
        </w:rPr>
        <w:t>“c”</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Transactions permitted by order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50.21(2)</w:t>
      </w:r>
      <w:r>
        <w:rPr>
          <w:rFonts w:ascii="Times New Roman" w:hAnsi="Times New Roman"/>
          <w:b w:val="false"/>
          <w:i w:val="false"/>
          <w:color w:val="000000"/>
          <w:sz w:val="22"/>
        </w:rPr>
        <w:t> </w:t>
      </w:r>
      <w:r>
        <w:rPr>
          <w:rFonts w:ascii="Times New Roman" w:hAnsi="Times New Roman"/>
          <w:b w:val="false"/>
          <w:i w:val="false"/>
          <w:color w:val="000000"/>
          <w:sz w:val="22"/>
        </w:rPr>
        <w:t>A credit union, savings bank, or savings and loan institution that has entered into a contract with an Iowa-registered broker-dealer may provide the following ministerial securities services without registering as a broker-dealer: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customers and the public with a telephone number of the broker-dealer and provide telephone facilities on its premises for customers and members of the public to use in contacting the broker-dealer;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Distribute literature to its customers and members of the public about particular services provided by the broker-dealer, subject to the requirements of subrule </w:t>
      </w:r>
      <w:hyperlink r:id="rId92">
        <w:r>
          <w:rPr>
            <w:rStyle w:val="Hyperlink"/>
            <w:rFonts w:ascii="Times New Roman" w:hAnsi="Times New Roman"/>
            <w:b w:val="false"/>
            <w:i w:val="false"/>
            <w:color w:val="000000"/>
            <w:sz w:val="22"/>
          </w:rPr>
          <w:t>50.21(4)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broker-dealer account applications to its customers and members of the public and provide assistance in completing the forms. The disclosures required pursuant to subrule </w:t>
      </w:r>
      <w:hyperlink r:id="rId93">
        <w:r>
          <w:rPr>
            <w:rStyle w:val="Hyperlink"/>
            <w:rFonts w:ascii="Times New Roman" w:hAnsi="Times New Roman"/>
            <w:b w:val="false"/>
            <w:i w:val="false"/>
            <w:color w:val="000000"/>
            <w:sz w:val="22"/>
          </w:rPr>
          <w:t>50.21(4)</w:t>
        </w:r>
      </w:hyperlink>
      <w:r>
        <w:rPr>
          <w:rFonts w:ascii="Times New Roman" w:hAnsi="Times New Roman"/>
          <w:b w:val="false"/>
          <w:i w:val="false"/>
          <w:color w:val="000000"/>
          <w:sz w:val="22"/>
        </w:rPr>
        <w:t xml:space="preserve"> shall be included on either the account application or an attachment to the application. If the disclosures are provided on an attachment to the application, both the application and attachment must be signed by the applicant. The credit union, savings bank, or savings and loan institution may mail the completed account applications to a broker-dealer;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 its customers wishing to transfer funds into and out of their accounts for securities transactions;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mailers to its customers and members of the public and assist them in transmitting securities and securities documents to the broker-dealer.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50.21(3)</w:t>
      </w:r>
      <w:r>
        <w:rPr>
          <w:rFonts w:ascii="Times New Roman" w:hAnsi="Times New Roman"/>
          <w:b w:val="false"/>
          <w:i w:val="false"/>
          <w:color w:val="000000"/>
          <w:sz w:val="22"/>
        </w:rPr>
        <w:t> </w:t>
      </w:r>
      <w:r>
        <w:rPr>
          <w:rFonts w:ascii="Times New Roman" w:hAnsi="Times New Roman"/>
          <w:b w:val="false"/>
          <w:i w:val="false"/>
          <w:color w:val="000000"/>
          <w:sz w:val="22"/>
        </w:rPr>
        <w:t>A credit union, savings bank, or savings and loan institution that has entered into a contract with an Iowa-registered broker-dealer may attempt to effect and effect securities transactions without registering as a broker-dealer if all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credit union, savings bank, or savings and loan institution employee who attempts to effect and effects securities transactions is a registered agent of the broker-dealer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Has passed an acceptable subject matter examination pursuant to paragraph </w:t>
      </w:r>
      <w:hyperlink r:id="rId94">
        <w:r>
          <w:rPr>
            <w:rStyle w:val="Hyperlink"/>
            <w:rFonts w:ascii="Times New Roman" w:hAnsi="Times New Roman"/>
            <w:b w:val="false"/>
            <w:i w:val="false"/>
            <w:color w:val="000000"/>
            <w:sz w:val="22"/>
          </w:rPr>
          <w:t>50.12(1)</w:t>
        </w:r>
        <w:r>
          <w:rPr>
            <w:rFonts w:ascii="Times New Roman" w:hAnsi="Times New Roman"/>
            <w:b w:val="false"/>
            <w:i/>
            <w:color w:val="000000"/>
            <w:sz w:val="22"/>
          </w:rPr>
          <w:t>“a”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passed the FINRA Series 63 or Series 66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registered with FINRA;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Is registered as an agent of the broker-dealer pursuant to rule </w:t>
      </w:r>
      <w:hyperlink r:id="rId95">
        <w:r>
          <w:rPr>
            <w:rStyle w:val="Hyperlink"/>
            <w:rFonts w:ascii="Times New Roman" w:hAnsi="Times New Roman"/>
            <w:b w:val="false"/>
            <w:i w:val="false"/>
            <w:color w:val="000000"/>
            <w:sz w:val="22"/>
          </w:rPr>
          <w:t>191—50.12</w:t>
        </w:r>
      </w:hyperlink>
      <w:r>
        <w:rPr>
          <w:rFonts w:ascii="Times New Roman" w:hAnsi="Times New Roman"/>
          <w:b w:val="false"/>
          <w:i w:val="false"/>
          <w:color w:val="000000"/>
          <w:sz w:val="22"/>
        </w:rPr>
        <w:t>(502).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broker-dealer provides securities services in an area of public access on the credit union, savings bank, or savings and loan institution premises in which credit union, savings bank, or savings and loan institution services are not provided, the credit union, savings bank, or savings and loan institution requires that the broker-dealer clearly distinguish the area in which securities services are provided. If securities services and credit union, savings bank, or savings and loan institution services are provided in the same public area on the bank premises, there shall be a sign clearly identifying the broker-dealer providing the securities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credit union, savings bank, or savings and loan institution receives only the following types of compensation from the broker-dealer: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Transaction-related compensation, subject to the restrictions provided by paragraph </w:t>
      </w:r>
      <w:hyperlink r:id="rId96">
        <w:r>
          <w:rPr>
            <w:rStyle w:val="Hyperlink"/>
            <w:rFonts w:ascii="Times New Roman" w:hAnsi="Times New Roman"/>
            <w:b w:val="false"/>
            <w:i w:val="false"/>
            <w:color w:val="000000"/>
            <w:sz w:val="22"/>
          </w:rPr>
          <w:t>50.19(7)</w:t>
        </w:r>
        <w:r>
          <w:rPr>
            <w:rFonts w:ascii="Times New Roman" w:hAnsi="Times New Roman"/>
            <w:b w:val="false"/>
            <w:i/>
            <w:color w:val="000000"/>
            <w:sz w:val="22"/>
          </w:rPr>
          <w:t>“b”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administrative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Payments for compensation of employees jointly employed by the credit union, savings bank, or savings and loan institution and the broker-dealer;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Lease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50.21(4)</w:t>
      </w:r>
      <w:r>
        <w:rPr>
          <w:rFonts w:ascii="Times New Roman" w:hAnsi="Times New Roman"/>
          <w:b w:val="false"/>
          <w:i w:val="false"/>
          <w:color w:val="000000"/>
          <w:sz w:val="22"/>
        </w:rPr>
        <w:t> </w:t>
      </w:r>
      <w:r>
        <w:rPr>
          <w:rFonts w:ascii="Times New Roman" w:hAnsi="Times New Roman"/>
          <w:b w:val="false"/>
          <w:i w:val="false"/>
          <w:color w:val="000000"/>
          <w:sz w:val="22"/>
        </w:rPr>
        <w:t>Credit unions, savings banks, and savings and loan institutions attempting to effect and effecting securities transactions under contracts with Iowa-registered broker-dealers may distribute advertisements or promotional materials without registering as broker-dealers if the advertisements or promotional materials clearly and prominently: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the broker-dealer.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Disclose in bold print that securities transactions and related earnings or profits are not insured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FDIC, in the case of savings banks and savings and loan institutions,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NCUA, in the case of credit unions.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Disclose that securities offered by the broker-dealer are not guaranteed by, nor are they obligations of, the credit union, savings bank, or savings and loan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Disclose that the credit union, savings bank, or savings and loan institution and the broker-dealer are separate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or a similar statement in bold print and capital letters will satisfy the disclosure requirements of subrule </w:t>
      </w:r>
      <w:hyperlink r:id="rId97">
        <w:r>
          <w:rPr>
            <w:rStyle w:val="Hyperlink"/>
            <w:rFonts w:ascii="Times New Roman" w:hAnsi="Times New Roman"/>
            <w:b w:val="false"/>
            <w:i w:val="false"/>
            <w:color w:val="000000"/>
            <w:sz w:val="22"/>
          </w:rPr>
          <w:t>50.21(4)</w:t>
        </w:r>
      </w:hyperlink>
      <w:r>
        <w:rPr>
          <w:rFonts w:ascii="Times New Roman" w:hAnsi="Times New Roman"/>
          <w:b w:val="false"/>
          <w:i w:val="false"/>
          <w:color w:val="000000"/>
          <w:sz w:val="22"/>
        </w:rPr>
        <w:t>: [NAME OF BROKER-DEALER] IS NOT A [SAVINGS BANK, SAVINGS AND LOAN INSTITUTION, OR CREDIT UNION], AND SECURITIES OFFERED BY [NAME OF BROKER-DEALER] ARE NOT BACKED OR GUARANTEED BY ANY [SAVINGS BANK, SAVINGS AND LOAN INSTITUTION, OR CREDIT UNION] NOR ARE THEY INSURED BY THE [FDIC OR NCUA].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disclosure requirements of subrule </w:t>
      </w:r>
      <w:hyperlink r:id="rId98">
        <w:r>
          <w:rPr>
            <w:rStyle w:val="Hyperlink"/>
            <w:rFonts w:ascii="Times New Roman" w:hAnsi="Times New Roman"/>
            <w:b w:val="false"/>
            <w:i w:val="false"/>
            <w:color w:val="000000"/>
            <w:sz w:val="22"/>
          </w:rPr>
          <w:t>50.21(4)</w:t>
        </w:r>
      </w:hyperlink>
      <w:r>
        <w:rPr>
          <w:rFonts w:ascii="Times New Roman" w:hAnsi="Times New Roman"/>
          <w:b w:val="false"/>
          <w:i w:val="false"/>
          <w:color w:val="000000"/>
          <w:sz w:val="22"/>
        </w:rPr>
        <w:t xml:space="preserve"> shall not apply to radio or television advertisements not exceeding 30 seconds in length.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50.21(7)</w:t>
      </w:r>
      <w:r>
        <w:rPr>
          <w:rFonts w:ascii="Times New Roman" w:hAnsi="Times New Roman"/>
          <w:b w:val="false"/>
          <w:i w:val="false"/>
          <w:color w:val="000000"/>
          <w:sz w:val="22"/>
        </w:rPr>
        <w:t> </w:t>
      </w:r>
      <w:r>
        <w:rPr>
          <w:rFonts w:ascii="Times New Roman" w:hAnsi="Times New Roman"/>
          <w:b w:val="false"/>
          <w:i w:val="false"/>
          <w:color w:val="000000"/>
          <w:sz w:val="22"/>
        </w:rPr>
        <w:t>Credit unions, savings banks, and savings and loan institutions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Distribute prospectuses for securities to customers or to members of the public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exercise of trust functions permitted to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Pursuant to registration as a broker-dealer;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performance of securities activities as permitted by subrules </w:t>
      </w:r>
      <w:hyperlink r:id="rId99">
        <w:r>
          <w:rPr>
            <w:rStyle w:val="Hyperlink"/>
            <w:rFonts w:ascii="Times New Roman" w:hAnsi="Times New Roman"/>
            <w:b w:val="false"/>
            <w:i w:val="false"/>
            <w:color w:val="000000"/>
            <w:sz w:val="22"/>
          </w:rPr>
          <w:t>50.21(1)</w:t>
        </w:r>
      </w:hyperlink>
      <w:r>
        <w:rPr>
          <w:rFonts w:ascii="Times New Roman" w:hAnsi="Times New Roman"/>
          <w:b w:val="false"/>
          <w:i w:val="false"/>
          <w:color w:val="000000"/>
          <w:sz w:val="22"/>
        </w:rPr>
        <w:t xml:space="preserve"> to </w:t>
      </w:r>
      <w:hyperlink r:id="rId100">
        <w:r>
          <w:rPr>
            <w:rStyle w:val="Hyperlink"/>
            <w:rFonts w:ascii="Times New Roman" w:hAnsi="Times New Roman"/>
            <w:b w:val="false"/>
            <w:i w:val="false"/>
            <w:color w:val="000000"/>
            <w:sz w:val="22"/>
          </w:rPr>
          <w:t>50.21(3)</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Engage in any of the activities proscribed if performed by an unregistered bank by paragraphs </w:t>
      </w:r>
      <w:hyperlink r:id="rId101">
        <w:r>
          <w:rPr>
            <w:rStyle w:val="Hyperlink"/>
            <w:rFonts w:ascii="Times New Roman" w:hAnsi="Times New Roman"/>
            <w:b w:val="false"/>
            <w:i w:val="false"/>
            <w:color w:val="000000"/>
            <w:sz w:val="22"/>
          </w:rPr>
          <w:t>50.19(7)</w:t>
        </w:r>
        <w:r>
          <w:rPr>
            <w:rFonts w:ascii="Times New Roman" w:hAnsi="Times New Roman"/>
            <w:b w:val="false"/>
            <w:i/>
            <w:color w:val="000000"/>
            <w:sz w:val="22"/>
          </w:rPr>
          <w:t>“b”</w:t>
        </w:r>
        <w:r>
          <w:rPr>
            <w:rFonts w:ascii="Times New Roman" w:hAnsi="Times New Roman"/>
            <w:b w:val="false"/>
            <w:i w:val="false"/>
            <w:color w:val="000000"/>
            <w:sz w:val="22"/>
          </w:rPr>
          <w:t xml:space="preserve"> to </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2">
        <w:r>
          <w:rPr>
            <w:rStyle w:val="Hyperlink"/>
            <w:rFonts w:ascii="Times New Roman" w:hAnsi="Times New Roman"/>
            <w:b w:val="false"/>
            <w:i w:val="false"/>
            <w:color w:val="000000"/>
            <w:sz w:val="22"/>
          </w:rPr>
          <w:t>502.102(4)</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502.401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9169B</w:t>
      </w:r>
      <w:r>
        <w:rPr>
          <w:rFonts w:ascii="Times New Roman" w:hAnsi="Times New Roman"/>
          <w:b w:val="false"/>
          <w:i w:val="false"/>
          <w:color w:val="000000"/>
          <w:sz w:val="16"/>
        </w:rPr>
        <w:t>, IAB 10/20/10, effective 11/24/10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191—50.22</w:t>
      </w:r>
      <w:r>
        <w:rPr>
          <w:rFonts w:ascii="Times New Roman" w:hAnsi="Times New Roman"/>
          <w:b/>
          <w:i w:val="false"/>
          <w:color w:val="000000"/>
          <w:sz w:val="22"/>
        </w:rPr>
        <w:t xml:space="preserve">(502) </w:t>
      </w:r>
      <w:r>
        <w:rPr>
          <w:rFonts w:ascii="Times New Roman" w:hAnsi="Times New Roman"/>
          <w:b/>
          <w:i w:val="false"/>
          <w:color w:val="000000"/>
          <w:sz w:val="22"/>
        </w:rPr>
        <w:t xml:space="preserve">Broker-dealers having contracts with credit unions, savings banks, and savings and loan institutions.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50.22(1)</w:t>
      </w:r>
      <w:r>
        <w:rPr>
          <w:rFonts w:ascii="Times New Roman" w:hAnsi="Times New Roman"/>
          <w:b w:val="false"/>
          <w:i w:val="false"/>
          <w:color w:val="000000"/>
          <w:sz w:val="22"/>
        </w:rPr>
        <w:t> </w:t>
      </w:r>
      <w:r>
        <w:rPr>
          <w:rFonts w:ascii="Times New Roman" w:hAnsi="Times New Roman"/>
          <w:b w:val="false"/>
          <w:i w:val="false"/>
          <w:color w:val="000000"/>
          <w:sz w:val="22"/>
        </w:rPr>
        <w:t xml:space="preserve">A broker-dealer engaging in securities activities with credit unions, savings banks, or savings and loan institutions as permitted by subrules </w:t>
      </w:r>
      <w:hyperlink r:id="rId104">
        <w:r>
          <w:rPr>
            <w:rStyle w:val="Hyperlink"/>
            <w:rFonts w:ascii="Times New Roman" w:hAnsi="Times New Roman"/>
            <w:b w:val="false"/>
            <w:i w:val="false"/>
            <w:color w:val="000000"/>
            <w:sz w:val="22"/>
          </w:rPr>
          <w:t>50.21(2)</w:t>
        </w:r>
      </w:hyperlink>
      <w:r>
        <w:rPr>
          <w:rFonts w:ascii="Times New Roman" w:hAnsi="Times New Roman"/>
          <w:b w:val="false"/>
          <w:i w:val="false"/>
          <w:color w:val="000000"/>
          <w:sz w:val="22"/>
        </w:rPr>
        <w:t xml:space="preserve"> and </w:t>
      </w:r>
      <w:hyperlink r:id="rId105">
        <w:r>
          <w:rPr>
            <w:rStyle w:val="Hyperlink"/>
            <w:rFonts w:ascii="Times New Roman" w:hAnsi="Times New Roman"/>
            <w:b w:val="false"/>
            <w:i w:val="false"/>
            <w:color w:val="000000"/>
            <w:sz w:val="22"/>
          </w:rPr>
          <w:t>50.21(3)</w:t>
        </w:r>
      </w:hyperlink>
      <w:r>
        <w:rPr>
          <w:rFonts w:ascii="Times New Roman" w:hAnsi="Times New Roman"/>
          <w:b w:val="false"/>
          <w:i w:val="false"/>
          <w:color w:val="000000"/>
          <w:sz w:val="22"/>
        </w:rPr>
        <w:t xml:space="preserve"> shall maintain for three years and make available to the administrator upon request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advertisements and promotional literature disseminated by the credit union, savings bank, or savings and loan institution and the broker-dealer regarding securities services and products offered by the broker-dealer to credit union, savings bank, or savings and loan institution customers and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each contract executed between the credit union, savings bank, or savings and loan institution and the broker-dealer which proposes to sell securities to credit union, savings bank, or savings and loan institution customers or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new account forms to be completed by credit union, savings bank, or savings and loan institution customers or members of the public who open an account with the broker-dealer;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list of every credit union, savings bank, or savings and loan institution employee who is a registered securities agent of the broker-dealer and the employee’s social security number and CRD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compliance and procedures manuals regarding the securities activities of the credit union, savings bank, or savings and loan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any responsibilities assumed pursuant to subrule </w:t>
      </w:r>
      <w:hyperlink r:id="rId106">
        <w:r>
          <w:rPr>
            <w:rStyle w:val="Hyperlink"/>
            <w:rFonts w:ascii="Times New Roman" w:hAnsi="Times New Roman"/>
            <w:b w:val="false"/>
            <w:i w:val="false"/>
            <w:color w:val="000000"/>
            <w:sz w:val="22"/>
          </w:rPr>
          <w:t>50.69(5)</w:t>
        </w:r>
      </w:hyperlink>
      <w:r>
        <w:rPr>
          <w:rFonts w:ascii="Times New Roman" w:hAnsi="Times New Roman"/>
          <w:b w:val="false"/>
          <w:i w:val="false"/>
          <w:color w:val="000000"/>
          <w:sz w:val="22"/>
        </w:rPr>
        <w:t xml:space="preserve">, a broker-dealer engaging in securities transactions pursuant to a contract with a credit union, savings bank, or savings and loan institution as permitted by subrules </w:t>
      </w:r>
      <w:hyperlink r:id="rId107">
        <w:r>
          <w:rPr>
            <w:rStyle w:val="Hyperlink"/>
            <w:rFonts w:ascii="Times New Roman" w:hAnsi="Times New Roman"/>
            <w:b w:val="false"/>
            <w:i w:val="false"/>
            <w:color w:val="000000"/>
            <w:sz w:val="22"/>
          </w:rPr>
          <w:t>50.21(2)</w:t>
        </w:r>
      </w:hyperlink>
      <w:r>
        <w:rPr>
          <w:rFonts w:ascii="Times New Roman" w:hAnsi="Times New Roman"/>
          <w:b w:val="false"/>
          <w:i w:val="false"/>
          <w:color w:val="000000"/>
          <w:sz w:val="22"/>
        </w:rPr>
        <w:t xml:space="preserve"> and </w:t>
      </w:r>
      <w:hyperlink r:id="rId108">
        <w:r>
          <w:rPr>
            <w:rStyle w:val="Hyperlink"/>
            <w:rFonts w:ascii="Times New Roman" w:hAnsi="Times New Roman"/>
            <w:b w:val="false"/>
            <w:i w:val="false"/>
            <w:color w:val="000000"/>
            <w:sz w:val="22"/>
          </w:rPr>
          <w:t>50.21(3)</w:t>
        </w:r>
      </w:hyperlink>
      <w:r>
        <w:rPr>
          <w:rFonts w:ascii="Times New Roman" w:hAnsi="Times New Roman"/>
          <w:b w:val="false"/>
          <w:i w:val="false"/>
          <w:color w:val="000000"/>
          <w:sz w:val="22"/>
        </w:rPr>
        <w:t xml:space="preserve"> shall not allow a person who is not an Iowa-registered securities agent of the broker-dealer to use the broker-dealer name, logo, or trademark on business cards or letterheads.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9">
        <w:r>
          <w:rPr>
            <w:rStyle w:val="Hyperlink"/>
            <w:rFonts w:ascii="Times New Roman" w:hAnsi="Times New Roman"/>
            <w:b w:val="false"/>
            <w:i w:val="false"/>
            <w:color w:val="000000"/>
            <w:sz w:val="22"/>
          </w:rPr>
          <w:t>502.102(4)</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502.401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191—50.23</w:t>
      </w:r>
      <w:r>
        <w:rPr>
          <w:rFonts w:ascii="Times New Roman" w:hAnsi="Times New Roman"/>
          <w:b w:val="false"/>
          <w:i w:val="false"/>
          <w:color w:val="000000"/>
          <w:sz w:val="22"/>
        </w:rPr>
        <w:t xml:space="preserve"> to </w:t>
      </w:r>
      <w:r>
        <w:rPr>
          <w:rFonts w:ascii="Times New Roman" w:hAnsi="Times New Roman"/>
          <w:b/>
          <w:i w:val="false"/>
          <w:color w:val="000000"/>
          <w:sz w:val="22"/>
        </w:rPr>
        <w:t>50.29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REGISTRATION OF INVESTMENT ADVISERS,</w:t>
      </w:r>
      <w:r>
        <w:br/>
      </w:r>
      <w:r>
        <w:rPr>
          <w:rFonts w:ascii="Times New Roman" w:hAnsi="Times New Roman"/>
          <w:b w:val="false"/>
          <w:i w:val="false"/>
          <w:color w:val="000000"/>
          <w:sz w:val="16"/>
        </w:rPr>
        <w:t>INVESTMENT ADVISER REPRESENTATIVES,</w:t>
      </w:r>
      <w:r>
        <w:br/>
      </w:r>
      <w:r>
        <w:rPr>
          <w:rFonts w:ascii="Times New Roman" w:hAnsi="Times New Roman"/>
          <w:b w:val="false"/>
          <w:i w:val="false"/>
          <w:color w:val="000000"/>
          <w:sz w:val="16"/>
        </w:rPr>
        <w:t>AND FEDERAL COVERED INVESTMENT ADVISERS</w:t>
      </w:r>
    </w:p>
    <w:p>
      <w:pPr>
        <w:spacing w:before="0" w:after="0"/>
        <w:ind w:left="120"/>
        <w:jc w:val="both"/>
      </w:pPr>
      <w:r>
        <w:rPr>
          <w:rFonts w:ascii="Times New Roman" w:hAnsi="Times New Roman"/>
          <w:b/>
          <w:i w:val="false"/>
          <w:color w:val="000000"/>
          <w:sz w:val="22"/>
        </w:rPr>
        <w:t>191—50.30</w:t>
      </w:r>
      <w:r>
        <w:rPr>
          <w:rFonts w:ascii="Times New Roman" w:hAnsi="Times New Roman"/>
          <w:b/>
          <w:i w:val="false"/>
          <w:color w:val="000000"/>
          <w:sz w:val="22"/>
        </w:rPr>
        <w:t xml:space="preserve">(502) </w:t>
      </w:r>
      <w:r>
        <w:rPr>
          <w:rFonts w:ascii="Times New Roman" w:hAnsi="Times New Roman"/>
          <w:b/>
          <w:i w:val="false"/>
          <w:color w:val="000000"/>
          <w:sz w:val="22"/>
        </w:rPr>
        <w:t xml:space="preserve">Electronic filing with designated entity.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50.30(1)</w:t>
      </w:r>
      <w:r>
        <w:rPr>
          <w:rFonts w:ascii="Times New Roman" w:hAnsi="Times New Roman"/>
          <w:b w:val="false"/>
          <w:i w:val="false"/>
          <w:color w:val="000000"/>
          <w:sz w:val="22"/>
        </w:rPr>
        <w:t> </w:t>
      </w:r>
      <w:r>
        <w:rPr>
          <w:rFonts w:ascii="Times New Roman" w:hAnsi="Times New Roman"/>
          <w:b w:val="false"/>
          <w:i/>
          <w:color w:val="000000"/>
          <w:sz w:val="22"/>
        </w:rPr>
        <w:t xml:space="preserve">Designation. </w:t>
      </w:r>
      <w:r>
        <w:rPr>
          <w:rFonts w:ascii="Times New Roman" w:hAnsi="Times New Roman"/>
          <w:b w:val="false"/>
          <w:i w:val="false"/>
          <w:color w:val="000000"/>
          <w:sz w:val="22"/>
        </w:rPr>
        <w:t xml:space="preserve">Pursuant to Iowa Code sections </w:t>
      </w:r>
      <w:hyperlink r:id="rId111">
        <w:r>
          <w:rPr>
            <w:rStyle w:val="Hyperlink"/>
            <w:rFonts w:ascii="Times New Roman" w:hAnsi="Times New Roman"/>
            <w:b w:val="false"/>
            <w:i w:val="false"/>
            <w:color w:val="000000"/>
            <w:sz w:val="22"/>
          </w:rPr>
          <w:t>502.406</w:t>
        </w:r>
      </w:hyperlink>
      <w:r>
        <w:rPr>
          <w:rFonts w:ascii="Times New Roman" w:hAnsi="Times New Roman"/>
          <w:b w:val="false"/>
          <w:i w:val="false"/>
          <w:color w:val="000000"/>
          <w:sz w:val="22"/>
        </w:rPr>
        <w:t xml:space="preserve"> and </w:t>
      </w:r>
      <w:hyperlink r:id="rId112">
        <w:r>
          <w:rPr>
            <w:rStyle w:val="Hyperlink"/>
            <w:rFonts w:ascii="Times New Roman" w:hAnsi="Times New Roman"/>
            <w:b w:val="false"/>
            <w:i w:val="false"/>
            <w:color w:val="000000"/>
            <w:sz w:val="22"/>
          </w:rPr>
          <w:t>502.608(3)</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administrator designates the IARD operated by FINRA to receive and store filings and collect related fees from investment advisers on behalf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50.30(2)</w:t>
      </w:r>
      <w:r>
        <w:rPr>
          <w:rFonts w:ascii="Times New Roman" w:hAnsi="Times New Roman"/>
          <w:b w:val="false"/>
          <w:i w:val="false"/>
          <w:color w:val="000000"/>
          <w:sz w:val="22"/>
        </w:rPr>
        <w:t> </w:t>
      </w:r>
      <w:r>
        <w:rPr>
          <w:rFonts w:ascii="Times New Roman" w:hAnsi="Times New Roman"/>
          <w:b w:val="false"/>
          <w:i/>
          <w:color w:val="000000"/>
          <w:sz w:val="22"/>
        </w:rPr>
        <w:t xml:space="preserve">Use of IARD. </w:t>
      </w:r>
      <w:r>
        <w:rPr>
          <w:rFonts w:ascii="Times New Roman" w:hAnsi="Times New Roman"/>
          <w:b w:val="false"/>
          <w:i w:val="false"/>
          <w:color w:val="000000"/>
          <w:sz w:val="22"/>
        </w:rPr>
        <w:t>Unless otherwise provided, all investment adviser applications, amendments, reports, notices, related filings and fees required to be filed with the administrator pursuant to the rules promulgated under the Act shall be filed electronically with and transmitted to IARD. The following additional conditions relate to such electronic filings: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Electronic signature. </w:t>
      </w:r>
      <w:r>
        <w:rPr>
          <w:rFonts w:ascii="Times New Roman" w:hAnsi="Times New Roman"/>
          <w:b w:val="false"/>
          <w:i w:val="false"/>
          <w:color w:val="000000"/>
          <w:sz w:val="22"/>
        </w:rPr>
        <w:t>When a signature or signatures are required by the particular instructions of any filing to be made through IARD, a duly authorized signatory of the applicant, as required, shall affix the duly authorized signatory’s electronic signature to the filing by typing the duly authorized signatory’s name in the appropriate fields and submitting the filing to IARD. Submission of a filing in this manner shall constitute irrefutable evidence of legal signature by any individuals whose names are typed on the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Solely for purposes of a filing made through IARD, a document is considered filed with the administrator when all fees are received and the filing is accepted by IARD on behalf of the state.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3">
        <w:r>
          <w:rPr>
            <w:rStyle w:val="Hyperlink"/>
            <w:rFonts w:ascii="Times New Roman" w:hAnsi="Times New Roman"/>
            <w:b w:val="false"/>
            <w:i w:val="false"/>
            <w:color w:val="000000"/>
            <w:sz w:val="22"/>
          </w:rPr>
          <w:t>502.102(8)</w:t>
        </w:r>
      </w:hyperlink>
      <w:r>
        <w:rPr>
          <w:rFonts w:ascii="Times New Roman" w:hAnsi="Times New Roman"/>
          <w:b w:val="false"/>
          <w:i w:val="false"/>
          <w:color w:val="000000"/>
          <w:sz w:val="22"/>
        </w:rPr>
        <w:t xml:space="preserve">, </w:t>
      </w:r>
      <w:hyperlink r:id="rId114">
        <w:r>
          <w:rPr>
            <w:rStyle w:val="Hyperlink"/>
            <w:rFonts w:ascii="Times New Roman" w:hAnsi="Times New Roman"/>
            <w:b w:val="false"/>
            <w:i w:val="false"/>
            <w:color w:val="000000"/>
            <w:sz w:val="22"/>
          </w:rPr>
          <w:t>502.406</w:t>
        </w:r>
      </w:hyperlink>
      <w:r>
        <w:rPr>
          <w:rFonts w:ascii="Times New Roman" w:hAnsi="Times New Roman"/>
          <w:b w:val="false"/>
          <w:i w:val="false"/>
          <w:color w:val="000000"/>
          <w:sz w:val="22"/>
        </w:rPr>
        <w:t xml:space="preserve"> and </w:t>
      </w:r>
      <w:hyperlink r:id="rId115">
        <w:r>
          <w:rPr>
            <w:rStyle w:val="Hyperlink"/>
            <w:rFonts w:ascii="Times New Roman" w:hAnsi="Times New Roman"/>
            <w:b w:val="false"/>
            <w:i w:val="false"/>
            <w:color w:val="000000"/>
            <w:sz w:val="22"/>
          </w:rPr>
          <w:t>502.608(3)</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9169B</w:t>
      </w:r>
      <w:r>
        <w:rPr>
          <w:rFonts w:ascii="Times New Roman" w:hAnsi="Times New Roman"/>
          <w:b w:val="false"/>
          <w:i w:val="false"/>
          <w:color w:val="000000"/>
          <w:sz w:val="16"/>
        </w:rPr>
        <w:t>, IAB 10/20/10, effective 11/24/10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191—50.31</w:t>
      </w:r>
      <w:r>
        <w:rPr>
          <w:rFonts w:ascii="Times New Roman" w:hAnsi="Times New Roman"/>
          <w:b/>
          <w:i w:val="false"/>
          <w:color w:val="000000"/>
          <w:sz w:val="22"/>
        </w:rPr>
        <w:t xml:space="preserve">(502) </w:t>
      </w:r>
      <w:r>
        <w:rPr>
          <w:rFonts w:ascii="Times New Roman" w:hAnsi="Times New Roman"/>
          <w:b/>
          <w:i w:val="false"/>
          <w:color w:val="000000"/>
          <w:sz w:val="22"/>
        </w:rPr>
        <w:t xml:space="preserve">Investment adviser applications and renewals.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50.31(1)</w:t>
      </w:r>
      <w:r>
        <w:rPr>
          <w:rFonts w:ascii="Times New Roman" w:hAnsi="Times New Roman"/>
          <w:b w:val="false"/>
          <w:i w:val="false"/>
          <w:color w:val="000000"/>
          <w:sz w:val="22"/>
        </w:rPr>
        <w:t> </w:t>
      </w:r>
      <w:r>
        <w:rPr>
          <w:rFonts w:ascii="Times New Roman" w:hAnsi="Times New Roman"/>
          <w:b w:val="false"/>
          <w:i/>
          <w:color w:val="000000"/>
          <w:sz w:val="22"/>
        </w:rPr>
        <w:t xml:space="preserve">Investment adviser applications—required filings. </w:t>
      </w:r>
      <w:r>
        <w:rPr>
          <w:rFonts w:ascii="Times New Roman" w:hAnsi="Times New Roman"/>
          <w:b w:val="false"/>
          <w:i w:val="false"/>
          <w:color w:val="000000"/>
          <w:sz w:val="22"/>
        </w:rPr>
        <w:t>The application for initial registration as an investment adviser shall be made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Filing Form ADV Parts 1 and 2 with IARD;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Remitting the $100 filing fee to IARD pursuant to Iowa Code section </w:t>
      </w:r>
      <w:hyperlink r:id="rId116">
        <w:r>
          <w:rPr>
            <w:rStyle w:val="Hyperlink"/>
            <w:rFonts w:ascii="Times New Roman" w:hAnsi="Times New Roman"/>
            <w:b w:val="false"/>
            <w:i w:val="false"/>
            <w:color w:val="000000"/>
            <w:sz w:val="22"/>
          </w:rPr>
          <w:t>502.410(3)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50.31(2)</w:t>
      </w:r>
      <w:r>
        <w:rPr>
          <w:rFonts w:ascii="Times New Roman" w:hAnsi="Times New Roman"/>
          <w:b w:val="false"/>
          <w:i w:val="false"/>
          <w:color w:val="000000"/>
          <w:sz w:val="22"/>
        </w:rPr>
        <w:t> </w:t>
      </w:r>
      <w:r>
        <w:rPr>
          <w:rFonts w:ascii="Times New Roman" w:hAnsi="Times New Roman"/>
          <w:b w:val="false"/>
          <w:i/>
          <w:color w:val="000000"/>
          <w:sz w:val="22"/>
        </w:rPr>
        <w:t xml:space="preserve">Investment adviser applications—discretionary filings. </w:t>
      </w:r>
      <w:r>
        <w:rPr>
          <w:rFonts w:ascii="Times New Roman" w:hAnsi="Times New Roman"/>
          <w:b w:val="false"/>
          <w:i w:val="false"/>
          <w:color w:val="000000"/>
          <w:sz w:val="22"/>
        </w:rPr>
        <w:t>The administrator may require that an application for initial registration also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statements as set forth in paragraph </w:t>
      </w:r>
      <w:hyperlink r:id="rId117">
        <w:r>
          <w:rPr>
            <w:rStyle w:val="Hyperlink"/>
            <w:rFonts w:ascii="Times New Roman" w:hAnsi="Times New Roman"/>
            <w:b w:val="false"/>
            <w:i w:val="false"/>
            <w:color w:val="000000"/>
            <w:sz w:val="22"/>
          </w:rPr>
          <w:t>50.42(1)</w:t>
        </w:r>
        <w:r>
          <w:rPr>
            <w:rFonts w:ascii="Times New Roman" w:hAnsi="Times New Roman"/>
            <w:b w:val="false"/>
            <w:i/>
            <w:color w:val="000000"/>
            <w:sz w:val="22"/>
          </w:rPr>
          <w:t>“f”</w:t>
        </w:r>
      </w:hyperlink>
      <w:r>
        <w:rPr>
          <w:rFonts w:ascii="Times New Roman" w:hAnsi="Times New Roman"/>
          <w:b w:val="false"/>
          <w:i w:val="false"/>
          <w:color w:val="000000"/>
          <w:sz w:val="22"/>
        </w:rPr>
        <w:t xml:space="preserve"> including, but not limited to, a copy of the balance sheet for the last fiscal year and, if the balance sheet is prepared as of a date more than 45 days from the date of the filing of the application, an unaudited balance sheet prepared in accordance with subrule </w:t>
      </w:r>
      <w:hyperlink r:id="rId118">
        <w:r>
          <w:rPr>
            <w:rStyle w:val="Hyperlink"/>
            <w:rFonts w:ascii="Times New Roman" w:hAnsi="Times New Roman"/>
            <w:b w:val="false"/>
            <w:i w:val="false"/>
            <w:color w:val="000000"/>
            <w:sz w:val="22"/>
          </w:rPr>
          <w:t>50.40(7)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surety bond required pursuant to rule </w:t>
      </w:r>
      <w:hyperlink r:id="rId119">
        <w:r>
          <w:rPr>
            <w:rStyle w:val="Hyperlink"/>
            <w:rFonts w:ascii="Times New Roman" w:hAnsi="Times New Roman"/>
            <w:b w:val="false"/>
            <w:i w:val="false"/>
            <w:color w:val="000000"/>
            <w:sz w:val="22"/>
          </w:rPr>
          <w:t>191—50.41(502)</w:t>
        </w:r>
      </w:hyperlink>
      <w:r>
        <w:rPr>
          <w:rFonts w:ascii="Times New Roman" w:hAnsi="Times New Roman"/>
          <w:b w:val="false"/>
          <w:i w:val="false"/>
          <w:color w:val="000000"/>
          <w:sz w:val="22"/>
        </w:rPr>
        <w:t>,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information necessary for determining whether registration is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50.31(3)</w:t>
      </w:r>
      <w:r>
        <w:rPr>
          <w:rFonts w:ascii="Times New Roman" w:hAnsi="Times New Roman"/>
          <w:b w:val="false"/>
          <w:i w:val="false"/>
          <w:color w:val="000000"/>
          <w:sz w:val="22"/>
        </w:rPr>
        <w:t> </w:t>
      </w:r>
      <w:r>
        <w:rPr>
          <w:rFonts w:ascii="Times New Roman" w:hAnsi="Times New Roman"/>
          <w:b w:val="false"/>
          <w:i/>
          <w:color w:val="000000"/>
          <w:sz w:val="22"/>
        </w:rPr>
        <w:t xml:space="preserve">Investment adviser renewals—required filings. </w:t>
      </w:r>
      <w:r>
        <w:rPr>
          <w:rFonts w:ascii="Times New Roman" w:hAnsi="Times New Roman"/>
          <w:b w:val="false"/>
          <w:i w:val="false"/>
          <w:color w:val="000000"/>
          <w:sz w:val="22"/>
        </w:rPr>
        <w:t>Annual renewals by investment advisers shall be made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Filing an annual renewal registration with IARD;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Remitting the $100 filing fee to IARD as required pursuant to Iowa Code section </w:t>
      </w:r>
      <w:hyperlink r:id="rId120">
        <w:r>
          <w:rPr>
            <w:rStyle w:val="Hyperlink"/>
            <w:rFonts w:ascii="Times New Roman" w:hAnsi="Times New Roman"/>
            <w:b w:val="false"/>
            <w:i w:val="false"/>
            <w:color w:val="000000"/>
            <w:sz w:val="22"/>
          </w:rPr>
          <w:t>502.410(3)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50.31(4)</w:t>
      </w:r>
      <w:r>
        <w:rPr>
          <w:rFonts w:ascii="Times New Roman" w:hAnsi="Times New Roman"/>
          <w:b w:val="false"/>
          <w:i w:val="false"/>
          <w:color w:val="000000"/>
          <w:sz w:val="22"/>
        </w:rPr>
        <w:t> </w:t>
      </w:r>
      <w:r>
        <w:rPr>
          <w:rFonts w:ascii="Times New Roman" w:hAnsi="Times New Roman"/>
          <w:b w:val="false"/>
          <w:i/>
          <w:color w:val="000000"/>
          <w:sz w:val="22"/>
        </w:rPr>
        <w:t xml:space="preserve">Investment adviser renewals—discretionary filings. </w:t>
      </w:r>
      <w:r>
        <w:rPr>
          <w:rFonts w:ascii="Times New Roman" w:hAnsi="Times New Roman"/>
          <w:b w:val="false"/>
          <w:i w:val="false"/>
          <w:color w:val="000000"/>
          <w:sz w:val="22"/>
        </w:rPr>
        <w:t xml:space="preserve">The administrator may require the filing of a copy of the surety bond, if any, required pursuant to rule </w:t>
      </w:r>
      <w:hyperlink r:id="rId121">
        <w:r>
          <w:rPr>
            <w:rStyle w:val="Hyperlink"/>
            <w:rFonts w:ascii="Times New Roman" w:hAnsi="Times New Roman"/>
            <w:b w:val="false"/>
            <w:i w:val="false"/>
            <w:color w:val="000000"/>
            <w:sz w:val="22"/>
          </w:rPr>
          <w:t>191—50.41</w:t>
        </w:r>
      </w:hyperlink>
      <w:r>
        <w:rPr>
          <w:rFonts w:ascii="Times New Roman" w:hAnsi="Times New Roman"/>
          <w:b w:val="false"/>
          <w:i w:val="false"/>
          <w:color w:val="000000"/>
          <w:sz w:val="22"/>
        </w:rPr>
        <w:t>(502).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50.31(5)</w:t>
      </w:r>
      <w:r>
        <w:rPr>
          <w:rFonts w:ascii="Times New Roman" w:hAnsi="Times New Roman"/>
          <w:b w:val="false"/>
          <w:i w:val="false"/>
          <w:color w:val="000000"/>
          <w:sz w:val="22"/>
        </w:rPr>
        <w:t> </w:t>
      </w:r>
      <w:r>
        <w:rPr>
          <w:rFonts w:ascii="Times New Roman" w:hAnsi="Times New Roman"/>
          <w:b w:val="false"/>
          <w:i/>
          <w:color w:val="000000"/>
          <w:sz w:val="22"/>
        </w:rPr>
        <w:t xml:space="preserve">Completion of filing. </w:t>
      </w:r>
      <w:r>
        <w:rPr>
          <w:rFonts w:ascii="Times New Roman" w:hAnsi="Times New Roman"/>
          <w:b w:val="false"/>
          <w:i w:val="false"/>
          <w:color w:val="000000"/>
          <w:sz w:val="22"/>
        </w:rPr>
        <w:t xml:space="preserve">An application for initial or renewal registration is considered filed for the purposes of Iowa Code section </w:t>
      </w:r>
      <w:hyperlink r:id="rId122">
        <w:r>
          <w:rPr>
            <w:rStyle w:val="Hyperlink"/>
            <w:rFonts w:ascii="Times New Roman" w:hAnsi="Times New Roman"/>
            <w:b w:val="false"/>
            <w:i w:val="false"/>
            <w:color w:val="000000"/>
            <w:sz w:val="22"/>
          </w:rPr>
          <w:t>502.406</w:t>
        </w:r>
      </w:hyperlink>
      <w:r>
        <w:rPr>
          <w:rFonts w:ascii="Times New Roman" w:hAnsi="Times New Roman"/>
          <w:b w:val="false"/>
          <w:i w:val="false"/>
          <w:color w:val="000000"/>
          <w:sz w:val="22"/>
        </w:rPr>
        <w:t xml:space="preserve"> when the required fee and all required submissions have been received by IARD and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50.31(6)</w:t>
      </w:r>
      <w:r>
        <w:rPr>
          <w:rFonts w:ascii="Times New Roman" w:hAnsi="Times New Roman"/>
          <w:b w:val="false"/>
          <w:i w:val="false"/>
          <w:color w:val="000000"/>
          <w:sz w:val="22"/>
        </w:rPr>
        <w:t> </w:t>
      </w:r>
      <w:r>
        <w:rPr>
          <w:rFonts w:ascii="Times New Roman" w:hAnsi="Times New Roman"/>
          <w:b w:val="false"/>
          <w:i/>
          <w:color w:val="000000"/>
          <w:sz w:val="22"/>
        </w:rPr>
        <w:t xml:space="preserve">Updates and amendments. </w:t>
      </w:r>
      <w:r>
        <w:rPr>
          <w:rFonts w:ascii="Times New Roman" w:hAnsi="Times New Roman"/>
          <w:b w:val="false"/>
          <w:i w:val="false"/>
          <w:color w:val="000000"/>
          <w:sz w:val="22"/>
        </w:rPr>
        <w:t>The investment adviser is under a continuing obligation to update information provided on Form ADV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updated Form ADV must be filed with IARD within 90 days of the end of the investment adviser’s fiscal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amendment to Form ADV must be filed with IARD within 30 days of the event causing the required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50.31(7)</w:t>
      </w:r>
      <w:r>
        <w:rPr>
          <w:rFonts w:ascii="Times New Roman" w:hAnsi="Times New Roman"/>
          <w:b w:val="false"/>
          <w:i w:val="false"/>
          <w:color w:val="000000"/>
          <w:sz w:val="22"/>
        </w:rPr>
        <w:t> </w:t>
      </w:r>
      <w:r>
        <w:rPr>
          <w:rFonts w:ascii="Times New Roman" w:hAnsi="Times New Roman"/>
          <w:b w:val="false"/>
          <w:i/>
          <w:color w:val="000000"/>
          <w:sz w:val="22"/>
        </w:rPr>
        <w:t xml:space="preserve">Succession and change in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an organizational change, including a change in the state of incorporation or form of organization, not involving a material change in financial condition or management, an investment adviser shall file all applicable amendments to Form ADV.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an organizational change, including a change in the state of incorporation or form of organization, involving a material change in financial condition or management, an investment adviser must file a new application for registration pursuant to subrule </w:t>
      </w:r>
      <w:hyperlink r:id="rId123">
        <w:r>
          <w:rPr>
            <w:rStyle w:val="Hyperlink"/>
            <w:rFonts w:ascii="Times New Roman" w:hAnsi="Times New Roman"/>
            <w:b w:val="false"/>
            <w:i w:val="false"/>
            <w:color w:val="000000"/>
            <w:sz w:val="22"/>
          </w:rPr>
          <w:t>50.31(1)</w:t>
        </w:r>
      </w:hyperlink>
      <w:r>
        <w:rPr>
          <w:rFonts w:ascii="Times New Roman" w:hAnsi="Times New Roman"/>
          <w:b w:val="false"/>
          <w:i w:val="false"/>
          <w:color w:val="000000"/>
          <w:sz w:val="22"/>
        </w:rPr>
        <w:t xml:space="preserve">. The filing must include the fee pursuant to paragraph </w:t>
      </w:r>
      <w:hyperlink r:id="rId124">
        <w:r>
          <w:rPr>
            <w:rStyle w:val="Hyperlink"/>
            <w:rFonts w:ascii="Times New Roman" w:hAnsi="Times New Roman"/>
            <w:b w:val="false"/>
            <w:i w:val="false"/>
            <w:color w:val="000000"/>
            <w:sz w:val="22"/>
          </w:rPr>
          <w:t>50.31(1)</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registration fees for all Iowa-registered investment adviser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of a change in name, an investment adviser shall file all applicable amendments to Form ADV.</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5">
        <w:r>
          <w:rPr>
            <w:rStyle w:val="Hyperlink"/>
            <w:rFonts w:ascii="Times New Roman" w:hAnsi="Times New Roman"/>
            <w:b w:val="false"/>
            <w:i w:val="false"/>
            <w:color w:val="000000"/>
            <w:sz w:val="22"/>
          </w:rPr>
          <w:t>502.102(8)</w:t>
        </w:r>
      </w:hyperlink>
      <w:r>
        <w:rPr>
          <w:rFonts w:ascii="Times New Roman" w:hAnsi="Times New Roman"/>
          <w:b w:val="false"/>
          <w:i w:val="false"/>
          <w:color w:val="000000"/>
          <w:sz w:val="22"/>
        </w:rPr>
        <w:t xml:space="preserve"> and </w:t>
      </w:r>
      <w:hyperlink r:id="rId126">
        <w:r>
          <w:rPr>
            <w:rStyle w:val="Hyperlink"/>
            <w:rFonts w:ascii="Times New Roman" w:hAnsi="Times New Roman"/>
            <w:b w:val="false"/>
            <w:i w:val="false"/>
            <w:color w:val="000000"/>
            <w:sz w:val="22"/>
          </w:rPr>
          <w:t>502.406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191—50.32</w:t>
      </w:r>
      <w:r>
        <w:rPr>
          <w:rFonts w:ascii="Times New Roman" w:hAnsi="Times New Roman"/>
          <w:b/>
          <w:i w:val="false"/>
          <w:color w:val="000000"/>
          <w:sz w:val="22"/>
        </w:rPr>
        <w:t xml:space="preserve">(502) </w:t>
      </w:r>
      <w:r>
        <w:rPr>
          <w:rFonts w:ascii="Times New Roman" w:hAnsi="Times New Roman"/>
          <w:b/>
          <w:i w:val="false"/>
          <w:color w:val="000000"/>
          <w:sz w:val="22"/>
        </w:rPr>
        <w:t xml:space="preserve">Application for investment adviser representative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50.32(1)</w:t>
      </w:r>
      <w:r>
        <w:rPr>
          <w:rFonts w:ascii="Times New Roman" w:hAnsi="Times New Roman"/>
          <w:b w:val="false"/>
          <w:i w:val="false"/>
          <w:color w:val="000000"/>
          <w:sz w:val="22"/>
        </w:rPr>
        <w:t> </w:t>
      </w:r>
      <w:r>
        <w:rPr>
          <w:rFonts w:ascii="Times New Roman" w:hAnsi="Times New Roman"/>
          <w:b w:val="false"/>
          <w:i/>
          <w:color w:val="000000"/>
          <w:sz w:val="22"/>
        </w:rPr>
        <w:t xml:space="preserve">Designation. </w:t>
      </w:r>
      <w:r>
        <w:rPr>
          <w:rFonts w:ascii="Times New Roman" w:hAnsi="Times New Roman"/>
          <w:b w:val="false"/>
          <w:i w:val="false"/>
          <w:color w:val="000000"/>
          <w:sz w:val="22"/>
        </w:rPr>
        <w:t xml:space="preserve">Pursuant to Iowa Code sections </w:t>
      </w:r>
      <w:hyperlink r:id="rId127">
        <w:r>
          <w:rPr>
            <w:rStyle w:val="Hyperlink"/>
            <w:rFonts w:ascii="Times New Roman" w:hAnsi="Times New Roman"/>
            <w:b w:val="false"/>
            <w:i w:val="false"/>
            <w:color w:val="000000"/>
            <w:sz w:val="22"/>
          </w:rPr>
          <w:t>502.406</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502.608(3)</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administrator designates the CRD operated by FINRA to receive and store filings and collect related fees from investment adviser representatives on behalf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50.32(2)</w:t>
      </w:r>
      <w:r>
        <w:rPr>
          <w:rFonts w:ascii="Times New Roman" w:hAnsi="Times New Roman"/>
          <w:b w:val="false"/>
          <w:i w:val="false"/>
          <w:color w:val="000000"/>
          <w:sz w:val="22"/>
        </w:rPr>
        <w:t> </w:t>
      </w:r>
      <w:r>
        <w:rPr>
          <w:rFonts w:ascii="Times New Roman" w:hAnsi="Times New Roman"/>
          <w:b w:val="false"/>
          <w:i/>
          <w:color w:val="000000"/>
          <w:sz w:val="22"/>
        </w:rPr>
        <w:t xml:space="preserve">Initial application. </w:t>
      </w:r>
      <w:r>
        <w:rPr>
          <w:rFonts w:ascii="Times New Roman" w:hAnsi="Times New Roman"/>
          <w:b w:val="false"/>
          <w:i w:val="false"/>
          <w:color w:val="000000"/>
          <w:sz w:val="22"/>
        </w:rPr>
        <w:t xml:space="preserve">The application for initial registration as an investment adviser representative made pursuant to Iowa Code section </w:t>
      </w:r>
      <w:hyperlink r:id="rId129">
        <w:r>
          <w:rPr>
            <w:rStyle w:val="Hyperlink"/>
            <w:rFonts w:ascii="Times New Roman" w:hAnsi="Times New Roman"/>
            <w:b w:val="false"/>
            <w:i w:val="false"/>
            <w:color w:val="000000"/>
            <w:sz w:val="22"/>
          </w:rPr>
          <w:t>502.406(1)</w:t>
        </w:r>
      </w:hyperlink>
      <w:r>
        <w:rPr>
          <w:rFonts w:ascii="Times New Roman" w:hAnsi="Times New Roman"/>
          <w:b w:val="false"/>
          <w:i w:val="false"/>
          <w:color w:val="000000"/>
          <w:sz w:val="22"/>
        </w:rPr>
        <w:t xml:space="preserve"> shall be made by filing Form U-4 with the CRD. The following shall be submitted to the CRD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compliance by the investment adviser representative with the examination requirements of rule </w:t>
      </w:r>
      <w:hyperlink r:id="rId130">
        <w:r>
          <w:rPr>
            <w:rStyle w:val="Hyperlink"/>
            <w:rFonts w:ascii="Times New Roman" w:hAnsi="Times New Roman"/>
            <w:b w:val="false"/>
            <w:i w:val="false"/>
            <w:color w:val="000000"/>
            <w:sz w:val="22"/>
          </w:rPr>
          <w:t>191—50.33</w:t>
        </w:r>
      </w:hyperlink>
      <w:r>
        <w:rPr>
          <w:rFonts w:ascii="Times New Roman" w:hAnsi="Times New Roman"/>
          <w:b w:val="false"/>
          <w:i w:val="false"/>
          <w:color w:val="000000"/>
          <w:sz w:val="22"/>
        </w:rPr>
        <w:t>(502);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applicable, the $30 fee required pursuant to Iowa Code section </w:t>
      </w:r>
      <w:hyperlink r:id="rId131">
        <w:r>
          <w:rPr>
            <w:rStyle w:val="Hyperlink"/>
            <w:rFonts w:ascii="Times New Roman" w:hAnsi="Times New Roman"/>
            <w:b w:val="false"/>
            <w:i w:val="false"/>
            <w:color w:val="000000"/>
            <w:sz w:val="22"/>
          </w:rPr>
          <w:t>502.410(4)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50.32(3)</w:t>
      </w:r>
      <w:r>
        <w:rPr>
          <w:rFonts w:ascii="Times New Roman" w:hAnsi="Times New Roman"/>
          <w:b w:val="false"/>
          <w:i w:val="false"/>
          <w:color w:val="000000"/>
          <w:sz w:val="22"/>
        </w:rPr>
        <w:t> </w:t>
      </w:r>
      <w:r>
        <w:rPr>
          <w:rFonts w:ascii="Times New Roman" w:hAnsi="Times New Roman"/>
          <w:b w:val="false"/>
          <w:i/>
          <w:color w:val="000000"/>
          <w:sz w:val="22"/>
        </w:rPr>
        <w:t xml:space="preserve">Annual renewal. </w:t>
      </w:r>
      <w:r>
        <w:rPr>
          <w:rFonts w:ascii="Times New Roman" w:hAnsi="Times New Roman"/>
          <w:b w:val="false"/>
          <w:i w:val="false"/>
          <w:color w:val="000000"/>
          <w:sz w:val="22"/>
        </w:rPr>
        <w:t>Annual renewals by investment adviser representatives shall be made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Filing an annual renewal registration with CRD;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applicable, remitting the $30 filing fee to CRD as required pursuant to Iowa Code section </w:t>
      </w:r>
      <w:hyperlink r:id="rId132">
        <w:r>
          <w:rPr>
            <w:rStyle w:val="Hyperlink"/>
            <w:rFonts w:ascii="Times New Roman" w:hAnsi="Times New Roman"/>
            <w:b w:val="false"/>
            <w:i w:val="false"/>
            <w:color w:val="000000"/>
            <w:sz w:val="22"/>
          </w:rPr>
          <w:t>502.410(4)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50.32(4)</w:t>
      </w:r>
      <w:r>
        <w:rPr>
          <w:rFonts w:ascii="Times New Roman" w:hAnsi="Times New Roman"/>
          <w:b w:val="false"/>
          <w:i w:val="false"/>
          <w:color w:val="000000"/>
          <w:sz w:val="22"/>
        </w:rPr>
        <w:t> </w:t>
      </w:r>
      <w:r>
        <w:rPr>
          <w:rFonts w:ascii="Times New Roman" w:hAnsi="Times New Roman"/>
          <w:b w:val="false"/>
          <w:i/>
          <w:color w:val="000000"/>
          <w:sz w:val="22"/>
        </w:rPr>
        <w:t xml:space="preserve">Completion of filing. </w:t>
      </w:r>
      <w:r>
        <w:rPr>
          <w:rFonts w:ascii="Times New Roman" w:hAnsi="Times New Roman"/>
          <w:b w:val="false"/>
          <w:i w:val="false"/>
          <w:color w:val="000000"/>
          <w:sz w:val="22"/>
        </w:rPr>
        <w:t xml:space="preserve">An application for initial or renewal registration is considered filed for the purposes of Iowa Code section </w:t>
      </w:r>
      <w:hyperlink r:id="rId133">
        <w:r>
          <w:rPr>
            <w:rStyle w:val="Hyperlink"/>
            <w:rFonts w:ascii="Times New Roman" w:hAnsi="Times New Roman"/>
            <w:b w:val="false"/>
            <w:i w:val="false"/>
            <w:color w:val="000000"/>
            <w:sz w:val="22"/>
          </w:rPr>
          <w:t>502.406</w:t>
        </w:r>
      </w:hyperlink>
      <w:r>
        <w:rPr>
          <w:rFonts w:ascii="Times New Roman" w:hAnsi="Times New Roman"/>
          <w:b w:val="false"/>
          <w:i w:val="false"/>
          <w:color w:val="000000"/>
          <w:sz w:val="22"/>
        </w:rPr>
        <w:t xml:space="preserve"> when the required fee and all required submissions have been received by the CRD.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50.32(5)</w:t>
      </w:r>
      <w:r>
        <w:rPr>
          <w:rFonts w:ascii="Times New Roman" w:hAnsi="Times New Roman"/>
          <w:b w:val="false"/>
          <w:i w:val="false"/>
          <w:color w:val="000000"/>
          <w:sz w:val="22"/>
        </w:rPr>
        <w:t> </w:t>
      </w:r>
      <w:r>
        <w:rPr>
          <w:rFonts w:ascii="Times New Roman" w:hAnsi="Times New Roman"/>
          <w:b w:val="false"/>
          <w:i/>
          <w:color w:val="000000"/>
          <w:sz w:val="22"/>
        </w:rPr>
        <w:t xml:space="preserve">Updates, amendments, withdrawals and terminations. </w:t>
      </w:r>
      <w:r>
        <w:rPr>
          <w:rFonts w:ascii="Times New Roman" w:hAnsi="Times New Roman"/>
          <w:b w:val="false"/>
          <w:i w:val="false"/>
          <w:color w:val="000000"/>
          <w:sz w:val="22"/>
        </w:rPr>
        <w:t>The investment adviser representative is under a continuing obligation to update information provided on Form U-4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amendment to information provided on Form U-4 must be filed with CRD within 30 days of the event causing the required amendment;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withdrawal request or termination must be filed with CRD within 30 days of the event causing the necessity of a withdrawal request or termination. A withdrawal request shall be made by filing an accurate and complete Form U-5 with CRD.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4">
        <w:r>
          <w:rPr>
            <w:rStyle w:val="Hyperlink"/>
            <w:rFonts w:ascii="Times New Roman" w:hAnsi="Times New Roman"/>
            <w:b w:val="false"/>
            <w:i w:val="false"/>
            <w:color w:val="000000"/>
            <w:sz w:val="22"/>
          </w:rPr>
          <w:t>502.102(8)</w:t>
        </w:r>
      </w:hyperlink>
      <w:r>
        <w:rPr>
          <w:rFonts w:ascii="Times New Roman" w:hAnsi="Times New Roman"/>
          <w:b w:val="false"/>
          <w:i w:val="false"/>
          <w:color w:val="000000"/>
          <w:sz w:val="22"/>
        </w:rPr>
        <w:t xml:space="preserve"> and </w:t>
      </w:r>
      <w:hyperlink r:id="rId135">
        <w:r>
          <w:rPr>
            <w:rStyle w:val="Hyperlink"/>
            <w:rFonts w:ascii="Times New Roman" w:hAnsi="Times New Roman"/>
            <w:b w:val="false"/>
            <w:i w:val="false"/>
            <w:color w:val="000000"/>
            <w:sz w:val="22"/>
          </w:rPr>
          <w:t>502.406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9169B</w:t>
      </w:r>
      <w:r>
        <w:rPr>
          <w:rFonts w:ascii="Times New Roman" w:hAnsi="Times New Roman"/>
          <w:b w:val="false"/>
          <w:i w:val="false"/>
          <w:color w:val="000000"/>
          <w:sz w:val="16"/>
        </w:rPr>
        <w:t>, IAB 10/20/10, effective 11/24/10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191—50.33</w:t>
      </w:r>
      <w:r>
        <w:rPr>
          <w:rFonts w:ascii="Times New Roman" w:hAnsi="Times New Roman"/>
          <w:b/>
          <w:i w:val="false"/>
          <w:color w:val="000000"/>
          <w:sz w:val="22"/>
        </w:rPr>
        <w:t xml:space="preserve">(502) </w:t>
      </w:r>
      <w:r>
        <w:rPr>
          <w:rFonts w:ascii="Times New Roman" w:hAnsi="Times New Roman"/>
          <w:b/>
          <w:i w:val="false"/>
          <w:color w:val="000000"/>
          <w:sz w:val="22"/>
        </w:rPr>
        <w:t xml:space="preserve">Examination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50.33(1)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exempted by subrule </w:t>
      </w:r>
      <w:hyperlink r:id="rId136">
        <w:r>
          <w:rPr>
            <w:rStyle w:val="Hyperlink"/>
            <w:rFonts w:ascii="Times New Roman" w:hAnsi="Times New Roman"/>
            <w:b w:val="false"/>
            <w:i w:val="false"/>
            <w:color w:val="000000"/>
            <w:sz w:val="22"/>
          </w:rPr>
          <w:t>50.33(2)</w:t>
        </w:r>
      </w:hyperlink>
      <w:r>
        <w:rPr>
          <w:rFonts w:ascii="Times New Roman" w:hAnsi="Times New Roman"/>
          <w:b w:val="false"/>
          <w:i w:val="false"/>
          <w:color w:val="000000"/>
          <w:sz w:val="22"/>
        </w:rPr>
        <w:t>, a person applying to be registered as an investment adviser representative shall provide the administrator with proof that the person has obtained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A passing score on the Series 65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Passing scores on both the Series 7 examination and the Series 66 examination and, if the application is received by the administrator on or after October 1, 2018, FINRA’s Securities Industry Essentials Exam. In the event that an applicant for registration as an investment adviser representative has received a waiver by FINRA of the Series 7 examination otherwise required by this paragraph, the FINRA waiver will be accepted in lieu of the examination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50.33(2)</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ordered by the administrator in connection with a violation of the Act, the following individuals shall be exempt from the examination requirements of subrule </w:t>
      </w:r>
      <w:hyperlink r:id="rId137">
        <w:r>
          <w:rPr>
            <w:rStyle w:val="Hyperlink"/>
            <w:rFonts w:ascii="Times New Roman" w:hAnsi="Times New Roman"/>
            <w:b w:val="false"/>
            <w:i w:val="false"/>
            <w:color w:val="000000"/>
            <w:sz w:val="22"/>
          </w:rPr>
          <w:t>50.33(1)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individual who is registered as an investment adviser or investment adviser representative in any jurisdiction in the United States on or before January 19,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individual who is registered as an investment adviser or investment adviser representative in any jurisdiction in the United States after November 1, 2001, provided that the jurisdiction in which the investment adviser or investment adviser representative is registered requires the passage of the examinations in subrule </w:t>
      </w:r>
      <w:hyperlink r:id="rId138">
        <w:r>
          <w:rPr>
            <w:rStyle w:val="Hyperlink"/>
            <w:rFonts w:ascii="Times New Roman" w:hAnsi="Times New Roman"/>
            <w:b w:val="false"/>
            <w:i w:val="false"/>
            <w:color w:val="000000"/>
            <w:sz w:val="22"/>
          </w:rPr>
          <w:t>50.33(1)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individual who has not been registered as an investment adviser or investment adviser representative in any jurisdiction for a period of two years shall be required to comply with the examination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individual who currently holds one of the following professional designations: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Certified Financial Planner or CFP designation awarded by the Certified Financial Planner Board of Standards, Inc.;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Chartered Financial Consultant (ChFC) designation awarded by The American College, Bryn Mawr, Pennsylvania;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Personal Financial Specialist (PFS) designation administered by the American Institute of Certified Public Accountants;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Chartered Financial Analyst (CFA) designation granted by the Association for Investment Management and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Chartered Investment Counselor (CIC) designation granted by the Investment Counsel Association of America;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other professional designation recognized by order of the administrator.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9">
        <w:r>
          <w:rPr>
            <w:rStyle w:val="Hyperlink"/>
            <w:rFonts w:ascii="Times New Roman" w:hAnsi="Times New Roman"/>
            <w:b w:val="false"/>
            <w:i w:val="false"/>
            <w:color w:val="000000"/>
            <w:sz w:val="22"/>
          </w:rPr>
          <w:t>502.412(5)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9169B</w:t>
      </w:r>
      <w:r>
        <w:rPr>
          <w:rFonts w:ascii="Times New Roman" w:hAnsi="Times New Roman"/>
          <w:b w:val="false"/>
          <w:i w:val="false"/>
          <w:color w:val="000000"/>
          <w:sz w:val="16"/>
        </w:rPr>
        <w:t>, IAB 10/20/10, effective 11/24/10</w:t>
      </w:r>
      <w:r>
        <w:rPr>
          <w:rFonts w:ascii="Times New Roman" w:hAnsi="Times New Roman"/>
          <w:b w:val="false"/>
          <w:i w:val="false"/>
          <w:color w:val="000000"/>
          <w:sz w:val="16"/>
        </w:rPr>
        <w:t xml:space="preserve">; </w:t>
      </w:r>
      <w:r>
        <w:rPr>
          <w:rFonts w:ascii="Times New Roman" w:hAnsi="Times New Roman"/>
          <w:b/>
          <w:i w:val="false"/>
          <w:color w:val="000000"/>
          <w:sz w:val="16"/>
        </w:rPr>
        <w:t>ARC 3741C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191—50.34</w:t>
      </w:r>
      <w:r>
        <w:rPr>
          <w:rFonts w:ascii="Times New Roman" w:hAnsi="Times New Roman"/>
          <w:b/>
          <w:i w:val="false"/>
          <w:color w:val="000000"/>
          <w:sz w:val="22"/>
        </w:rPr>
        <w:t xml:space="preserve">(502) </w:t>
      </w:r>
      <w:r>
        <w:rPr>
          <w:rFonts w:ascii="Times New Roman" w:hAnsi="Times New Roman"/>
          <w:b/>
          <w:i w:val="false"/>
          <w:color w:val="000000"/>
          <w:sz w:val="22"/>
        </w:rPr>
        <w:t xml:space="preserve">Notice filing requirements for federal covered investment advisers.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50.34(1)</w:t>
      </w:r>
      <w:r>
        <w:rPr>
          <w:rFonts w:ascii="Times New Roman" w:hAnsi="Times New Roman"/>
          <w:b w:val="false"/>
          <w:i w:val="false"/>
          <w:color w:val="000000"/>
          <w:sz w:val="22"/>
        </w:rPr>
        <w:t> </w:t>
      </w:r>
      <w:r>
        <w:rPr>
          <w:rFonts w:ascii="Times New Roman" w:hAnsi="Times New Roman"/>
          <w:b w:val="false"/>
          <w:i/>
          <w:color w:val="000000"/>
          <w:sz w:val="22"/>
        </w:rPr>
        <w:t xml:space="preserve">Notice filing. </w:t>
      </w:r>
      <w:r>
        <w:rPr>
          <w:rFonts w:ascii="Times New Roman" w:hAnsi="Times New Roman"/>
          <w:b w:val="false"/>
          <w:i w:val="false"/>
          <w:color w:val="000000"/>
          <w:sz w:val="22"/>
        </w:rPr>
        <w:t xml:space="preserve">The notice filing for a federal covered investment adviser pursuant to Iowa Code section </w:t>
      </w:r>
      <w:hyperlink r:id="rId140">
        <w:r>
          <w:rPr>
            <w:rStyle w:val="Hyperlink"/>
            <w:rFonts w:ascii="Times New Roman" w:hAnsi="Times New Roman"/>
            <w:b w:val="false"/>
            <w:i w:val="false"/>
            <w:color w:val="000000"/>
            <w:sz w:val="22"/>
          </w:rPr>
          <w:t>502.405</w:t>
        </w:r>
      </w:hyperlink>
      <w:r>
        <w:rPr>
          <w:rFonts w:ascii="Times New Roman" w:hAnsi="Times New Roman"/>
          <w:b w:val="false"/>
          <w:i w:val="false"/>
          <w:color w:val="000000"/>
          <w:sz w:val="22"/>
        </w:rPr>
        <w:t xml:space="preserve"> shall be filed with IARD on an executed Form ADV. A notice filing of a federal covered investment adviser shall be deemed filed for purposes of this subrule when Form ADV and the fee of $100 required pursuant to Iowa Code section </w:t>
      </w:r>
      <w:hyperlink r:id="rId141">
        <w:r>
          <w:rPr>
            <w:rStyle w:val="Hyperlink"/>
            <w:rFonts w:ascii="Times New Roman" w:hAnsi="Times New Roman"/>
            <w:b w:val="false"/>
            <w:i w:val="false"/>
            <w:color w:val="000000"/>
            <w:sz w:val="22"/>
          </w:rPr>
          <w:t>502.410(5)</w:t>
        </w:r>
      </w:hyperlink>
      <w:r>
        <w:rPr>
          <w:rFonts w:ascii="Times New Roman" w:hAnsi="Times New Roman"/>
          <w:b w:val="false"/>
          <w:i w:val="false"/>
          <w:color w:val="000000"/>
          <w:sz w:val="22"/>
        </w:rPr>
        <w:t xml:space="preserve"> are received by IARD.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50.34(2)</w:t>
      </w:r>
      <w:r>
        <w:rPr>
          <w:rFonts w:ascii="Times New Roman" w:hAnsi="Times New Roman"/>
          <w:b w:val="false"/>
          <w:i w:val="false"/>
          <w:color w:val="000000"/>
          <w:sz w:val="22"/>
        </w:rPr>
        <w:t> </w:t>
      </w:r>
      <w:r>
        <w:rPr>
          <w:rFonts w:ascii="Times New Roman" w:hAnsi="Times New Roman"/>
          <w:b w:val="false"/>
          <w:i/>
          <w:color w:val="000000"/>
          <w:sz w:val="22"/>
        </w:rPr>
        <w:t xml:space="preserve">Form ADV Part 2. </w:t>
      </w:r>
      <w:r>
        <w:rPr>
          <w:rFonts w:ascii="Times New Roman" w:hAnsi="Times New Roman"/>
          <w:b w:val="false"/>
          <w:i w:val="false"/>
          <w:color w:val="000000"/>
          <w:sz w:val="22"/>
        </w:rPr>
        <w:t>The administrator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 a copy of Part 2 of Form ADV as filed electronically with IARD;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Deem Part 2 of Form ADV filed if a federal covered investment adviser provides, within five days of a request, Part 2 of Form ADV to the administrator. Because the administrator deems Part 2 of Form ADV to be filed, a federal covered investment adviser is not required to submit Part 2 of Form ADV to the administrator unless specifically requested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50.34(3)</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The annual renewal of the notice filing for a federal covered investment adviser pursuant to Iowa Code section </w:t>
      </w:r>
      <w:hyperlink r:id="rId142">
        <w:r>
          <w:rPr>
            <w:rStyle w:val="Hyperlink"/>
            <w:rFonts w:ascii="Times New Roman" w:hAnsi="Times New Roman"/>
            <w:b w:val="false"/>
            <w:i w:val="false"/>
            <w:color w:val="000000"/>
            <w:sz w:val="22"/>
          </w:rPr>
          <w:t>502.405</w:t>
        </w:r>
      </w:hyperlink>
      <w:r>
        <w:rPr>
          <w:rFonts w:ascii="Times New Roman" w:hAnsi="Times New Roman"/>
          <w:b w:val="false"/>
          <w:i w:val="false"/>
          <w:color w:val="000000"/>
          <w:sz w:val="22"/>
        </w:rPr>
        <w:t xml:space="preserve"> shall be filed with IARD. The renewal of the notice filing shall be deemed filed for purposes of this subrule when the $100 fee required pursuant to Iowa Code section </w:t>
      </w:r>
      <w:hyperlink r:id="rId143">
        <w:r>
          <w:rPr>
            <w:rStyle w:val="Hyperlink"/>
            <w:rFonts w:ascii="Times New Roman" w:hAnsi="Times New Roman"/>
            <w:b w:val="false"/>
            <w:i w:val="false"/>
            <w:color w:val="000000"/>
            <w:sz w:val="22"/>
          </w:rPr>
          <w:t>502.410(5)</w:t>
        </w:r>
      </w:hyperlink>
      <w:r>
        <w:rPr>
          <w:rFonts w:ascii="Times New Roman" w:hAnsi="Times New Roman"/>
          <w:b w:val="false"/>
          <w:i w:val="false"/>
          <w:color w:val="000000"/>
          <w:sz w:val="22"/>
        </w:rPr>
        <w:t xml:space="preserve"> is accepted by IARD.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50.34(4)</w:t>
      </w:r>
      <w:r>
        <w:rPr>
          <w:rFonts w:ascii="Times New Roman" w:hAnsi="Times New Roman"/>
          <w:b w:val="false"/>
          <w:i w:val="false"/>
          <w:color w:val="000000"/>
          <w:sz w:val="22"/>
        </w:rPr>
        <w:t> </w:t>
      </w:r>
      <w:r>
        <w:rPr>
          <w:rFonts w:ascii="Times New Roman" w:hAnsi="Times New Roman"/>
          <w:b w:val="false"/>
          <w:i/>
          <w:color w:val="000000"/>
          <w:sz w:val="22"/>
        </w:rPr>
        <w:t xml:space="preserve">Updates and amendments. </w:t>
      </w:r>
      <w:r>
        <w:rPr>
          <w:rFonts w:ascii="Times New Roman" w:hAnsi="Times New Roman"/>
          <w:b w:val="false"/>
          <w:i w:val="false"/>
          <w:color w:val="000000"/>
          <w:sz w:val="22"/>
        </w:rPr>
        <w:t>A federal covered investment adviser must file with IARD any amendments to the federal covered investment adviser’s Form ADV.</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4">
        <w:r>
          <w:rPr>
            <w:rStyle w:val="Hyperlink"/>
            <w:rFonts w:ascii="Times New Roman" w:hAnsi="Times New Roman"/>
            <w:b w:val="false"/>
            <w:i w:val="false"/>
            <w:color w:val="000000"/>
            <w:sz w:val="22"/>
          </w:rPr>
          <w:t>502.405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191—50.35</w:t>
      </w:r>
      <w:r>
        <w:rPr>
          <w:rFonts w:ascii="Times New Roman" w:hAnsi="Times New Roman"/>
          <w:b/>
          <w:i w:val="false"/>
          <w:color w:val="000000"/>
          <w:sz w:val="22"/>
        </w:rPr>
        <w:t xml:space="preserve">(502) </w:t>
      </w:r>
      <w:r>
        <w:rPr>
          <w:rFonts w:ascii="Times New Roman" w:hAnsi="Times New Roman"/>
          <w:b/>
          <w:i w:val="false"/>
          <w:color w:val="000000"/>
          <w:sz w:val="22"/>
        </w:rPr>
        <w:t xml:space="preserve">Withdrawal of investment adviser registration. </w:t>
      </w:r>
      <w:r>
        <w:rPr>
          <w:rFonts w:ascii="Times New Roman" w:hAnsi="Times New Roman"/>
          <w:b w:val="false"/>
          <w:i w:val="false"/>
          <w:color w:val="000000"/>
          <w:sz w:val="22"/>
        </w:rPr>
        <w:t xml:space="preserve">The application for withdrawal of registration as an investment adviser pursuant to Iowa Code section </w:t>
      </w:r>
      <w:hyperlink r:id="rId145">
        <w:r>
          <w:rPr>
            <w:rStyle w:val="Hyperlink"/>
            <w:rFonts w:ascii="Times New Roman" w:hAnsi="Times New Roman"/>
            <w:b w:val="false"/>
            <w:i w:val="false"/>
            <w:color w:val="000000"/>
            <w:sz w:val="22"/>
          </w:rPr>
          <w:t>502.409</w:t>
        </w:r>
      </w:hyperlink>
      <w:r>
        <w:rPr>
          <w:rFonts w:ascii="Times New Roman" w:hAnsi="Times New Roman"/>
          <w:b w:val="false"/>
          <w:i w:val="false"/>
          <w:color w:val="000000"/>
          <w:sz w:val="22"/>
        </w:rPr>
        <w:t xml:space="preserve"> shall be completed on Form ADV-W and filed with IARD.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6">
        <w:r>
          <w:rPr>
            <w:rStyle w:val="Hyperlink"/>
            <w:rFonts w:ascii="Times New Roman" w:hAnsi="Times New Roman"/>
            <w:b w:val="false"/>
            <w:i w:val="false"/>
            <w:color w:val="000000"/>
            <w:sz w:val="22"/>
          </w:rPr>
          <w:t>502.409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191—50.36</w:t>
      </w:r>
      <w:r>
        <w:rPr>
          <w:rFonts w:ascii="Times New Roman" w:hAnsi="Times New Roman"/>
          <w:b/>
          <w:i w:val="false"/>
          <w:color w:val="000000"/>
          <w:sz w:val="22"/>
        </w:rPr>
        <w:t xml:space="preserve">(502) </w:t>
      </w:r>
      <w:r>
        <w:rPr>
          <w:rFonts w:ascii="Times New Roman" w:hAnsi="Times New Roman"/>
          <w:b/>
          <w:i w:val="false"/>
          <w:color w:val="000000"/>
          <w:sz w:val="22"/>
        </w:rPr>
        <w:t xml:space="preserve">Investment adviser brochure.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50.36(1)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in this rule, an investment adviser registered or required to be registered pursuant to Section 403 of the Act shall furnish each advisory client and prospective advisory client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brochure which may be a copy of Part 2A of its Form ADV or written documents containing the information required by Part 2A of Form ADV;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its Part 2B brochure supplement for each individual: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Providing investment advice and having direct contact with clients in this state;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Exercising discretion over assets of clients in this state, even if no direct contact is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its Part 2A Appendix 1 wrap fee brochure if the investment adviser sponsors or participates in a wrap fee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summary of material changes, which may be included in Form ADV Part 2 or given as a separate document;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Such other information as the administrator may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brochure must comply with the language, organizational format and filing requirements specified in the Instructions to Form ADV Part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Notwithstanding the SEC’s Instructions for Part 2A of Form ADV, fee changes constitute material changes requiring an update to all parts of Form ADV.</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50.36(2)</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delivery. </w:t>
      </w:r>
      <w:r>
        <w:rPr>
          <w:rFonts w:ascii="Times New Roman" w:hAnsi="Times New Roman"/>
          <w:b w:val="false"/>
          <w:i w:val="false"/>
          <w:color w:val="000000"/>
          <w:sz w:val="22"/>
        </w:rPr>
        <w:t xml:space="preserve">An investment adviser, except as provided in paragraph </w:t>
      </w:r>
      <w:hyperlink r:id="rId147">
        <w:r>
          <w:rPr>
            <w:rStyle w:val="Hyperlink"/>
            <w:rFonts w:ascii="Times New Roman" w:hAnsi="Times New Roman"/>
            <w:b w:val="false"/>
            <w:i w:val="false"/>
            <w:color w:val="000000"/>
            <w:sz w:val="22"/>
          </w:rPr>
          <w:t>50.36(2)</w:t>
        </w:r>
        <w:r>
          <w:rPr>
            <w:rFonts w:ascii="Times New Roman" w:hAnsi="Times New Roman"/>
            <w:b w:val="false"/>
            <w:i/>
            <w:color w:val="000000"/>
            <w:sz w:val="22"/>
          </w:rPr>
          <w:t>“c,”</w:t>
        </w:r>
      </w:hyperlink>
      <w:r>
        <w:rPr>
          <w:rFonts w:ascii="Times New Roman" w:hAnsi="Times New Roman"/>
          <w:b w:val="false"/>
          <w:i w:val="false"/>
          <w:color w:val="000000"/>
          <w:sz w:val="22"/>
        </w:rPr>
        <w:t xml:space="preserve"> shall deliver the Part 2A brochure and any brochure supplements required by rule </w:t>
      </w:r>
      <w:hyperlink r:id="rId148">
        <w:r>
          <w:rPr>
            <w:rStyle w:val="Hyperlink"/>
            <w:rFonts w:ascii="Times New Roman" w:hAnsi="Times New Roman"/>
            <w:b w:val="false"/>
            <w:i w:val="false"/>
            <w:color w:val="000000"/>
            <w:sz w:val="22"/>
          </w:rPr>
          <w:t>191—50.36</w:t>
        </w:r>
      </w:hyperlink>
      <w:r>
        <w:rPr>
          <w:rFonts w:ascii="Times New Roman" w:hAnsi="Times New Roman"/>
          <w:b w:val="false"/>
          <w:i w:val="false"/>
          <w:color w:val="000000"/>
          <w:sz w:val="22"/>
        </w:rPr>
        <w:t>(502) to a prospective advisory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 less than 48 hours before an investment adviser enters into any advisory contract with such client or prospective client;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time an advisory client enters into any such contract, if the advisory client has a right to terminate the contract without penalty within five business days after entering into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Annual delivery. </w:t>
      </w:r>
      <w:r>
        <w:rPr>
          <w:rFonts w:ascii="Times New Roman" w:hAnsi="Times New Roman"/>
          <w:b w:val="false"/>
          <w:i w:val="false"/>
          <w:color w:val="000000"/>
          <w:sz w:val="22"/>
        </w:rPr>
        <w:t xml:space="preserve">An investment adviser, except as provided in paragraph </w:t>
      </w:r>
      <w:hyperlink r:id="rId149">
        <w:r>
          <w:rPr>
            <w:rStyle w:val="Hyperlink"/>
            <w:rFonts w:ascii="Times New Roman" w:hAnsi="Times New Roman"/>
            <w:b w:val="false"/>
            <w:i w:val="false"/>
            <w:color w:val="000000"/>
            <w:sz w:val="22"/>
          </w:rPr>
          <w:t>50.36(2)</w:t>
        </w:r>
        <w:r>
          <w:rPr>
            <w:rFonts w:ascii="Times New Roman" w:hAnsi="Times New Roman"/>
            <w:b w:val="false"/>
            <w:i/>
            <w:color w:val="000000"/>
            <w:sz w:val="22"/>
          </w:rPr>
          <w:t>“c,”</w:t>
        </w:r>
      </w:hyperlink>
      <w:r>
        <w:rPr>
          <w:rFonts w:ascii="Times New Roman" w:hAnsi="Times New Roman"/>
          <w:b w:val="false"/>
          <w:i w:val="false"/>
          <w:color w:val="000000"/>
          <w:sz w:val="22"/>
        </w:rPr>
        <w:t xml:space="preserv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Deliver within 120 days of the end of its fiscal year a free, updated brochure and related brochure supplements which include or are accompanied by a summary of material changes;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Deliver a summary of material changes that includes an offer to provide a copy of the updated brochures and supplements and information on how the client may obtain a copy of the brochures and supplements, provided that advisers are not required to deliver a summary of material changes if no material changes have taken place since the last summary and brochure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Exceptions to delivery. </w:t>
      </w:r>
      <w:r>
        <w:rPr>
          <w:rFonts w:ascii="Times New Roman" w:hAnsi="Times New Roman"/>
          <w:b w:val="false"/>
          <w:i w:val="false"/>
          <w:color w:val="000000"/>
          <w:sz w:val="22"/>
        </w:rPr>
        <w:t xml:space="preserve">Delivery of the brochure and related brochure supplements required by paragraphs </w:t>
      </w:r>
      <w:hyperlink r:id="rId150">
        <w:r>
          <w:rPr>
            <w:rStyle w:val="Hyperlink"/>
            <w:rFonts w:ascii="Times New Roman" w:hAnsi="Times New Roman"/>
            <w:b w:val="false"/>
            <w:i w:val="false"/>
            <w:color w:val="000000"/>
            <w:sz w:val="22"/>
          </w:rPr>
          <w:t>50.36(2)</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hyperlink>
      <w:r>
        <w:rPr>
          <w:rFonts w:ascii="Times New Roman" w:hAnsi="Times New Roman"/>
          <w:b w:val="false"/>
          <w:i w:val="false"/>
          <w:color w:val="000000"/>
          <w:sz w:val="22"/>
        </w:rPr>
        <w:t xml:space="preserve"> need not be made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Clients who receive only impersonal advice and who pay less than $500 in fees per year;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investment company registered under the Investment Company Act of 1940;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business development company as defined in the Investment Company Act of 1940 and whose advisory contract meets the requirements of Section 15c of that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Electronic delivery. </w:t>
      </w:r>
      <w:r>
        <w:rPr>
          <w:rFonts w:ascii="Times New Roman" w:hAnsi="Times New Roman"/>
          <w:b w:val="false"/>
          <w:i w:val="false"/>
          <w:color w:val="000000"/>
          <w:sz w:val="22"/>
        </w:rPr>
        <w:t>Delivery of the brochure and related supplements may be made electronically if the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an initial delivery to a potential client, obtains verification that readable copies of the brochure and supplements were received by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other than initial deliveries, obtains each client’s prior consent to provide the brochure and supplements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Prepares the electronically delivered brochure and supplements in the format prescribed in subrule </w:t>
      </w:r>
      <w:hyperlink r:id="rId151">
        <w:r>
          <w:rPr>
            <w:rStyle w:val="Hyperlink"/>
            <w:rFonts w:ascii="Times New Roman" w:hAnsi="Times New Roman"/>
            <w:b w:val="false"/>
            <w:i w:val="false"/>
            <w:color w:val="000000"/>
            <w:sz w:val="22"/>
          </w:rPr>
          <w:t>50.36(1)</w:t>
        </w:r>
      </w:hyperlink>
      <w:r>
        <w:rPr>
          <w:rFonts w:ascii="Times New Roman" w:hAnsi="Times New Roman"/>
          <w:b w:val="false"/>
          <w:i w:val="false"/>
          <w:color w:val="000000"/>
          <w:sz w:val="22"/>
        </w:rPr>
        <w:t xml:space="preserve"> and Instructions to Form ADV Part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Delivers the brochure and supplements in a format that can be retained by the client in either electronic or paper form;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Establishes procedures to supervise personnel transmitting the brochure and supplements and to prevent violations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50.36(3)</w:t>
      </w:r>
      <w:r>
        <w:rPr>
          <w:rFonts w:ascii="Times New Roman" w:hAnsi="Times New Roman"/>
          <w:b w:val="false"/>
          <w:i w:val="false"/>
          <w:color w:val="000000"/>
          <w:sz w:val="22"/>
        </w:rPr>
        <w:t> </w:t>
      </w:r>
      <w:r>
        <w:rPr>
          <w:rFonts w:ascii="Times New Roman" w:hAnsi="Times New Roman"/>
          <w:b w:val="false"/>
          <w:i/>
          <w:color w:val="000000"/>
          <w:sz w:val="22"/>
        </w:rPr>
        <w:t xml:space="preserve">Other disclosures. </w:t>
      </w:r>
      <w:r>
        <w:rPr>
          <w:rFonts w:ascii="Times New Roman" w:hAnsi="Times New Roman"/>
          <w:b w:val="false"/>
          <w:i w:val="false"/>
          <w:color w:val="000000"/>
          <w:sz w:val="22"/>
        </w:rPr>
        <w:t>Nothing in this rule shall relieve any investment adviser from any obligation pursuant to any provision of the Act or the rules thereunder or other federal or state law to disclose any information to its advisory clients or prospective advisory clients not specifically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50.36(4)</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“Contract for impersonal advisory services” </w:t>
      </w:r>
      <w:r>
        <w:rPr>
          <w:rFonts w:ascii="Times New Roman" w:hAnsi="Times New Roman"/>
          <w:b w:val="false"/>
          <w:i w:val="false"/>
          <w:color w:val="000000"/>
          <w:sz w:val="22"/>
        </w:rPr>
        <w:t>means any contract relating solely to the provision of investment advisory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By means of written material or oral statements which do not purport to meet the objectives or needs of specific individuals or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Through the issuance of statistical information containing no expression of opinion as to the investment merits of a particular security;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combination of the foregoing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“Entering into,” </w:t>
      </w:r>
      <w:r>
        <w:rPr>
          <w:rFonts w:ascii="Times New Roman" w:hAnsi="Times New Roman"/>
          <w:b w:val="false"/>
          <w:i w:val="false"/>
          <w:color w:val="000000"/>
          <w:sz w:val="22"/>
        </w:rPr>
        <w:t>in reference to an advisory contract, does not include an extension or renewal without material change of any such contract which is in effect immediately prior to such extension or renewal.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2">
        <w:r>
          <w:rPr>
            <w:rStyle w:val="Hyperlink"/>
            <w:rFonts w:ascii="Times New Roman" w:hAnsi="Times New Roman"/>
            <w:b w:val="false"/>
            <w:i w:val="false"/>
            <w:color w:val="000000"/>
            <w:sz w:val="22"/>
          </w:rPr>
          <w:t>502.411(7)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191—50.37</w:t>
      </w:r>
      <w:r>
        <w:rPr>
          <w:rFonts w:ascii="Times New Roman" w:hAnsi="Times New Roman"/>
          <w:b/>
          <w:i w:val="false"/>
          <w:color w:val="000000"/>
          <w:sz w:val="22"/>
        </w:rPr>
        <w:t xml:space="preserve">(502) </w:t>
      </w:r>
      <w:r>
        <w:rPr>
          <w:rFonts w:ascii="Times New Roman" w:hAnsi="Times New Roman"/>
          <w:b/>
          <w:i w:val="false"/>
          <w:color w:val="000000"/>
          <w:sz w:val="22"/>
        </w:rPr>
        <w:t xml:space="preserve">Cash solicitation.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50.37(1)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a cash fee, directly or indirectly, by an investment adviser to a solicitor for solicitation activities shall constitute an act, practice, or course of conduct operating as a fraud or deceit upon a person, pursuant to Iowa Code section </w:t>
      </w:r>
      <w:hyperlink r:id="rId153">
        <w:r>
          <w:rPr>
            <w:rStyle w:val="Hyperlink"/>
            <w:rFonts w:ascii="Times New Roman" w:hAnsi="Times New Roman"/>
            <w:b w:val="false"/>
            <w:i w:val="false"/>
            <w:color w:val="000000"/>
            <w:sz w:val="22"/>
          </w:rPr>
          <w:t>502.502(2)</w:t>
        </w:r>
      </w:hyperlink>
      <w:r>
        <w:rPr>
          <w:rFonts w:ascii="Times New Roman" w:hAnsi="Times New Roman"/>
          <w:b w:val="false"/>
          <w:i w:val="false"/>
          <w:color w:val="000000"/>
          <w:sz w:val="22"/>
        </w:rPr>
        <w: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solicitor: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Is subject to an order issued by the administrator pursuant to Iowa Code section </w:t>
      </w:r>
      <w:hyperlink r:id="rId154">
        <w:r>
          <w:rPr>
            <w:rStyle w:val="Hyperlink"/>
            <w:rFonts w:ascii="Times New Roman" w:hAnsi="Times New Roman"/>
            <w:b w:val="false"/>
            <w:i w:val="false"/>
            <w:color w:val="000000"/>
            <w:sz w:val="22"/>
          </w:rPr>
          <w:t>502.412(4)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Has been convicted of a felony or within the previous ten years has been convicted of a misdemeanor involving conduct described in Iowa Code section </w:t>
      </w:r>
      <w:hyperlink r:id="rId155">
        <w:r>
          <w:rPr>
            <w:rStyle w:val="Hyperlink"/>
            <w:rFonts w:ascii="Times New Roman" w:hAnsi="Times New Roman"/>
            <w:b w:val="false"/>
            <w:i w:val="false"/>
            <w:color w:val="000000"/>
            <w:sz w:val="22"/>
          </w:rPr>
          <w:t>502.412(4)</w:t>
        </w:r>
      </w:hyperlink>
      <w:r>
        <w:rPr>
          <w:rFonts w:ascii="Times New Roman" w:hAnsi="Times New Roman"/>
          <w:b w:val="false"/>
          <w:i/>
          <w:color w:val="000000"/>
          <w:sz w:val="22"/>
        </w:rPr>
        <w:t>“c”</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Is found by the administrator to have engaged or has been convicted of engaging in any of the conduct specified in Iowa Code section </w:t>
      </w:r>
      <w:hyperlink r:id="rId156">
        <w:r>
          <w:rPr>
            <w:rStyle w:val="Hyperlink"/>
            <w:rFonts w:ascii="Times New Roman" w:hAnsi="Times New Roman"/>
            <w:b w:val="false"/>
            <w:i w:val="false"/>
            <w:color w:val="000000"/>
            <w:sz w:val="22"/>
          </w:rPr>
          <w:t>502.505</w:t>
        </w:r>
      </w:hyperlink>
      <w:r>
        <w:rPr>
          <w:rFonts w:ascii="Times New Roman" w:hAnsi="Times New Roman"/>
          <w:b w:val="false"/>
          <w:i w:val="false"/>
          <w:color w:val="000000"/>
          <w:sz w:val="22"/>
        </w:rPr>
        <w:t xml:space="preserve">, </w:t>
      </w:r>
      <w:hyperlink r:id="rId157">
        <w:r>
          <w:rPr>
            <w:rStyle w:val="Hyperlink"/>
            <w:rFonts w:ascii="Times New Roman" w:hAnsi="Times New Roman"/>
            <w:b w:val="false"/>
            <w:i w:val="false"/>
            <w:color w:val="000000"/>
            <w:sz w:val="22"/>
          </w:rPr>
          <w:t>502.412(4)</w:t>
        </w:r>
        <w:r>
          <w:rPr>
            <w:rFonts w:ascii="Times New Roman" w:hAnsi="Times New Roman"/>
            <w:b w:val="false"/>
            <w:i/>
            <w:color w:val="000000"/>
            <w:sz w:val="22"/>
          </w:rPr>
          <w:t>“b”</w:t>
        </w:r>
      </w:hyperlink>
      <w:r>
        <w:rPr>
          <w:rFonts w:ascii="Times New Roman" w:hAnsi="Times New Roman"/>
          <w:b w:val="false"/>
          <w:i w:val="false"/>
          <w:color w:val="000000"/>
          <w:sz w:val="22"/>
        </w:rPr>
        <w:t xml:space="preserve"> or </w:t>
      </w:r>
      <w:hyperlink r:id="rId158">
        <w:r>
          <w:rPr>
            <w:rStyle w:val="Hyperlink"/>
            <w:rFonts w:ascii="Times New Roman" w:hAnsi="Times New Roman"/>
            <w:b w:val="false"/>
            <w:i w:val="false"/>
            <w:color w:val="000000"/>
            <w:sz w:val="22"/>
          </w:rPr>
          <w:t>502.412(4)</w:t>
        </w:r>
        <w:r>
          <w:rPr>
            <w:rFonts w:ascii="Times New Roman" w:hAnsi="Times New Roman"/>
            <w:b w:val="false"/>
            <w:i/>
            <w:color w:val="000000"/>
            <w:sz w:val="22"/>
          </w:rPr>
          <w:t>“i”</w:t>
        </w:r>
      </w:hyperlink>
      <w:r>
        <w:rPr>
          <w:rFonts w:ascii="Times New Roman" w:hAnsi="Times New Roman"/>
          <w:b w:val="false"/>
          <w:i w:val="false"/>
          <w:color w:val="000000"/>
          <w:sz w:val="22"/>
        </w:rPr>
        <w:t xml:space="preserve">; has materially aided in violating Iowa Code section </w:t>
      </w:r>
      <w:hyperlink r:id="rId159">
        <w:r>
          <w:rPr>
            <w:rStyle w:val="Hyperlink"/>
            <w:rFonts w:ascii="Times New Roman" w:hAnsi="Times New Roman"/>
            <w:b w:val="false"/>
            <w:i w:val="false"/>
            <w:color w:val="000000"/>
            <w:sz w:val="22"/>
          </w:rPr>
          <w:t>502.412(4)</w:t>
        </w:r>
      </w:hyperlink>
      <w:r>
        <w:rPr>
          <w:rFonts w:ascii="Times New Roman" w:hAnsi="Times New Roman"/>
          <w:b w:val="false"/>
          <w:i/>
          <w:color w:val="000000"/>
          <w:sz w:val="22"/>
        </w:rPr>
        <w:t>“d”</w:t>
      </w:r>
      <w:r>
        <w:rPr>
          <w:rFonts w:ascii="Times New Roman" w:hAnsi="Times New Roman"/>
          <w:b w:val="false"/>
          <w:i w:val="false"/>
          <w:color w:val="000000"/>
          <w:sz w:val="22"/>
        </w:rPr>
        <w:t xml:space="preserve">; or is subject to an order, judgment, or decree pursuant to Iowa Code section </w:t>
      </w:r>
      <w:hyperlink r:id="rId160">
        <w:r>
          <w:rPr>
            <w:rStyle w:val="Hyperlink"/>
            <w:rFonts w:ascii="Times New Roman" w:hAnsi="Times New Roman"/>
            <w:b w:val="false"/>
            <w:i w:val="false"/>
            <w:color w:val="000000"/>
            <w:sz w:val="22"/>
          </w:rPr>
          <w:t>502.412(4)</w:t>
        </w:r>
      </w:hyperlink>
      <w:r>
        <w:rPr>
          <w:rFonts w:ascii="Times New Roman" w:hAnsi="Times New Roman"/>
          <w:b w:val="false"/>
          <w:i/>
          <w:color w:val="000000"/>
          <w:sz w:val="22"/>
        </w:rPr>
        <w:t>“d”</w:t>
      </w:r>
      <w:r>
        <w:rPr>
          <w:rFonts w:ascii="Times New Roman" w:hAnsi="Times New Roman"/>
          <w:b w:val="false"/>
          <w:i w:val="false"/>
          <w:color w:val="000000"/>
          <w:sz w:val="22"/>
        </w:rPr>
        <w:t xml:space="preserve"> to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cash fee is not paid pursuant to a written agreement to which the investment adviser is a party. If the cash fee is paid pursuant to a written agreement, the written agreement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Describe the solicitation activities to be engaged in by the solicitor on behalf of the investment adviser and the compensation to be received for the solicitation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an undertaking by the solicitor to perform the solicitor’s duties under the agreement in a manner consistent with the instructions of the investment adviser and the provisions of the Act and its implementing rules, as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 that the solicitor, at the time of any solicitation activities for which compensation is paid or is to be paid by the investment adviser, provide the client with a current copy of the investment adviser’s written disclosure statement required by subparagraph </w:t>
      </w:r>
      <w:hyperlink r:id="rId161">
        <w:r>
          <w:rPr>
            <w:rStyle w:val="Hyperlink"/>
            <w:rFonts w:ascii="Times New Roman" w:hAnsi="Times New Roman"/>
            <w:b w:val="false"/>
            <w:i w:val="false"/>
            <w:color w:val="000000"/>
            <w:sz w:val="22"/>
          </w:rPr>
          <w:t>50.36(2)</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or SEC Rule 204-3, if applicable, and a separate written disclosure statement as described in subrule </w:t>
      </w:r>
      <w:hyperlink r:id="rId162">
        <w:r>
          <w:rPr>
            <w:rStyle w:val="Hyperlink"/>
            <w:rFonts w:ascii="Times New Roman" w:hAnsi="Times New Roman"/>
            <w:b w:val="false"/>
            <w:i w:val="false"/>
            <w:color w:val="000000"/>
            <w:sz w:val="22"/>
          </w:rPr>
          <w:t>50.37(2)</w:t>
        </w:r>
      </w:hyperlink>
      <w:r>
        <w:rPr>
          <w:rFonts w:ascii="Times New Roman" w:hAnsi="Times New Roman"/>
          <w:b w:val="false"/>
          <w:i w:val="false"/>
          <w:color w:val="000000"/>
          <w:sz w:val="22"/>
        </w:rPr>
        <w:t>. Prior to or upon entering into a written or oral investment advisory contract with a client, the investment adviser shall obtain a signed and dated acknowledgment of receipt by the client of the investment adviser’s and solicitor’s written disclosure statements. Additionally, the investment adviser shall make a bona fide effort to ascertain whether the solicitor has complied in all aspects with the written agreement, and shall have a reasonable basis for believing that the solicitor has complied.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cash fee is paid to a solicitor: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solicitation activities regarding anything other than impersonal advisory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Who is a partner, officer, director, or employee of the investment adviser or is a partner, officer, director, or employee of a person who controls, is controlled by, or is under common control with the investment adviser without disclosure of the status of the solicitor as a partner, officer, director, or employee of the investment adviser or other person and of any affiliation between the investment adviser and the solicitor to the client at the time of solicitation or referral.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separate written disclosure statement required to be furnished pursuant to subparagraph </w:t>
      </w:r>
      <w:hyperlink r:id="rId163">
        <w:r>
          <w:rPr>
            <w:rStyle w:val="Hyperlink"/>
            <w:rFonts w:ascii="Times New Roman" w:hAnsi="Times New Roman"/>
            <w:b w:val="false"/>
            <w:i w:val="false"/>
            <w:color w:val="000000"/>
            <w:sz w:val="22"/>
          </w:rPr>
          <w:t>50.37(1)</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solicitor;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nature of the relationship, including any affiliation, between the solicitor and the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the solicitor will be compensated for the solicitor’s solicitation services by the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terms of such compensation arrangement, including a description of the compensation paid or to be paid to the solicitor;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amount, if any, the client will be charged for the cost of obtaining the client’s account in addition to the advisory fee, and the differential, if any, in advisory fees charged by the investment adviser if the differential is the result of the investment adviser’s agreement to compensate the solicitor for soliciting or referring clients.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50.37(3)</w:t>
      </w:r>
      <w:r>
        <w:rPr>
          <w:rFonts w:ascii="Times New Roman" w:hAnsi="Times New Roman"/>
          <w:b w:val="false"/>
          <w:i w:val="false"/>
          <w:color w:val="000000"/>
          <w:sz w:val="22"/>
        </w:rPr>
        <w:t> </w:t>
      </w:r>
      <w:r>
        <w:rPr>
          <w:rFonts w:ascii="Times New Roman" w:hAnsi="Times New Roman"/>
          <w:b w:val="false"/>
          <w:i w:val="false"/>
          <w:color w:val="000000"/>
          <w:sz w:val="22"/>
        </w:rPr>
        <w:t>Nothing in this rule relieves any person of any fiduciary duty or other obligation to which the person may be subject pursuant to contract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50.37(4)</w:t>
      </w:r>
      <w:r>
        <w:rPr>
          <w:rFonts w:ascii="Times New Roman" w:hAnsi="Times New Roman"/>
          <w:b w:val="false"/>
          <w:i w:val="false"/>
          <w:color w:val="000000"/>
          <w:sz w:val="22"/>
        </w:rPr>
        <w:t> </w:t>
      </w:r>
      <w:r>
        <w:rPr>
          <w:rFonts w:ascii="Times New Roman" w:hAnsi="Times New Roman"/>
          <w:b w:val="false"/>
          <w:i w:val="false"/>
          <w:color w:val="000000"/>
          <w:sz w:val="22"/>
        </w:rPr>
        <w:t>For the purpose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includes any prospective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“Impersonal advisory services” </w:t>
      </w:r>
      <w:r>
        <w:rPr>
          <w:rFonts w:ascii="Times New Roman" w:hAnsi="Times New Roman"/>
          <w:b w:val="false"/>
          <w:i w:val="false"/>
          <w:color w:val="000000"/>
          <w:sz w:val="22"/>
        </w:rPr>
        <w:t>means investment advisory services provided solely through written materials or oral statements not purporting to meet the objectives or needs of the specific client, statistical information containing no expressions of opinion as to the investment merits of particular securities, or any combination of the foregoing.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“Principal place of business” </w:t>
      </w:r>
      <w:r>
        <w:rPr>
          <w:rFonts w:ascii="Times New Roman" w:hAnsi="Times New Roman"/>
          <w:b w:val="false"/>
          <w:i w:val="false"/>
          <w:color w:val="000000"/>
          <w:sz w:val="22"/>
        </w:rPr>
        <w:t>of an investment adviser means the executive office of the investment adviser from which the officers, partners, or managers of the investment adviser direct, control, and coordinate the activities of the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“Solicitor” </w:t>
      </w:r>
      <w:r>
        <w:rPr>
          <w:rFonts w:ascii="Times New Roman" w:hAnsi="Times New Roman"/>
          <w:b w:val="false"/>
          <w:i w:val="false"/>
          <w:color w:val="000000"/>
          <w:sz w:val="22"/>
        </w:rPr>
        <w:t>means any person who, directly or indirectly, solicits any client for or refers any client to an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50.37(5)</w:t>
      </w:r>
      <w:r>
        <w:rPr>
          <w:rFonts w:ascii="Times New Roman" w:hAnsi="Times New Roman"/>
          <w:b w:val="false"/>
          <w:i w:val="false"/>
          <w:color w:val="000000"/>
          <w:sz w:val="22"/>
        </w:rPr>
        <w:t> </w:t>
      </w:r>
      <w:r>
        <w:rPr>
          <w:rFonts w:ascii="Times New Roman" w:hAnsi="Times New Roman"/>
          <w:b w:val="false"/>
          <w:i w:val="false"/>
          <w:color w:val="000000"/>
          <w:sz w:val="22"/>
        </w:rPr>
        <w:t xml:space="preserve">An investment adviser shall retain a copy of each written agreement, acknowledgment and solicitor disclosure statement required by this rule in accordance with Iowa Code section </w:t>
      </w:r>
      <w:hyperlink r:id="rId164">
        <w:r>
          <w:rPr>
            <w:rStyle w:val="Hyperlink"/>
            <w:rFonts w:ascii="Times New Roman" w:hAnsi="Times New Roman"/>
            <w:b w:val="false"/>
            <w:i w:val="false"/>
            <w:color w:val="000000"/>
            <w:sz w:val="22"/>
          </w:rPr>
          <w:t>502.411(3)</w:t>
        </w:r>
      </w:hyperlink>
      <w:r>
        <w:rPr>
          <w:rFonts w:ascii="Times New Roman" w:hAnsi="Times New Roman"/>
          <w:b w:val="false"/>
          <w:i w:val="false"/>
          <w:color w:val="000000"/>
          <w:sz w:val="22"/>
        </w:rPr>
        <w:t xml:space="preserve"> and paragraph </w:t>
      </w:r>
      <w:hyperlink r:id="rId165">
        <w:r>
          <w:rPr>
            <w:rStyle w:val="Hyperlink"/>
            <w:rFonts w:ascii="Times New Roman" w:hAnsi="Times New Roman"/>
            <w:b w:val="false"/>
            <w:i w:val="false"/>
            <w:color w:val="000000"/>
            <w:sz w:val="22"/>
          </w:rPr>
          <w:t>50.42(1)</w:t>
        </w:r>
        <w:r>
          <w:rPr>
            <w:rFonts w:ascii="Times New Roman" w:hAnsi="Times New Roman"/>
            <w:b w:val="false"/>
            <w:i/>
            <w:color w:val="000000"/>
            <w:sz w:val="22"/>
          </w:rPr>
          <w:t>“o.”</w:t>
        </w:r>
      </w:hyperlink>
      <w:r>
        <w:rPr>
          <w:rFonts w:ascii="Times New Roman" w:hAnsi="Times New Roman"/>
          <w:b w:val="false"/>
          <w:i w:val="false"/>
          <w:color w:val="000000"/>
          <w:sz w:val="22"/>
        </w:rPr>
        <w:t xml:space="preserve"> However, an investment adviser registered in Iowa whose principal place of business is located outside Iowa shall not be subject to the record maintenance requirements of this subrule and the applicable provisions of paragraph </w:t>
      </w:r>
      <w:hyperlink r:id="rId166">
        <w:r>
          <w:rPr>
            <w:rStyle w:val="Hyperlink"/>
            <w:rFonts w:ascii="Times New Roman" w:hAnsi="Times New Roman"/>
            <w:b w:val="false"/>
            <w:i w:val="false"/>
            <w:color w:val="000000"/>
            <w:sz w:val="22"/>
          </w:rPr>
          <w:t>50.42(1)</w:t>
        </w:r>
        <w:r>
          <w:rPr>
            <w:rFonts w:ascii="Times New Roman" w:hAnsi="Times New Roman"/>
            <w:b w:val="false"/>
            <w:i/>
            <w:color w:val="000000"/>
            <w:sz w:val="22"/>
          </w:rPr>
          <w:t>“o”</w:t>
        </w:r>
      </w:hyperlink>
      <w:r>
        <w:rPr>
          <w:rFonts w:ascii="Times New Roman" w:hAnsi="Times New Roman"/>
          <w:b w:val="false"/>
          <w:i w:val="false"/>
          <w:color w:val="000000"/>
          <w:sz w:val="22"/>
        </w:rPr>
        <w:t xml:space="preserv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investment adviser is registered or licensed as an investment adviser in the state in which the investment adviser maintains the investment adviser’s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investment adviser complies with the applicable books and records requirements of the state in which the investment adviser maintains the investment adviser’s principal place of business;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rule would require the investment adviser to maintain books or records in addition to those required by the laws of the state in which the investment adviser maintains the investment adviser’s principal place of business.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7">
        <w:r>
          <w:rPr>
            <w:rStyle w:val="Hyperlink"/>
            <w:rFonts w:ascii="Times New Roman" w:hAnsi="Times New Roman"/>
            <w:b w:val="false"/>
            <w:i w:val="false"/>
            <w:color w:val="000000"/>
            <w:sz w:val="22"/>
          </w:rPr>
          <w:t>502.502(2)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191—50.38</w:t>
      </w:r>
      <w:r>
        <w:rPr>
          <w:rFonts w:ascii="Times New Roman" w:hAnsi="Times New Roman"/>
          <w:b/>
          <w:i w:val="false"/>
          <w:color w:val="000000"/>
          <w:sz w:val="22"/>
        </w:rPr>
        <w:t xml:space="preserve">(502) </w:t>
      </w:r>
      <w:r>
        <w:rPr>
          <w:rFonts w:ascii="Times New Roman" w:hAnsi="Times New Roman"/>
          <w:b/>
          <w:i w:val="false"/>
          <w:color w:val="000000"/>
          <w:sz w:val="22"/>
        </w:rPr>
        <w:t xml:space="preserve">Prohibited conduct in providing investment advice.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50.38(1)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investment adviser, an investment adviser representative, or a federal covered investment adviser is a fiduciary and has a duty to act primarily for the benefit of its clients. Rule </w:t>
      </w:r>
      <w:hyperlink r:id="rId168">
        <w:r>
          <w:rPr>
            <w:rStyle w:val="Hyperlink"/>
            <w:rFonts w:ascii="Times New Roman" w:hAnsi="Times New Roman"/>
            <w:b w:val="false"/>
            <w:i w:val="false"/>
            <w:color w:val="000000"/>
            <w:sz w:val="22"/>
          </w:rPr>
          <w:t>191—50.38</w:t>
        </w:r>
      </w:hyperlink>
      <w:r>
        <w:rPr>
          <w:rFonts w:ascii="Times New Roman" w:hAnsi="Times New Roman"/>
          <w:b w:val="false"/>
          <w:i w:val="false"/>
          <w:color w:val="000000"/>
          <w:sz w:val="22"/>
        </w:rPr>
        <w:t>(502) applies to federal covered investment advisers to the extent that the alleged conduct is fraudulent, deceptive, or as otherwise permitted by the NSMIA. While the extent and nature of this duty varies according to the nature of the relationship between an investment adviser, an investment adviser representative, or a federal covered investment adviser and its clients and the circumstances of each case, an investment adviser, an investment adviser representative, or a federal covered investment adviser shall not engage in prohibited fraudulent, deceptive, or manipulative conduct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Recommending to a client to whom investment advisory services are provided the purchase, sale, or exchange of any security without reasonable grounds to believe that the recommendation is suitable for the client on the basis of information furnished by the client after reasonable inquiry concerning the client’s investment objectives, financial situation and needs, and any other information known by the investment adviser, investment adviser representative, or federal covered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Exercising any discretionary authority in placing an order for the purchase or sale of securities for a client without obtaining written discretionary authority from the client within ten business days after the date of the first transaction placed pursuant to discretionary authority, unless the discretionary authority relates solely to the price at which, or the time when, an order for a definite amount of a specified security shall be executed,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Inducing trading in a client’s account that is excessive in size or frequency compared to the financial resources, investment objectives, and character of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Placing an order to purchase or sell a security for a client account without authority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Placing an order to purchase or sell a security for a client account upon instruction of a third party without first obtaining a written third-party trading authorization from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Borrowing money or securities from a client unless the client is a broker-dealer, an affiliate of the investment adviser, or a financial institution engaged in the business of loaning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Loaning money or securities to a client unless the investment adviser is a financial institution engaged in the business of loaning funds or the client is an affiliate of the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Misrepresenting to any client, or prospective client, the qualifications of the investment adviser, investment adviser representative, or federal covered investment adviser or any employee, or affiliated persons, or misrepresenting the nature of the advisory services being offered or fees to be charged for such service, or omitting to state a material fact necessary to make the statements made regarding qualifications, services or fees, in light of the circumstances under which they are made, not misleading;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Providing a report or recommendation to any advisory client prepared by someone other than the investment adviser, investment adviser representative, or federal covered investment adviser without disclosing that fact. This prohibition does not apply when the investment adviser, investment adviser representative, or federal covered investment adviser uses published research reports or statistical analyses to render advice or when an investment adviser, investment adviser representative, or federal covered investment adviser orders such a report in the normal course of providing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Charging a client an unreasonable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Failing to disclose to clients in writing before any advice is rendered any material conflict of interest regarding the investment adviser, investment adviser representative, or federal covered investment adviser or any of its employees, or affiliated persons which could reasonably be expected to impair the rendering of unbiased and objective advice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Compensation arrangements connected with investment advisory services to clients which are in addition to compensation from such clients for such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Charging a client an investment advisory fee for rendering advice when compensation for effecting securities transactions pursuant to such advice will be received by the investment adviser, investment adviser representative, or federal covered investment adviser or its employees or affiliated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Knowingly selling any security to or purchasing any security from a client while acting as principal for an advisory account of the investment adviser, investment adviser representative, or federal covered investment adviser, or knowingly effecting any sale or purchase of any security for the account of the client while acting as broker-dealer for a person other than the client, without disclosing to the client in writing before the completion of the transaction the capacity in which the investment adviser, investment adviser representative, or federal covered investment adviser is acting and without obtaining the written consent of the client to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prohibitions of paragraph </w:t>
      </w:r>
      <w:hyperlink r:id="rId169">
        <w:r>
          <w:rPr>
            <w:rStyle w:val="Hyperlink"/>
            <w:rFonts w:ascii="Times New Roman" w:hAnsi="Times New Roman"/>
            <w:b w:val="false"/>
            <w:i w:val="false"/>
            <w:color w:val="000000"/>
            <w:sz w:val="22"/>
          </w:rPr>
          <w:t>50.38(1)</w:t>
        </w:r>
        <w:r>
          <w:rPr>
            <w:rFonts w:ascii="Times New Roman" w:hAnsi="Times New Roman"/>
            <w:b w:val="false"/>
            <w:i/>
            <w:color w:val="000000"/>
            <w:sz w:val="22"/>
          </w:rPr>
          <w:t>“l”</w:t>
        </w:r>
      </w:hyperlink>
      <w:r>
        <w:rPr>
          <w:rFonts w:ascii="Times New Roman" w:hAnsi="Times New Roman"/>
          <w:b w:val="false"/>
          <w:i w:val="false"/>
          <w:color w:val="000000"/>
          <w:sz w:val="22"/>
        </w:rPr>
        <w:t xml:space="preserve"> shall not apply to any transaction with a customer of a broker-dealer if the broker-dealer is not acting as an investment adviser in relation to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prohibitions of paragraph </w:t>
      </w:r>
      <w:hyperlink r:id="rId170">
        <w:r>
          <w:rPr>
            <w:rStyle w:val="Hyperlink"/>
            <w:rFonts w:ascii="Times New Roman" w:hAnsi="Times New Roman"/>
            <w:b w:val="false"/>
            <w:i w:val="false"/>
            <w:color w:val="000000"/>
            <w:sz w:val="22"/>
          </w:rPr>
          <w:t>50.38(1)</w:t>
        </w:r>
        <w:r>
          <w:rPr>
            <w:rFonts w:ascii="Times New Roman" w:hAnsi="Times New Roman"/>
            <w:b w:val="false"/>
            <w:i/>
            <w:color w:val="000000"/>
            <w:sz w:val="22"/>
          </w:rPr>
          <w:t>“l”</w:t>
        </w:r>
      </w:hyperlink>
      <w:r>
        <w:rPr>
          <w:rFonts w:ascii="Times New Roman" w:hAnsi="Times New Roman"/>
          <w:b w:val="false"/>
          <w:i w:val="false"/>
          <w:color w:val="000000"/>
          <w:sz w:val="22"/>
        </w:rPr>
        <w:t xml:space="preserve"> shall not apply to any transaction with a customer of a broker-dealer if the broker-dealer acts solely as an investment adviser: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By means of publicly distributed written materials or publicly made oral statements;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means of written materials or oral statements not purporting to meet the objectives or needs of specific individuals or accounts;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Through the issuance of statistical information containing no expressions of opinion as to the investment merits of a particular security;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combination of the foregoing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Publicly distributed written materials or publicly made oral statements shall disclose that, if the purchaser of the advisory communication uses the investment adviser’s services in connection with the sale or purchase of a security which is a subject of the communication, the investment adviser may act as principal for its own account or as agent for another person. Compliance by the investment adviser with the foregoing disclosure requirement shall not relieve the investment adviser of any other disclosure obligations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Definitions for purposes of rule </w:t>
      </w:r>
      <w:hyperlink r:id="rId171">
        <w:r>
          <w:rPr>
            <w:rStyle w:val="Hyperlink"/>
            <w:rFonts w:ascii="Times New Roman" w:hAnsi="Times New Roman"/>
            <w:b w:val="false"/>
            <w:i w:val="false"/>
            <w:color w:val="000000"/>
            <w:sz w:val="22"/>
          </w:rPr>
          <w:t>191—50.38</w:t>
        </w:r>
      </w:hyperlink>
      <w:r>
        <w:rPr>
          <w:rFonts w:ascii="Times New Roman" w:hAnsi="Times New Roman"/>
          <w:b w:val="false"/>
          <w:i w:val="false"/>
          <w:color w:val="000000"/>
          <w:sz w:val="22"/>
        </w:rPr>
        <w:t>(502):</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color w:val="000000"/>
          <w:sz w:val="22"/>
        </w:rPr>
        <w:t>“Publicly distributed written materials”</w:t>
      </w:r>
      <w:r>
        <w:rPr>
          <w:rFonts w:ascii="Times New Roman" w:hAnsi="Times New Roman"/>
          <w:b w:val="false"/>
          <w:i w:val="false"/>
          <w:color w:val="000000"/>
          <w:sz w:val="22"/>
        </w:rPr>
        <w:t xml:space="preserve"> means written materials which are distributed to 35 or more persons who pay for those materials.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color w:val="000000"/>
          <w:sz w:val="22"/>
        </w:rPr>
        <w:t>“Publicly made oral statements”</w:t>
      </w:r>
      <w:r>
        <w:rPr>
          <w:rFonts w:ascii="Times New Roman" w:hAnsi="Times New Roman"/>
          <w:b w:val="false"/>
          <w:i w:val="false"/>
          <w:color w:val="000000"/>
          <w:sz w:val="22"/>
        </w:rPr>
        <w:t xml:space="preserve"> means oral statements made simultaneously to 35 or more persons who pay for access to those statements.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Guaranteeing a client that a specific result will be achieved with advice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Making, in the solicitation of clients, any untrue statement of a material fact, or omitting to state a material fact necessary in order to make the statement made, in light of the circumstances under which they are made, not misleading;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Disclosing the identity, affairs, or investments of any client unless required by law to do so, or unless disclosed with the client’s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Taking any action, directly or indirectly, regarding securities or funds in which any client has any beneficial interest when the investment adviser has custody or possession of such securities or funds and when the action of the investment adviser or investment adviser representative is subject to and in violation of the custody requirements provided by rule </w:t>
      </w:r>
      <w:hyperlink r:id="rId172">
        <w:r>
          <w:rPr>
            <w:rStyle w:val="Hyperlink"/>
            <w:rFonts w:ascii="Times New Roman" w:hAnsi="Times New Roman"/>
            <w:b w:val="false"/>
            <w:i w:val="false"/>
            <w:color w:val="000000"/>
            <w:sz w:val="22"/>
          </w:rPr>
          <w:t>191—50.39</w:t>
        </w:r>
      </w:hyperlink>
      <w:r>
        <w:rPr>
          <w:rFonts w:ascii="Times New Roman" w:hAnsi="Times New Roman"/>
          <w:b w:val="false"/>
          <w:i w:val="false"/>
          <w:color w:val="000000"/>
          <w:sz w:val="22"/>
        </w:rPr>
        <w:t>(502);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Failing to establish, maintain, and enforce written policies and procedures reasonably designed to prevent the misuse of material nonpublic information in violation of Section 204A of the Investment Advisers Act of 1940;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Engaging in any act, practice, or course of business which is fraudulent, deceptive, manipulative, or unethical;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Engaging in conduct or any act, indirectly or through or by any other person, which is unlawful for such person to do directly under the provisions of this Act, its implementing rules, or order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Failing to disclose or providing incomplete disclosure to a client regarding any securities-related activities, or engaging in deceptive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Soliciting or accepting a gift, directly or indirectly, from an unrelated customer that in the aggregate exceeds $250 in a calendar year. A gift accepted by an immediate family member from an unrelated client shall be included in the aggregate limit. An investment adviser shall not solicit or accept from a client a gift transferred through a relative or third party to the investment adviser’s benefit that would have the effect of evading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 xml:space="preserve">Soliciting or accepting being named as a beneficiary, executor, or trustee in a will or trust of an unrelated customer;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 xml:space="preserve">Evading or otherwise negating the requirements of paragraph </w:t>
      </w:r>
      <w:hyperlink r:id="rId173">
        <w:r>
          <w:rPr>
            <w:rStyle w:val="Hyperlink"/>
            <w:rFonts w:ascii="Times New Roman" w:hAnsi="Times New Roman"/>
            <w:b w:val="false"/>
            <w:i w:val="false"/>
            <w:color w:val="000000"/>
            <w:sz w:val="22"/>
          </w:rPr>
          <w:t>50.38(1)</w:t>
        </w:r>
      </w:hyperlink>
      <w:r>
        <w:rPr>
          <w:rFonts w:ascii="Times New Roman" w:hAnsi="Times New Roman"/>
          <w:b w:val="false"/>
          <w:i/>
          <w:color w:val="000000"/>
          <w:sz w:val="22"/>
        </w:rPr>
        <w:t>“f,” “g,” “u”</w:t>
      </w:r>
      <w:r>
        <w:rPr>
          <w:rFonts w:ascii="Times New Roman" w:hAnsi="Times New Roman"/>
          <w:b w:val="false"/>
          <w:i w:val="false"/>
          <w:color w:val="000000"/>
          <w:sz w:val="22"/>
        </w:rPr>
        <w:t xml:space="preserve"> or </w:t>
      </w:r>
      <w:r>
        <w:rPr>
          <w:rFonts w:ascii="Times New Roman" w:hAnsi="Times New Roman"/>
          <w:b w:val="false"/>
          <w:i/>
          <w:color w:val="000000"/>
          <w:sz w:val="22"/>
        </w:rPr>
        <w:t>“v,”</w:t>
      </w:r>
      <w:r>
        <w:rPr>
          <w:rFonts w:ascii="Times New Roman" w:hAnsi="Times New Roman"/>
          <w:b w:val="false"/>
          <w:i w:val="false"/>
          <w:color w:val="000000"/>
          <w:sz w:val="22"/>
        </w:rPr>
        <w:t xml:space="preserve"> by terminating the customer relationship for the purpose of soliciting or accepting a loan or gift or being named as a beneficiary, executor or trustee in a will or trust that the agent is otherwise not permitted to solicit or accept. An investment adviser or investment adviser representative will not be in violation of this rule if the investment adviser or investment adviser representative has made a bona fide termination of the client relationship and conducted no securities-related business or other business for a period of three years with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 xml:space="preserve">Engaging in conduct deemed dishonest or unethical in rule </w:t>
      </w:r>
      <w:hyperlink r:id="rId174">
        <w:r>
          <w:rPr>
            <w:rStyle w:val="Hyperlink"/>
            <w:rFonts w:ascii="Times New Roman" w:hAnsi="Times New Roman"/>
            <w:b w:val="false"/>
            <w:i w:val="false"/>
            <w:color w:val="000000"/>
            <w:sz w:val="22"/>
          </w:rPr>
          <w:t>191—50.55</w:t>
        </w:r>
      </w:hyperlink>
      <w:r>
        <w:rPr>
          <w:rFonts w:ascii="Times New Roman" w:hAnsi="Times New Roman"/>
          <w:b w:val="false"/>
          <w:i w:val="false"/>
          <w:color w:val="000000"/>
          <w:sz w:val="22"/>
        </w:rPr>
        <w:t>(502);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Employing any method or tactic which uses undue pressure, force, fright, or threat, whether explicit or implied, in connection with providing investment advice, or committing any act which shows that an investment adviser or investment adviser representative has exerted undue influence over a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50.38(2)</w:t>
      </w:r>
      <w:r>
        <w:rPr>
          <w:rFonts w:ascii="Times New Roman" w:hAnsi="Times New Roman"/>
          <w:b w:val="false"/>
          <w:i w:val="false"/>
          <w:color w:val="000000"/>
          <w:sz w:val="22"/>
        </w:rPr>
        <w:t> </w:t>
      </w:r>
      <w:r>
        <w:rPr>
          <w:rFonts w:ascii="Times New Roman" w:hAnsi="Times New Roman"/>
          <w:b w:val="false"/>
          <w:i w:val="false"/>
          <w:color w:val="000000"/>
          <w:sz w:val="22"/>
        </w:rPr>
        <w:t>An investment adviser, investment adviser representative, or federal covered investment adviser shall not, directly or indirectly, publish, circulate, or distribute any advertisement that does any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Refers to any testimonial of any kind concerning the investment adviser, investment adviser representative, or federal covered investment adviser or concerning any advice, analysis, report, or other service rendered by such investment adviser, investment adviser representative, or federal covered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Refers to past specific recommendations of the investment adviser, investment adviser representative, or federal covered investment adviser that were or would have been profitable to any person, except that an investment adviser, investment adviser representative, or federal covered investment adviser may furnish or offer to furnish a list of all recommendations made by the investment adviser, investment adviser representative, or federal covered investment adviser within the immediately preceding period of not less than one year if the advertisement or list also includes both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each security recommended, the date and nature of each recommendation, the market price at that time, the price at which the recommendation was to be acted upon, and the most recently available market price of each such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legend on the first page in prominent print or type that states that the reader should not assume that recommendations made in the future will be profitable or will equal the performance of the securities in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Represents that any graph, chart, formula, or other device being offered can in and of itself be used to determine which securities to buy or sell, or when to buy or sell them; or which represents, directly or indirectly, that any graph, chart, formula, or other device being offered will assist any person in making that person’s own decisions as to which securities to buy or sell, or when to buy or sell them, without prominently disclosing in such advertisement the limitations thereof and the difficulties with respect to the use of any graph, chart, formula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Represents that any report, analysis, or other service will be furnished for free or without charge, unless such report, analysis, or other service actually is or will be furnished entirely free and without any direct or indirect condition or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Represents that the administrator has approved any advertisement.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Contains any untrue statement of a material fact, or any statement that is otherwise false or misleading.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50.38(3)</w:t>
      </w:r>
      <w:r>
        <w:rPr>
          <w:rFonts w:ascii="Times New Roman" w:hAnsi="Times New Roman"/>
          <w:b w:val="false"/>
          <w:i w:val="false"/>
          <w:color w:val="000000"/>
          <w:sz w:val="22"/>
        </w:rPr>
        <w:t> </w:t>
      </w:r>
      <w:r>
        <w:rPr>
          <w:rFonts w:ascii="Times New Roman" w:hAnsi="Times New Roman"/>
          <w:b w:val="false"/>
          <w:i w:val="false"/>
          <w:color w:val="000000"/>
          <w:sz w:val="22"/>
        </w:rPr>
        <w:t xml:space="preserve">With respect to federal covered investment advisers, the provisions of subrule </w:t>
      </w:r>
      <w:hyperlink r:id="rId175">
        <w:r>
          <w:rPr>
            <w:rStyle w:val="Hyperlink"/>
            <w:rFonts w:ascii="Times New Roman" w:hAnsi="Times New Roman"/>
            <w:b w:val="false"/>
            <w:i w:val="false"/>
            <w:color w:val="000000"/>
            <w:sz w:val="22"/>
          </w:rPr>
          <w:t>50.38(2)</w:t>
        </w:r>
      </w:hyperlink>
      <w:r>
        <w:rPr>
          <w:rFonts w:ascii="Times New Roman" w:hAnsi="Times New Roman"/>
          <w:b w:val="false"/>
          <w:i w:val="false"/>
          <w:color w:val="000000"/>
          <w:sz w:val="22"/>
        </w:rPr>
        <w:t xml:space="preserve"> apply only to the extent permitted by Section 203A of the Investment Advisers Act of 1940.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50.38(4)</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subrule </w:t>
      </w:r>
      <w:hyperlink r:id="rId176">
        <w:r>
          <w:rPr>
            <w:rStyle w:val="Hyperlink"/>
            <w:rFonts w:ascii="Times New Roman" w:hAnsi="Times New Roman"/>
            <w:b w:val="false"/>
            <w:i w:val="false"/>
            <w:color w:val="000000"/>
            <w:sz w:val="22"/>
          </w:rPr>
          <w:t>50.38(2)</w:t>
        </w:r>
      </w:hyperlink>
      <w:r>
        <w:rPr>
          <w:rFonts w:ascii="Times New Roman" w:hAnsi="Times New Roman"/>
          <w:b w:val="false"/>
          <w:i w:val="false"/>
          <w:color w:val="000000"/>
          <w:sz w:val="22"/>
        </w:rPr>
        <w:t>, the term “advertisement” shall include any notice, circular, letter, or other written communication addressed to more than one person, or any notice or other announcement in any electronic or paper publication, by radio or television, or by any medium, that offers any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analysis, report, or publication concerning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analysis, report, or publication that is to be used in making any determination as to when to buy or sell any security, or which security to buy or sell.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graph, chart, formula, or other device to be used in making any determination as to when to buy or sell any security, or which security to buy or sell.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other investment advisory service with regard to securities.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50.38(5)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prohibitions of rule </w:t>
      </w:r>
      <w:hyperlink r:id="rId177">
        <w:r>
          <w:rPr>
            <w:rStyle w:val="Hyperlink"/>
            <w:rFonts w:ascii="Times New Roman" w:hAnsi="Times New Roman"/>
            <w:b w:val="false"/>
            <w:i w:val="false"/>
            <w:color w:val="000000"/>
            <w:sz w:val="22"/>
          </w:rPr>
          <w:t>191—50.38</w:t>
        </w:r>
      </w:hyperlink>
      <w:r>
        <w:rPr>
          <w:rFonts w:ascii="Times New Roman" w:hAnsi="Times New Roman"/>
          <w:b w:val="false"/>
          <w:i w:val="false"/>
          <w:color w:val="000000"/>
          <w:sz w:val="22"/>
        </w:rPr>
        <w:t>(502) shall not apply to an investment adviser effecting an agency cross transaction for an advisory client provided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advisory client executes a written consent prospectively authorizing the investment adviser to effect agency cross transactions for such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Before obtaining such written consent from the client, the investment adviser makes full written disclosure to the client that, with respect to agency cross transactions, the investment adviser will act as broker-dealer for, receive commissions from, and have a potentially conflicting division of loyalties and responsibilities regarding both parties to the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At or before the completion of each agency cross transaction, the investment adviser or any other person relying on subrule </w:t>
      </w:r>
      <w:hyperlink r:id="rId178">
        <w:r>
          <w:rPr>
            <w:rStyle w:val="Hyperlink"/>
            <w:rFonts w:ascii="Times New Roman" w:hAnsi="Times New Roman"/>
            <w:b w:val="false"/>
            <w:i w:val="false"/>
            <w:color w:val="000000"/>
            <w:sz w:val="22"/>
          </w:rPr>
          <w:t>50.38(5)</w:t>
        </w:r>
      </w:hyperlink>
      <w:r>
        <w:rPr>
          <w:rFonts w:ascii="Times New Roman" w:hAnsi="Times New Roman"/>
          <w:b w:val="false"/>
          <w:i w:val="false"/>
          <w:color w:val="000000"/>
          <w:sz w:val="22"/>
        </w:rPr>
        <w:t xml:space="preserve"> sends the client a written confirmation. The written confirmation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the nature of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the transaction took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offer to furnish, upon request, the time when the transaction took place;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source and amount of any other remuneration the investment adviser received or will receive in connection with the transaction. In the case of a purchase, if the investment adviser was not participating in a distribution, or, in the case of a sale, if the investment adviser was not participating in a tender offer, the written confirmation may state whether the investment adviser has been receiving or will receive any other remuneration and that the investment adviser will furnish the source and amount of such remuneration to the client upon the client’s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annually, and with or as part of any written statement or summary of the account from the investment adviser, the investment adviser or any other person relying on subrule </w:t>
      </w:r>
      <w:hyperlink r:id="rId179">
        <w:r>
          <w:rPr>
            <w:rStyle w:val="Hyperlink"/>
            <w:rFonts w:ascii="Times New Roman" w:hAnsi="Times New Roman"/>
            <w:b w:val="false"/>
            <w:i w:val="false"/>
            <w:color w:val="000000"/>
            <w:sz w:val="22"/>
          </w:rPr>
          <w:t>50.38(5)</w:t>
        </w:r>
      </w:hyperlink>
      <w:r>
        <w:rPr>
          <w:rFonts w:ascii="Times New Roman" w:hAnsi="Times New Roman"/>
          <w:b w:val="false"/>
          <w:i w:val="false"/>
          <w:color w:val="000000"/>
          <w:sz w:val="22"/>
        </w:rPr>
        <w:t xml:space="preserve"> sends each client a written disclosure statement identifying: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number of agency cross transactions for the client during the period since the date of the last such statement or summary;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total amount of all commissions or other remuneration the investment adviser received or will receive in connection with agency cross transactions for the client during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Each written disclosure and confirmation required by subrule </w:t>
      </w:r>
      <w:hyperlink r:id="rId180">
        <w:r>
          <w:rPr>
            <w:rStyle w:val="Hyperlink"/>
            <w:rFonts w:ascii="Times New Roman" w:hAnsi="Times New Roman"/>
            <w:b w:val="false"/>
            <w:i w:val="false"/>
            <w:color w:val="000000"/>
            <w:sz w:val="22"/>
          </w:rPr>
          <w:t>50.38(5)</w:t>
        </w:r>
      </w:hyperlink>
      <w:r>
        <w:rPr>
          <w:rFonts w:ascii="Times New Roman" w:hAnsi="Times New Roman"/>
          <w:b w:val="false"/>
          <w:i w:val="false"/>
          <w:color w:val="000000"/>
          <w:sz w:val="22"/>
        </w:rPr>
        <w:t xml:space="preserve"> must include a conspicuous statement indicating that the client may revoke the written consent required under paragraph </w:t>
      </w:r>
      <w:hyperlink r:id="rId181">
        <w:r>
          <w:rPr>
            <w:rStyle w:val="Hyperlink"/>
            <w:rFonts w:ascii="Times New Roman" w:hAnsi="Times New Roman"/>
            <w:b w:val="false"/>
            <w:i w:val="false"/>
            <w:color w:val="000000"/>
            <w:sz w:val="22"/>
          </w:rPr>
          <w:t>50.38(5)</w:t>
        </w:r>
        <w:r>
          <w:rPr>
            <w:rFonts w:ascii="Times New Roman" w:hAnsi="Times New Roman"/>
            <w:b w:val="false"/>
            <w:i/>
            <w:color w:val="000000"/>
            <w:sz w:val="22"/>
          </w:rPr>
          <w:t>“a”</w:t>
        </w:r>
      </w:hyperlink>
      <w:r>
        <w:rPr>
          <w:rFonts w:ascii="Times New Roman" w:hAnsi="Times New Roman"/>
          <w:b w:val="false"/>
          <w:i w:val="false"/>
          <w:color w:val="000000"/>
          <w:sz w:val="22"/>
        </w:rPr>
        <w:t xml:space="preserve"> at any time by providing written notice to the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agency cross transaction may be effected in which the same investment adviser recommended the transaction to both any seller and any purchaser;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“Agency cross transaction for an advisory client,”</w:t>
      </w:r>
      <w:r>
        <w:rPr>
          <w:rFonts w:ascii="Times New Roman" w:hAnsi="Times New Roman"/>
          <w:b w:val="false"/>
          <w:i w:val="false"/>
          <w:color w:val="000000"/>
          <w:sz w:val="22"/>
        </w:rPr>
        <w:t xml:space="preserve"> for purposes of subrule </w:t>
      </w:r>
      <w:hyperlink r:id="rId182">
        <w:r>
          <w:rPr>
            <w:rStyle w:val="Hyperlink"/>
            <w:rFonts w:ascii="Times New Roman" w:hAnsi="Times New Roman"/>
            <w:b w:val="false"/>
            <w:i w:val="false"/>
            <w:color w:val="000000"/>
            <w:sz w:val="22"/>
          </w:rPr>
          <w:t>50.38(5)</w:t>
        </w:r>
      </w:hyperlink>
      <w:r>
        <w:rPr>
          <w:rFonts w:ascii="Times New Roman" w:hAnsi="Times New Roman"/>
          <w:b w:val="false"/>
          <w:i w:val="false"/>
          <w:color w:val="000000"/>
          <w:sz w:val="22"/>
        </w:rPr>
        <w:t>, means a transaction in which a person acts as an investment adviser in relation to a transaction in which the investment adviser, or any person controlling, controlled by, or under common control with such investment adviser, including an investment adviser representative, acts as a broker-dealer for both the advisory client and for another client on the other side of the transaction. When acting in such capacity, such person acting as an investment adviser, or any person controlling, controlled by, or under common control with such investment adviser, including an investment adviser representative, is required to be registered as a broker-dealer in this state unless excluded from the definition of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subrule </w:t>
      </w:r>
      <w:hyperlink r:id="rId183">
        <w:r>
          <w:rPr>
            <w:rStyle w:val="Hyperlink"/>
            <w:rFonts w:ascii="Times New Roman" w:hAnsi="Times New Roman"/>
            <w:b w:val="false"/>
            <w:i w:val="false"/>
            <w:color w:val="000000"/>
            <w:sz w:val="22"/>
          </w:rPr>
          <w:t>50.38(5)</w:t>
        </w:r>
      </w:hyperlink>
      <w:r>
        <w:rPr>
          <w:rFonts w:ascii="Times New Roman" w:hAnsi="Times New Roman"/>
          <w:b w:val="false"/>
          <w:i w:val="false"/>
          <w:color w:val="000000"/>
          <w:sz w:val="22"/>
        </w:rPr>
        <w:t xml:space="preserve"> shall be construed to relieve an investment adviser or investment adviser representative from acting in the best interests of the client, including fulfilling the duty with respect to the best price and execution for the particular transaction for the client, nor shall subrule </w:t>
      </w:r>
      <w:hyperlink r:id="rId184">
        <w:r>
          <w:rPr>
            <w:rStyle w:val="Hyperlink"/>
            <w:rFonts w:ascii="Times New Roman" w:hAnsi="Times New Roman"/>
            <w:b w:val="false"/>
            <w:i w:val="false"/>
            <w:color w:val="000000"/>
            <w:sz w:val="22"/>
          </w:rPr>
          <w:t>50.38(5)</w:t>
        </w:r>
      </w:hyperlink>
      <w:r>
        <w:rPr>
          <w:rFonts w:ascii="Times New Roman" w:hAnsi="Times New Roman"/>
          <w:b w:val="false"/>
          <w:i w:val="false"/>
          <w:color w:val="000000"/>
          <w:sz w:val="22"/>
        </w:rPr>
        <w:t xml:space="preserve"> relieve any investment adviser or investment adviser representative of any other disclosure obligations imposed by the Act.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5">
        <w:r>
          <w:rPr>
            <w:rStyle w:val="Hyperlink"/>
            <w:rFonts w:ascii="Times New Roman" w:hAnsi="Times New Roman"/>
            <w:b w:val="false"/>
            <w:i w:val="false"/>
            <w:color w:val="000000"/>
            <w:sz w:val="22"/>
          </w:rPr>
          <w:t>502.502(2)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191—50.39</w:t>
      </w:r>
      <w:r>
        <w:rPr>
          <w:rFonts w:ascii="Times New Roman" w:hAnsi="Times New Roman"/>
          <w:b/>
          <w:i w:val="false"/>
          <w:color w:val="000000"/>
          <w:sz w:val="22"/>
        </w:rPr>
        <w:t xml:space="preserve">(502) </w:t>
      </w:r>
      <w:r>
        <w:rPr>
          <w:rFonts w:ascii="Times New Roman" w:hAnsi="Times New Roman"/>
          <w:b/>
          <w:i w:val="false"/>
          <w:color w:val="000000"/>
          <w:sz w:val="22"/>
        </w:rPr>
        <w:t xml:space="preserve">Custody of client funds or securities by investment advisers.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50.39(1)</w:t>
      </w:r>
      <w:r>
        <w:rPr>
          <w:rFonts w:ascii="Times New Roman" w:hAnsi="Times New Roman"/>
          <w:b w:val="false"/>
          <w:i w:val="false"/>
          <w:color w:val="000000"/>
          <w:sz w:val="22"/>
        </w:rPr>
        <w:t> </w:t>
      </w:r>
      <w:r>
        <w:rPr>
          <w:rFonts w:ascii="Times New Roman" w:hAnsi="Times New Roman"/>
          <w:b w:val="false"/>
          <w:i/>
          <w:color w:val="000000"/>
          <w:sz w:val="22"/>
        </w:rPr>
        <w:t xml:space="preserve">Safekeeping required. </w:t>
      </w:r>
      <w:r>
        <w:rPr>
          <w:rFonts w:ascii="Times New Roman" w:hAnsi="Times New Roman"/>
          <w:b w:val="false"/>
          <w:i w:val="false"/>
          <w:color w:val="000000"/>
          <w:sz w:val="22"/>
        </w:rPr>
        <w:t>It is unlawful and deemed to be a fraudulent, deceptive, or manipulative act, practice, or course of business for an investment adviser, registered or required to be registered, to have custody of client funds or securities unless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to administrator. </w:t>
      </w:r>
      <w:r>
        <w:rPr>
          <w:rFonts w:ascii="Times New Roman" w:hAnsi="Times New Roman"/>
          <w:b w:val="false"/>
          <w:i w:val="false"/>
          <w:color w:val="000000"/>
          <w:sz w:val="22"/>
        </w:rPr>
        <w:t>The investment adviser notifies the administrator promptly in writing that the investment adviser has or may have custody. Such notification is required to be given on Form ADV.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Qualified custodian. </w:t>
      </w:r>
      <w:r>
        <w:rPr>
          <w:rFonts w:ascii="Times New Roman" w:hAnsi="Times New Roman"/>
          <w:b w:val="false"/>
          <w:i w:val="false"/>
          <w:color w:val="000000"/>
          <w:sz w:val="22"/>
        </w:rPr>
        <w:t>A qualified custodian maintains those funds and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 separate account for each client under that client’s name;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accounts that contain only the investment adviser’s clients’ funds and securities, under the investment adviser’s name as agent or trustee for the clients, or, in the case of a pooled investment vehicle that the investment adviser manages, in the name of the pooled investment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to clients. </w:t>
      </w:r>
      <w:r>
        <w:rPr>
          <w:rFonts w:ascii="Times New Roman" w:hAnsi="Times New Roman"/>
          <w:b w:val="false"/>
          <w:i w:val="false"/>
          <w:color w:val="000000"/>
          <w:sz w:val="22"/>
        </w:rPr>
        <w:t>If an investment adviser opens an account with a qualified custodian on its client’s behalf, under the client’s name, under the name of the investment adviser as agent, or under the name of a pooled investment vehicle, the investment adviser must notify the client in writing of the qualified custodian’s name and address and the manner in which the funds or securities are maintained, promptly when the account is opened and following any changes to this information. If the investment adviser sends account statements to a client to whom the investment adviser is required to provide this notice, the investment adviser must include in the notification provided to that client and in any subsequent account statement the investment adviser sends that client a statement urging the client to compare the account statements from the custodian with those from the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Account statements. </w:t>
      </w:r>
      <w:r>
        <w:rPr>
          <w:rFonts w:ascii="Times New Roman" w:hAnsi="Times New Roman"/>
          <w:b w:val="false"/>
          <w:i w:val="false"/>
          <w:color w:val="000000"/>
          <w:sz w:val="22"/>
        </w:rPr>
        <w:t>The investment adviser has a reasonable basis, after due inquiry, for believing that the qualified custodian sends an account statement, at least quarterly, to each client for which the qualified custodian maintains funds or securities, identifying the amount of funds and of each security in the account at the end of the period and setting forth all transactions in the account during that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Special rule for limited partnerships and limited liability companies. </w:t>
      </w:r>
      <w:r>
        <w:rPr>
          <w:rFonts w:ascii="Times New Roman" w:hAnsi="Times New Roman"/>
          <w:b w:val="false"/>
          <w:i w:val="false"/>
          <w:color w:val="000000"/>
          <w:sz w:val="22"/>
        </w:rPr>
        <w:t>If the investment adviser or a related person is a general partner of a limited partnership (or managing member of a limited liability company, or holds a comparable position for another type of pooled investment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account statements required under paragraph </w:t>
      </w:r>
      <w:hyperlink r:id="rId186">
        <w:r>
          <w:rPr>
            <w:rStyle w:val="Hyperlink"/>
            <w:rFonts w:ascii="Times New Roman" w:hAnsi="Times New Roman"/>
            <w:b w:val="false"/>
            <w:i w:val="false"/>
            <w:color w:val="000000"/>
            <w:sz w:val="22"/>
          </w:rPr>
          <w:t>50.39(1)</w:t>
        </w:r>
        <w:r>
          <w:rPr>
            <w:rFonts w:ascii="Times New Roman" w:hAnsi="Times New Roman"/>
            <w:b w:val="false"/>
            <w:i/>
            <w:color w:val="000000"/>
            <w:sz w:val="22"/>
          </w:rPr>
          <w:t>“d”</w:t>
        </w:r>
      </w:hyperlink>
      <w:r>
        <w:rPr>
          <w:rFonts w:ascii="Times New Roman" w:hAnsi="Times New Roman"/>
          <w:b w:val="false"/>
          <w:i w:val="false"/>
          <w:color w:val="000000"/>
          <w:sz w:val="22"/>
        </w:rPr>
        <w:t xml:space="preserve"> must be sent to each limited partner (or member or other beneficial owner);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investment adviser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Enter into a written agreement with an independent party who is obliged to act in the best interest of the limited partners, members, or other beneficial owners to review all fees, expenses and capital withdrawals from the pooled accounts;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Send all invoices or receipts to the independent party, detailing the amount of the fee, expenses or capital withdrawal and the method of calculation such that the independent party can: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Determine that the payment is in accordance with the pooled investment vehicle standards (generally the partnership agreement or membership agreement); and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Forward, to the qualified custodian, approval for payment of the invoice with a copy to the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Independent verification. </w:t>
      </w:r>
      <w:r>
        <w:rPr>
          <w:rFonts w:ascii="Times New Roman" w:hAnsi="Times New Roman"/>
          <w:b w:val="false"/>
          <w:i w:val="false"/>
          <w:color w:val="000000"/>
          <w:sz w:val="22"/>
        </w:rPr>
        <w:t xml:space="preserve">The client funds and securities of which the investment adviser has custody are verified by actual examination at least once during each calendar year, by an independent certified public accountant (CPA), pursuant to a written agreement between the investment adviser and the independent CPA, at a time that is chosen by the independent CPA without prior notice or announcement to the investment adviser and that is irregular from year to year. The written agreement must provide for the first examination to occur within six months of execution of the written agreement, except that, if the investment adviser maintains client funds or securities pursuant to rule </w:t>
      </w:r>
      <w:hyperlink r:id="rId187">
        <w:r>
          <w:rPr>
            <w:rStyle w:val="Hyperlink"/>
            <w:rFonts w:ascii="Times New Roman" w:hAnsi="Times New Roman"/>
            <w:b w:val="false"/>
            <w:i w:val="false"/>
            <w:color w:val="000000"/>
            <w:sz w:val="22"/>
          </w:rPr>
          <w:t>191—50.38</w:t>
        </w:r>
      </w:hyperlink>
      <w:r>
        <w:rPr>
          <w:rFonts w:ascii="Times New Roman" w:hAnsi="Times New Roman"/>
          <w:b w:val="false"/>
          <w:i w:val="false"/>
          <w:color w:val="000000"/>
          <w:sz w:val="22"/>
        </w:rPr>
        <w:t>(502) as a qualified custodian, the agreement must provide for the first examination to occur no later than six months after the investment adviser obtains the internal control report. The written agreement must require the independent CPA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certificate on Form ADV-E with the administrator within 120 days of the time chosen by the independent CPA in paragraph </w:t>
      </w:r>
      <w:hyperlink r:id="rId188">
        <w:r>
          <w:rPr>
            <w:rStyle w:val="Hyperlink"/>
            <w:rFonts w:ascii="Times New Roman" w:hAnsi="Times New Roman"/>
            <w:b w:val="false"/>
            <w:i w:val="false"/>
            <w:color w:val="000000"/>
            <w:sz w:val="22"/>
          </w:rPr>
          <w:t>50.39(1)</w:t>
        </w:r>
        <w:r>
          <w:rPr>
            <w:rFonts w:ascii="Times New Roman" w:hAnsi="Times New Roman"/>
            <w:b w:val="false"/>
            <w:i/>
            <w:color w:val="000000"/>
            <w:sz w:val="22"/>
          </w:rPr>
          <w:t>“f,”</w:t>
        </w:r>
      </w:hyperlink>
      <w:r>
        <w:rPr>
          <w:rFonts w:ascii="Times New Roman" w:hAnsi="Times New Roman"/>
          <w:b w:val="false"/>
          <w:i w:val="false"/>
          <w:color w:val="000000"/>
          <w:sz w:val="22"/>
        </w:rPr>
        <w:t xml:space="preserve"> stating that the independent CPA has examined the funds and securities and describing the nature and extent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Notify the administrator within one business day of the finding of any material discrepancies during the course of the examination, by means of a facsimile transmission or electronic mail, followed by first-class mail, directed to the attention of the administrator;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File within four business days of the resignation or dismissal from, or other termination of, the engagement, or removing itself or being removed from consideration for being reappointed, Form ADV-E accompanied by a statement that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date of such resignation, dismissal, removal, or other termination, and the name, address, and contact information of the independent CPA; and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explanation of any problems relating to examination scope or procedure that contributed to such resignation, dismissal, removal, or other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Investment advisers acting as qualified custodians. </w:t>
      </w:r>
      <w:r>
        <w:rPr>
          <w:rFonts w:ascii="Times New Roman" w:hAnsi="Times New Roman"/>
          <w:b w:val="false"/>
          <w:i w:val="false"/>
          <w:color w:val="000000"/>
          <w:sz w:val="22"/>
        </w:rPr>
        <w:t xml:space="preserve">If the investment adviser maintains, or if the investment adviser has custody because a related person maintains, client funds or securities pursuant to rule </w:t>
      </w:r>
      <w:hyperlink r:id="rId189">
        <w:r>
          <w:rPr>
            <w:rStyle w:val="Hyperlink"/>
            <w:rFonts w:ascii="Times New Roman" w:hAnsi="Times New Roman"/>
            <w:b w:val="false"/>
            <w:i w:val="false"/>
            <w:color w:val="000000"/>
            <w:sz w:val="22"/>
          </w:rPr>
          <w:t>191—50.39</w:t>
        </w:r>
      </w:hyperlink>
      <w:r>
        <w:rPr>
          <w:rFonts w:ascii="Times New Roman" w:hAnsi="Times New Roman"/>
          <w:b w:val="false"/>
          <w:i w:val="false"/>
          <w:color w:val="000000"/>
          <w:sz w:val="22"/>
        </w:rPr>
        <w:t xml:space="preserve">(502) as a qualified custodian in connection with advisory services the investment adviser provides to clients: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independent CPA that the investment adviser retains to perform the independent verification required by paragraph </w:t>
      </w:r>
      <w:hyperlink r:id="rId190">
        <w:r>
          <w:rPr>
            <w:rStyle w:val="Hyperlink"/>
            <w:rFonts w:ascii="Times New Roman" w:hAnsi="Times New Roman"/>
            <w:b w:val="false"/>
            <w:i w:val="false"/>
            <w:color w:val="000000"/>
            <w:sz w:val="22"/>
          </w:rPr>
          <w:t>50.39(1)</w:t>
        </w:r>
        <w:r>
          <w:rPr>
            <w:rFonts w:ascii="Times New Roman" w:hAnsi="Times New Roman"/>
            <w:b w:val="false"/>
            <w:i/>
            <w:color w:val="000000"/>
            <w:sz w:val="22"/>
          </w:rPr>
          <w:t>“f”</w:t>
        </w:r>
      </w:hyperlink>
      <w:r>
        <w:rPr>
          <w:rFonts w:ascii="Times New Roman" w:hAnsi="Times New Roman"/>
          <w:b w:val="false"/>
          <w:i w:val="false"/>
          <w:color w:val="000000"/>
          <w:sz w:val="22"/>
        </w:rPr>
        <w:t xml:space="preserve"> must be registered with, and subject to regular inspection as of the commencement of the professional engagement period, and as of each calendar year-end, by, the Public Company Accounting Oversight Board in accordance with its rules;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investment adviser must obtain, or receive from its related person, within six months of execution of the written agreement and thereafter no less frequently than once each calendar year a written internal control report prepared by an independent CPA.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internal control report must include an opinion of an independent CPA as to whether controls have been placed in operation as of a specific date, and are suitably designed and are operating effectively to meet control objectives relating to custodial services, including the safeguarding of funds and securities held by either the investment adviser or a related person on behalf of the investment adviser’s clients, during the year;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independent CPA must verify that the funds and securities are reconciled to a custodian other than the investment adviser or the investment adviser’s related person;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independent CPA must be registered with, and subject to regular inspection as of the commencement of the professional engagement period, and as of each calendar year-end, by, the Public Company Accounting Oversight Board in accordance with its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Independent representatives.</w:t>
      </w:r>
      <w:r>
        <w:rPr>
          <w:rFonts w:ascii="Times New Roman" w:hAnsi="Times New Roman"/>
          <w:b w:val="false"/>
          <w:i w:val="false"/>
          <w:color w:val="000000"/>
          <w:sz w:val="22"/>
        </w:rPr>
        <w:t xml:space="preserve"> A client may designate an independent representative to receive, on the client’s behalf, notices and account statements as required under paragraphs </w:t>
      </w:r>
      <w:hyperlink r:id="rId191">
        <w:r>
          <w:rPr>
            <w:rStyle w:val="Hyperlink"/>
            <w:rFonts w:ascii="Times New Roman" w:hAnsi="Times New Roman"/>
            <w:b w:val="false"/>
            <w:i w:val="false"/>
            <w:color w:val="000000"/>
            <w:sz w:val="22"/>
          </w:rPr>
          <w:t>50.39(1)</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50.39(2)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Shares of mutual funds. </w:t>
      </w:r>
      <w:r>
        <w:rPr>
          <w:rFonts w:ascii="Times New Roman" w:hAnsi="Times New Roman"/>
          <w:b w:val="false"/>
          <w:i w:val="false"/>
          <w:color w:val="000000"/>
          <w:sz w:val="22"/>
        </w:rPr>
        <w:t xml:space="preserve">With respect to shares of an open-end company as defined in Section 5(a)(1) of the Investment Company Act of 1940 (“mutual fund”), the investment adviser may use the mutual fund transfer agent in lieu of a qualified custodian for purposes of complying with subrule </w:t>
      </w:r>
      <w:hyperlink r:id="rId192">
        <w:r>
          <w:rPr>
            <w:rStyle w:val="Hyperlink"/>
            <w:rFonts w:ascii="Times New Roman" w:hAnsi="Times New Roman"/>
            <w:b w:val="false"/>
            <w:i w:val="false"/>
            <w:color w:val="000000"/>
            <w:sz w:val="22"/>
          </w:rPr>
          <w:t>50.39(1)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Certain privately offered securities.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investment adviser is not required to comply with paragraph </w:t>
      </w:r>
      <w:hyperlink r:id="rId193">
        <w:r>
          <w:rPr>
            <w:rStyle w:val="Hyperlink"/>
            <w:rFonts w:ascii="Times New Roman" w:hAnsi="Times New Roman"/>
            <w:b w:val="false"/>
            <w:i w:val="false"/>
            <w:color w:val="000000"/>
            <w:sz w:val="22"/>
          </w:rPr>
          <w:t>50.39(1)</w:t>
        </w:r>
        <w:r>
          <w:rPr>
            <w:rFonts w:ascii="Times New Roman" w:hAnsi="Times New Roman"/>
            <w:b w:val="false"/>
            <w:i/>
            <w:color w:val="000000"/>
            <w:sz w:val="22"/>
          </w:rPr>
          <w:t>“b”</w:t>
        </w:r>
      </w:hyperlink>
      <w:r>
        <w:rPr>
          <w:rFonts w:ascii="Times New Roman" w:hAnsi="Times New Roman"/>
          <w:b w:val="false"/>
          <w:i w:val="false"/>
          <w:color w:val="000000"/>
          <w:sz w:val="22"/>
        </w:rPr>
        <w:t xml:space="preserve"> with respect to securities that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Acquired from the issuer in a transaction or chain of transactions not involving any public offering;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Uncertificated and ownership thereof is recorded only on the books of the issuer or its transfer agent in the name of the client;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Transferable only with prior consent of the issuer or holders of the outstanding securities of the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subparagraph </w:t>
      </w:r>
      <w:hyperlink r:id="rId194">
        <w:r>
          <w:rPr>
            <w:rStyle w:val="Hyperlink"/>
            <w:rFonts w:ascii="Times New Roman" w:hAnsi="Times New Roman"/>
            <w:b w:val="false"/>
            <w:i w:val="false"/>
            <w:color w:val="000000"/>
            <w:sz w:val="22"/>
          </w:rPr>
          <w:t>50.39(2)</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the provisions of paragraph </w:t>
      </w:r>
      <w:hyperlink r:id="rId195">
        <w:r>
          <w:rPr>
            <w:rStyle w:val="Hyperlink"/>
            <w:rFonts w:ascii="Times New Roman" w:hAnsi="Times New Roman"/>
            <w:b w:val="false"/>
            <w:i w:val="false"/>
            <w:color w:val="000000"/>
            <w:sz w:val="22"/>
          </w:rPr>
          <w:t>50.39(2)</w:t>
        </w:r>
        <w:r>
          <w:rPr>
            <w:rFonts w:ascii="Times New Roman" w:hAnsi="Times New Roman"/>
            <w:b w:val="false"/>
            <w:i/>
            <w:color w:val="000000"/>
            <w:sz w:val="22"/>
          </w:rPr>
          <w:t>“b”</w:t>
        </w:r>
      </w:hyperlink>
      <w:r>
        <w:rPr>
          <w:rFonts w:ascii="Times New Roman" w:hAnsi="Times New Roman"/>
          <w:b w:val="false"/>
          <w:i w:val="false"/>
          <w:color w:val="000000"/>
          <w:sz w:val="22"/>
        </w:rPr>
        <w:t xml:space="preserve"> are available with respect to securities held for the account of a limited partnership (or limited liability company, or other type of pooled investment vehicle) only if the limited partnership is audited, and the audited financial statements are distributed, as described in paragraph </w:t>
      </w:r>
      <w:hyperlink r:id="rId196">
        <w:r>
          <w:rPr>
            <w:rStyle w:val="Hyperlink"/>
            <w:rFonts w:ascii="Times New Roman" w:hAnsi="Times New Roman"/>
            <w:b w:val="false"/>
            <w:i w:val="false"/>
            <w:color w:val="000000"/>
            <w:sz w:val="22"/>
          </w:rPr>
          <w:t>50.39(2)</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the investment adviser notifies the administrator in writing that the investment adviser intends to provide audited financial statements, as described in this subparagraph. Such notification is required to be provided on Form ADV.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Fee deduction. </w:t>
      </w:r>
      <w:r>
        <w:rPr>
          <w:rFonts w:ascii="Times New Roman" w:hAnsi="Times New Roman"/>
          <w:b w:val="false"/>
          <w:i w:val="false"/>
          <w:color w:val="000000"/>
          <w:sz w:val="22"/>
        </w:rPr>
        <w:t xml:space="preserve">Notwithstanding paragraph </w:t>
      </w:r>
      <w:hyperlink r:id="rId197">
        <w:r>
          <w:rPr>
            <w:rStyle w:val="Hyperlink"/>
            <w:rFonts w:ascii="Times New Roman" w:hAnsi="Times New Roman"/>
            <w:b w:val="false"/>
            <w:i w:val="false"/>
            <w:color w:val="000000"/>
            <w:sz w:val="22"/>
          </w:rPr>
          <w:t>50.39(1)</w:t>
        </w:r>
        <w:r>
          <w:rPr>
            <w:rFonts w:ascii="Times New Roman" w:hAnsi="Times New Roman"/>
            <w:b w:val="false"/>
            <w:i/>
            <w:color w:val="000000"/>
            <w:sz w:val="22"/>
          </w:rPr>
          <w:t>“f,”</w:t>
        </w:r>
      </w:hyperlink>
      <w:r>
        <w:rPr>
          <w:rFonts w:ascii="Times New Roman" w:hAnsi="Times New Roman"/>
          <w:b w:val="false"/>
          <w:i w:val="false"/>
          <w:color w:val="000000"/>
          <w:sz w:val="22"/>
        </w:rPr>
        <w:t xml:space="preserve"> an investment adviser is not required to obtain an independent verification of client funds and securities maintained by a qualified custodian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investment adviser has custody of the funds and securities solely as a consequence of its authority to make withdrawals from client accounts to pay its advisory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investment adviser has written authorization from the client to deduct advisory fees from the account held with the qualified custodian;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time a fee is directly deducted from a client account, the investment adviser concurrently: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Sends the independent party designated pursuant to subparagraph </w:t>
      </w:r>
      <w:hyperlink r:id="rId198">
        <w:r>
          <w:rPr>
            <w:rStyle w:val="Hyperlink"/>
            <w:rFonts w:ascii="Times New Roman" w:hAnsi="Times New Roman"/>
            <w:b w:val="false"/>
            <w:i w:val="false"/>
            <w:color w:val="000000"/>
            <w:sz w:val="22"/>
          </w:rPr>
          <w:t>50.39(1)</w:t>
        </w:r>
        <w:r>
          <w:rPr>
            <w:rFonts w:ascii="Times New Roman" w:hAnsi="Times New Roman"/>
            <w:b w:val="false"/>
            <w:i/>
            <w:color w:val="000000"/>
            <w:sz w:val="22"/>
          </w:rPr>
          <w:t>“e”</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 invoice or statement of the amount of the fee to be deducted from the client’s account;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Sends the client an invoice or statement itemizing the fee. Itemization includes the formula used to calculate the fee, the amount of assets under management on which the fee is based, and the time period covered by the fee;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investment adviser notifies the administrator in writing that the investment adviser intends to use the safeguards provided in paragraph </w:t>
      </w:r>
      <w:hyperlink r:id="rId199">
        <w:r>
          <w:rPr>
            <w:rStyle w:val="Hyperlink"/>
            <w:rFonts w:ascii="Times New Roman" w:hAnsi="Times New Roman"/>
            <w:b w:val="false"/>
            <w:i w:val="false"/>
            <w:color w:val="000000"/>
            <w:sz w:val="22"/>
          </w:rPr>
          <w:t>50.39(2)</w:t>
        </w:r>
        <w:r>
          <w:rPr>
            <w:rFonts w:ascii="Times New Roman" w:hAnsi="Times New Roman"/>
            <w:b w:val="false"/>
            <w:i/>
            <w:color w:val="000000"/>
            <w:sz w:val="22"/>
          </w:rPr>
          <w:t>“c.”</w:t>
        </w:r>
      </w:hyperlink>
      <w:r>
        <w:rPr>
          <w:rFonts w:ascii="Times New Roman" w:hAnsi="Times New Roman"/>
          <w:b w:val="false"/>
          <w:i w:val="false"/>
          <w:color w:val="000000"/>
          <w:sz w:val="22"/>
        </w:rPr>
        <w:t xml:space="preserve"> Such notification is required to be given on Form ADV.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Limited partnerships subject to annual audit. </w:t>
      </w:r>
      <w:r>
        <w:rPr>
          <w:rFonts w:ascii="Times New Roman" w:hAnsi="Times New Roman"/>
          <w:b w:val="false"/>
          <w:i w:val="false"/>
          <w:color w:val="000000"/>
          <w:sz w:val="22"/>
        </w:rPr>
        <w:t xml:space="preserve">An investment adviser is not required to comply with paragraphs </w:t>
      </w:r>
      <w:hyperlink r:id="rId200">
        <w:r>
          <w:rPr>
            <w:rStyle w:val="Hyperlink"/>
            <w:rFonts w:ascii="Times New Roman" w:hAnsi="Times New Roman"/>
            <w:b w:val="false"/>
            <w:i w:val="false"/>
            <w:color w:val="000000"/>
            <w:sz w:val="22"/>
          </w:rPr>
          <w:t>50.39(1)</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shall be deemed to have complied with paragraph </w:t>
      </w:r>
      <w:hyperlink r:id="rId201">
        <w:r>
          <w:rPr>
            <w:rStyle w:val="Hyperlink"/>
            <w:rFonts w:ascii="Times New Roman" w:hAnsi="Times New Roman"/>
            <w:b w:val="false"/>
            <w:i w:val="false"/>
            <w:color w:val="000000"/>
            <w:sz w:val="22"/>
          </w:rPr>
          <w:t>50.39(1)</w:t>
        </w:r>
        <w:r>
          <w:rPr>
            <w:rFonts w:ascii="Times New Roman" w:hAnsi="Times New Roman"/>
            <w:b w:val="false"/>
            <w:i/>
            <w:color w:val="000000"/>
            <w:sz w:val="22"/>
          </w:rPr>
          <w:t>“f”</w:t>
        </w:r>
      </w:hyperlink>
      <w:r>
        <w:rPr>
          <w:rFonts w:ascii="Times New Roman" w:hAnsi="Times New Roman"/>
          <w:b w:val="false"/>
          <w:i w:val="false"/>
          <w:color w:val="000000"/>
          <w:sz w:val="22"/>
        </w:rPr>
        <w:t xml:space="preserve"> with respect to the account of a limited partnership (or limited liability company, or another type of pooled investment vehicle) if each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adviser sends to all limited partners (or members or other beneficial owners), at least quarterly, a statement showing: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total amount of all additions to and withdrawals from the fund as a whole as well as the opening and closing value of the fund at the end of the quarter based on the custodian’s records;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listing of all long and short positions on the closing date of the statement in accordance with the Financial Accounting Standards Board, Rule ASC 946-210-50;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total amount of additions to and withdrawals from the fund by the investor as well as the total value of the investor’s interest in the fund at the end of the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annually the fund is subject to an audit and distributes the fund’s audited financial statements prepared in accordance with generally accepted accounting principles to all limited partners (or members or other beneficial owners) and the administrator within 120 days of the end of the fund’s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audit is performed by an independent CPA that is registered with, and subject to regular inspection as of the commencement of the professional engagement period, and as of each calendar year-end, by, the Public Company Accounting Oversight Board in accordance with its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Upon liquidation, the adviser distributes the fund’s final audited financial statements prepared in accordance with generally accepted accounting principles to all limited partners (or members or other beneficial owners) and the administrator promptly after the completion of such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written agreement with the independent CPA must require the independent CPA, upon resignation or dismissal from, or other termination of, the engagement, or upon removing itself or being removed from consideration for being reappointed, to notify the administrator within four business days accompanied by a statement that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 of such resignation, dismissal, removal, or other termination, and the name, address, and contact information of the independent CPA;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explanation of any problems relating to audit scope or procedure that contributed to such resignation, dismissal, removal, or other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investment adviser must also notify the administrator in writing that the investment adviser intends to employ the use of the statement delivery and audit safeguards described in paragraph </w:t>
      </w:r>
      <w:hyperlink r:id="rId202">
        <w:r>
          <w:rPr>
            <w:rStyle w:val="Hyperlink"/>
            <w:rFonts w:ascii="Times New Roman" w:hAnsi="Times New Roman"/>
            <w:b w:val="false"/>
            <w:i w:val="false"/>
            <w:color w:val="000000"/>
            <w:sz w:val="22"/>
          </w:rPr>
          <w:t>50.39(2)</w:t>
        </w:r>
        <w:r>
          <w:rPr>
            <w:rFonts w:ascii="Times New Roman" w:hAnsi="Times New Roman"/>
            <w:b w:val="false"/>
            <w:i/>
            <w:color w:val="000000"/>
            <w:sz w:val="22"/>
          </w:rPr>
          <w:t>“d.”</w:t>
        </w:r>
      </w:hyperlink>
      <w:r>
        <w:rPr>
          <w:rFonts w:ascii="Times New Roman" w:hAnsi="Times New Roman"/>
          <w:b w:val="false"/>
          <w:i w:val="false"/>
          <w:color w:val="000000"/>
          <w:sz w:val="22"/>
        </w:rPr>
        <w:t xml:space="preserve"> Such notification is required to be given on Form ADV.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Registered investment companies. </w:t>
      </w:r>
      <w:r>
        <w:rPr>
          <w:rFonts w:ascii="Times New Roman" w:hAnsi="Times New Roman"/>
          <w:b w:val="false"/>
          <w:i w:val="false"/>
          <w:color w:val="000000"/>
          <w:sz w:val="22"/>
        </w:rPr>
        <w:t xml:space="preserve">The investment adviser is not required to comply with rule </w:t>
      </w:r>
      <w:hyperlink r:id="rId203">
        <w:r>
          <w:rPr>
            <w:rStyle w:val="Hyperlink"/>
            <w:rFonts w:ascii="Times New Roman" w:hAnsi="Times New Roman"/>
            <w:b w:val="false"/>
            <w:i w:val="false"/>
            <w:color w:val="000000"/>
            <w:sz w:val="22"/>
          </w:rPr>
          <w:t>191—50.39</w:t>
        </w:r>
      </w:hyperlink>
      <w:r>
        <w:rPr>
          <w:rFonts w:ascii="Times New Roman" w:hAnsi="Times New Roman"/>
          <w:b w:val="false"/>
          <w:i w:val="false"/>
          <w:color w:val="000000"/>
          <w:sz w:val="22"/>
        </w:rPr>
        <w:t>(502) with respect to the account of an investment company registered under the Investment Company Act of 1940.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50.39(3)</w:t>
      </w:r>
      <w:r>
        <w:rPr>
          <w:rFonts w:ascii="Times New Roman" w:hAnsi="Times New Roman"/>
          <w:b w:val="false"/>
          <w:i w:val="false"/>
          <w:color w:val="000000"/>
          <w:sz w:val="22"/>
        </w:rPr>
        <w:t> </w:t>
      </w:r>
      <w:r>
        <w:rPr>
          <w:rFonts w:ascii="Times New Roman" w:hAnsi="Times New Roman"/>
          <w:b w:val="false"/>
          <w:i/>
          <w:color w:val="000000"/>
          <w:sz w:val="22"/>
        </w:rPr>
        <w:t xml:space="preserve">Delivery to related persons. </w:t>
      </w:r>
      <w:r>
        <w:rPr>
          <w:rFonts w:ascii="Times New Roman" w:hAnsi="Times New Roman"/>
          <w:b w:val="false"/>
          <w:i w:val="false"/>
          <w:color w:val="000000"/>
          <w:sz w:val="22"/>
        </w:rPr>
        <w:t xml:space="preserve">Sending an account statement under paragraph </w:t>
      </w:r>
      <w:hyperlink r:id="rId204">
        <w:r>
          <w:rPr>
            <w:rStyle w:val="Hyperlink"/>
            <w:rFonts w:ascii="Times New Roman" w:hAnsi="Times New Roman"/>
            <w:b w:val="false"/>
            <w:i w:val="false"/>
            <w:color w:val="000000"/>
            <w:sz w:val="22"/>
          </w:rPr>
          <w:t>50.39(1)</w:t>
        </w:r>
        <w:r>
          <w:rPr>
            <w:rFonts w:ascii="Times New Roman" w:hAnsi="Times New Roman"/>
            <w:b w:val="false"/>
            <w:i/>
            <w:color w:val="000000"/>
            <w:sz w:val="22"/>
          </w:rPr>
          <w:t>“e”</w:t>
        </w:r>
      </w:hyperlink>
      <w:r>
        <w:rPr>
          <w:rFonts w:ascii="Times New Roman" w:hAnsi="Times New Roman"/>
          <w:b w:val="false"/>
          <w:i w:val="false"/>
          <w:color w:val="000000"/>
          <w:sz w:val="22"/>
        </w:rPr>
        <w:t xml:space="preserve"> or distributing audited financial statements under paragraph </w:t>
      </w:r>
      <w:hyperlink r:id="rId205">
        <w:r>
          <w:rPr>
            <w:rStyle w:val="Hyperlink"/>
            <w:rFonts w:ascii="Times New Roman" w:hAnsi="Times New Roman"/>
            <w:b w:val="false"/>
            <w:i w:val="false"/>
            <w:color w:val="000000"/>
            <w:sz w:val="22"/>
          </w:rPr>
          <w:t>50.39(2)</w:t>
        </w:r>
        <w:r>
          <w:rPr>
            <w:rFonts w:ascii="Times New Roman" w:hAnsi="Times New Roman"/>
            <w:b w:val="false"/>
            <w:i/>
            <w:color w:val="000000"/>
            <w:sz w:val="22"/>
          </w:rPr>
          <w:t>“d”</w:t>
        </w:r>
      </w:hyperlink>
      <w:r>
        <w:rPr>
          <w:rFonts w:ascii="Times New Roman" w:hAnsi="Times New Roman"/>
          <w:b w:val="false"/>
          <w:i w:val="false"/>
          <w:color w:val="000000"/>
          <w:sz w:val="22"/>
        </w:rPr>
        <w:t xml:space="preserve"> shall not satisfy the requirements of rule </w:t>
      </w:r>
      <w:hyperlink r:id="rId206">
        <w:r>
          <w:rPr>
            <w:rStyle w:val="Hyperlink"/>
            <w:rFonts w:ascii="Times New Roman" w:hAnsi="Times New Roman"/>
            <w:b w:val="false"/>
            <w:i w:val="false"/>
            <w:color w:val="000000"/>
            <w:sz w:val="22"/>
          </w:rPr>
          <w:t>191—50.39</w:t>
        </w:r>
      </w:hyperlink>
      <w:r>
        <w:rPr>
          <w:rFonts w:ascii="Times New Roman" w:hAnsi="Times New Roman"/>
          <w:b w:val="false"/>
          <w:i w:val="false"/>
          <w:color w:val="000000"/>
          <w:sz w:val="22"/>
        </w:rPr>
        <w:t>(502) if such account statements or financial statements are sent solely to limited partners (or members or other beneficial owners) that themselves are limited partnerships (or limited liability companies, or another type of pooled investment vehicle) and are related persons of the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50.39(4)</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“Control”</w:t>
      </w:r>
      <w:r>
        <w:rPr>
          <w:rFonts w:ascii="Times New Roman" w:hAnsi="Times New Roman"/>
          <w:b w:val="false"/>
          <w:i w:val="false"/>
          <w:color w:val="000000"/>
          <w:sz w:val="22"/>
        </w:rPr>
        <w:t xml:space="preserve"> means the power, directly or indirectly, to direct the management or policies of a person whether through ownership of securities, by contract, or otherwise. “Control” includes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of the investment adviser’s officers, partners, or directors exercising executive responsibility (or persons having similar status or functions) is presumed to control the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is presumed to control a corporation if the person: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Directly or indirectly has the right to vote 25 percent or more of a class of the corporation’s voting securities;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Has the power to sell or direct the sale of 25 percent or more of a class of the corporation’s voting securities;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is presumed to control a partnership if the person has the right to receive upon dissolution, or has contributed, 25 percent or more of the capital of the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person is presumed to control a limited liability company if the person: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Directly or indirectly has the right to vote 25 percent or more of a class of the interests of the limited liability company;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the right to receive upon dissolution, or has contributed, 25 percent or more of the capital of the limited liability company;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 an elected manager of the limited liability company;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person is presumed to control a trust if the person is a trustee or managing agent of the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“Custody”</w:t>
      </w:r>
      <w:r>
        <w:rPr>
          <w:rFonts w:ascii="Times New Roman" w:hAnsi="Times New Roman"/>
          <w:b w:val="false"/>
          <w:i w:val="false"/>
          <w:color w:val="000000"/>
          <w:sz w:val="22"/>
        </w:rPr>
        <w:t xml:space="preserve"> means holding, directly or indirectly, client funds or securities, having any authority to obtain possession of client funds or securities, or having the ability to appropriate client funds or securities. The investment adviser has custody if a related person holds, directly or indirectly, client funds or securities, or has any authority to obtain possession of them, in connection with advisory services the investment adviser provides to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“Custody”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Possession of client funds or securities unless received inadvertently and returned to the sender within three business days of receiving them and the investment adviser maintains the records required under paragraph </w:t>
      </w:r>
      <w:hyperlink r:id="rId207">
        <w:r>
          <w:rPr>
            <w:rStyle w:val="Hyperlink"/>
            <w:rFonts w:ascii="Times New Roman" w:hAnsi="Times New Roman"/>
            <w:b w:val="false"/>
            <w:i w:val="false"/>
            <w:color w:val="000000"/>
            <w:sz w:val="22"/>
          </w:rPr>
          <w:t>50.42(1)</w:t>
        </w:r>
        <w:r>
          <w:rPr>
            <w:rFonts w:ascii="Times New Roman" w:hAnsi="Times New Roman"/>
            <w:b w:val="false"/>
            <w:i/>
            <w:color w:val="000000"/>
            <w:sz w:val="22"/>
          </w:rPr>
          <w:t>“v”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arrangement including, but not limited to, a general power of attorney pursuant to which the investment adviser is authorized or permitted to withdraw client funds or securities maintained with a custodian upon the investment adviser’s instruction;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capacity including, but not limited to, general partner of a limited partnership, managing member of a limited liability company, a comparable position for another type of pooled investment vehicle, or trustee of a trust that gives the investment adviser or a person supervised by the investment adviser legal ownership of or access to client funds or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Receipt of checks drawn by clients and made payable to third parties will not meet the definition of custody if forwarded to the third party within three business days of receipt and the investment adviser maintains the records required under paragraph </w:t>
      </w:r>
      <w:hyperlink r:id="rId208">
        <w:r>
          <w:rPr>
            <w:rStyle w:val="Hyperlink"/>
            <w:rFonts w:ascii="Times New Roman" w:hAnsi="Times New Roman"/>
            <w:b w:val="false"/>
            <w:i w:val="false"/>
            <w:color w:val="000000"/>
            <w:sz w:val="22"/>
          </w:rPr>
          <w:t>50.42(1)</w:t>
        </w:r>
        <w:r>
          <w:rPr>
            <w:rFonts w:ascii="Times New Roman" w:hAnsi="Times New Roman"/>
            <w:b w:val="false"/>
            <w:i/>
            <w:color w:val="000000"/>
            <w:sz w:val="22"/>
          </w:rPr>
          <w:t>“v.”</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“Independent certified public accountant”</w:t>
      </w:r>
      <w:r>
        <w:rPr>
          <w:rFonts w:ascii="Times New Roman" w:hAnsi="Times New Roman"/>
          <w:b w:val="false"/>
          <w:i w:val="false"/>
          <w:color w:val="000000"/>
          <w:sz w:val="22"/>
        </w:rPr>
        <w:t xml:space="preserve"> means a certified public accountant that meets the standards of independence described in SEC Rule 2-01(b) and (c) of Regulation S-X (17 CFR 210.2-01(b) and (c)).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“Independent representative”</w:t>
      </w:r>
      <w:r>
        <w:rPr>
          <w:rFonts w:ascii="Times New Roman" w:hAnsi="Times New Roman"/>
          <w:b w:val="false"/>
          <w:i w:val="false"/>
          <w:color w:val="000000"/>
          <w:sz w:val="22"/>
        </w:rPr>
        <w:t xml:space="preserve"> means a person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Acts as agent for an advisory client including, in the case of a pooled investment vehicle, limited partners of a limited partnership, members of a limited liability company, or other beneficial owners of another type of pooled investment vehicle, and who is by law or contract required to act in the best interest of the advisory client or the limited partners or members, or other beneficial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control, is not controlled by, and is not under common control with the investment adviser;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Does not have and has not had within the past two years a material business relationship with the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“Qualified custodian”</w:t>
      </w:r>
      <w:r>
        <w:rPr>
          <w:rFonts w:ascii="Times New Roman" w:hAnsi="Times New Roman"/>
          <w:b w:val="false"/>
          <w:i w:val="false"/>
          <w:color w:val="000000"/>
          <w:sz w:val="22"/>
        </w:rPr>
        <w:t xml:space="preserve"> means the following independent institutions or entities that are not affiliated with the investment adviser by any direct or indirect common control and have not had a material business relationship with the investment adviser in the previous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bank or savings association that has deposits insured by the Federal Deposit Insurance Corporation under the Federal Deposit Insurance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broker-dealer registered in Iowa and with the SEC holding client assets in customer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registered futures commission merchant registered pursuant to Section 4(f)(a) of the Commodity Exchange Act that is holding client funds and security futures or other securities incidental to transactions in contracts for the purchase or sale of a commodity for future delivery and options thereon in customer accounts;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foreign financial institution that customarily holds financial assets for its customers, provided that the foreign financial institution keeps the advisory clients’ assets in customer accounts segregated from its proprietary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“Related person”</w:t>
      </w:r>
      <w:r>
        <w:rPr>
          <w:rFonts w:ascii="Times New Roman" w:hAnsi="Times New Roman"/>
          <w:b w:val="false"/>
          <w:i w:val="false"/>
          <w:color w:val="000000"/>
          <w:sz w:val="22"/>
        </w:rPr>
        <w:t xml:space="preserve"> means any person, directly or indirectly, controlling or controlled by the investment adviser, and any person that is under common control with the investment adviser.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9">
        <w:r>
          <w:rPr>
            <w:rStyle w:val="Hyperlink"/>
            <w:rFonts w:ascii="Times New Roman" w:hAnsi="Times New Roman"/>
            <w:b w:val="false"/>
            <w:i w:val="false"/>
            <w:color w:val="000000"/>
            <w:sz w:val="22"/>
          </w:rPr>
          <w:t>502.411(5)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3741C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191—50.40</w:t>
      </w:r>
      <w:r>
        <w:rPr>
          <w:rFonts w:ascii="Times New Roman" w:hAnsi="Times New Roman"/>
          <w:b/>
          <w:i w:val="false"/>
          <w:color w:val="000000"/>
          <w:sz w:val="22"/>
        </w:rPr>
        <w:t xml:space="preserve">(502) </w:t>
      </w:r>
      <w:r>
        <w:rPr>
          <w:rFonts w:ascii="Times New Roman" w:hAnsi="Times New Roman"/>
          <w:b/>
          <w:i w:val="false"/>
          <w:color w:val="000000"/>
          <w:sz w:val="22"/>
        </w:rPr>
        <w:t xml:space="preserve">Minimum financial requirements for investment advisers.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50.40(1)</w:t>
      </w:r>
      <w:r>
        <w:rPr>
          <w:rFonts w:ascii="Times New Roman" w:hAnsi="Times New Roman"/>
          <w:b w:val="false"/>
          <w:i w:val="false"/>
          <w:color w:val="000000"/>
          <w:sz w:val="22"/>
        </w:rPr>
        <w:t> </w:t>
      </w:r>
      <w:r>
        <w:rPr>
          <w:rFonts w:ascii="Times New Roman" w:hAnsi="Times New Roman"/>
          <w:b w:val="false"/>
          <w:i w:val="false"/>
          <w:color w:val="000000"/>
          <w:sz w:val="22"/>
        </w:rPr>
        <w:t>An investment adviser registered or required to be registered under the Act that has custody of client funds or securities shall maintain at all times a minimum net worth of $35,000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investment adviser that has custody solely due to direct fee deduction and that is also in compliance with the applicable safekeeping requirements of paragraph </w:t>
      </w:r>
      <w:hyperlink r:id="rId210">
        <w:r>
          <w:rPr>
            <w:rStyle w:val="Hyperlink"/>
            <w:rFonts w:ascii="Times New Roman" w:hAnsi="Times New Roman"/>
            <w:b w:val="false"/>
            <w:i w:val="false"/>
            <w:color w:val="000000"/>
            <w:sz w:val="22"/>
          </w:rPr>
          <w:t>50.39(2)</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the record-keeping requirements of rule </w:t>
      </w:r>
      <w:hyperlink r:id="rId211">
        <w:r>
          <w:rPr>
            <w:rStyle w:val="Hyperlink"/>
            <w:rFonts w:ascii="Times New Roman" w:hAnsi="Times New Roman"/>
            <w:b w:val="false"/>
            <w:i w:val="false"/>
            <w:color w:val="000000"/>
            <w:sz w:val="22"/>
          </w:rPr>
          <w:t>191—50.42</w:t>
        </w:r>
      </w:hyperlink>
      <w:r>
        <w:rPr>
          <w:rFonts w:ascii="Times New Roman" w:hAnsi="Times New Roman"/>
          <w:b w:val="false"/>
          <w:i w:val="false"/>
          <w:color w:val="000000"/>
          <w:sz w:val="22"/>
        </w:rPr>
        <w:t>(502) is not required to comply with the net worth requirements of this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investment adviser having custody solely due to advising pooled investment vehicles and that is in compliance with the applicable safekeeping requirements of paragraph </w:t>
      </w:r>
      <w:hyperlink r:id="rId212">
        <w:r>
          <w:rPr>
            <w:rStyle w:val="Hyperlink"/>
            <w:rFonts w:ascii="Times New Roman" w:hAnsi="Times New Roman"/>
            <w:b w:val="false"/>
            <w:i w:val="false"/>
            <w:color w:val="000000"/>
            <w:sz w:val="22"/>
          </w:rPr>
          <w:t>50.39(1)</w:t>
        </w:r>
        <w:r>
          <w:rPr>
            <w:rFonts w:ascii="Times New Roman" w:hAnsi="Times New Roman"/>
            <w:b w:val="false"/>
            <w:i/>
            <w:color w:val="000000"/>
            <w:sz w:val="22"/>
          </w:rPr>
          <w:t>“e”</w:t>
        </w:r>
      </w:hyperlink>
      <w:r>
        <w:rPr>
          <w:rFonts w:ascii="Times New Roman" w:hAnsi="Times New Roman"/>
          <w:b w:val="false"/>
          <w:i w:val="false"/>
          <w:color w:val="000000"/>
          <w:sz w:val="22"/>
        </w:rPr>
        <w:t xml:space="preserve"> or </w:t>
      </w:r>
      <w:hyperlink r:id="rId213">
        <w:r>
          <w:rPr>
            <w:rStyle w:val="Hyperlink"/>
            <w:rFonts w:ascii="Times New Roman" w:hAnsi="Times New Roman"/>
            <w:b w:val="false"/>
            <w:i w:val="false"/>
            <w:color w:val="000000"/>
            <w:sz w:val="22"/>
          </w:rPr>
          <w:t>50.39(2)</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the record-keeping requirements of rule </w:t>
      </w:r>
      <w:hyperlink r:id="rId214">
        <w:r>
          <w:rPr>
            <w:rStyle w:val="Hyperlink"/>
            <w:rFonts w:ascii="Times New Roman" w:hAnsi="Times New Roman"/>
            <w:b w:val="false"/>
            <w:i w:val="false"/>
            <w:color w:val="000000"/>
            <w:sz w:val="22"/>
          </w:rPr>
          <w:t>191—50.42</w:t>
        </w:r>
      </w:hyperlink>
      <w:r>
        <w:rPr>
          <w:rFonts w:ascii="Times New Roman" w:hAnsi="Times New Roman"/>
          <w:b w:val="false"/>
          <w:i w:val="false"/>
          <w:color w:val="000000"/>
          <w:sz w:val="22"/>
        </w:rPr>
        <w:t>(502) is not required to comply with the net worth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50.40(2)</w:t>
      </w:r>
      <w:r>
        <w:rPr>
          <w:rFonts w:ascii="Times New Roman" w:hAnsi="Times New Roman"/>
          <w:b w:val="false"/>
          <w:i w:val="false"/>
          <w:color w:val="000000"/>
          <w:sz w:val="22"/>
        </w:rPr>
        <w:t> </w:t>
      </w:r>
      <w:r>
        <w:rPr>
          <w:rFonts w:ascii="Times New Roman" w:hAnsi="Times New Roman"/>
          <w:b w:val="false"/>
          <w:i w:val="false"/>
          <w:color w:val="000000"/>
          <w:sz w:val="22"/>
        </w:rPr>
        <w:t>An investment adviser registered or required to be registered pursuant to the Act that has discretionary authority over client funds or securities but does not have custody of client funds or securities shall maintain a minimum net worth of $10,000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50.40(3)</w:t>
      </w:r>
      <w:r>
        <w:rPr>
          <w:rFonts w:ascii="Times New Roman" w:hAnsi="Times New Roman"/>
          <w:b w:val="false"/>
          <w:i w:val="false"/>
          <w:color w:val="000000"/>
          <w:sz w:val="22"/>
        </w:rPr>
        <w:t> </w:t>
      </w:r>
      <w:r>
        <w:rPr>
          <w:rFonts w:ascii="Times New Roman" w:hAnsi="Times New Roman"/>
          <w:b w:val="false"/>
          <w:i w:val="false"/>
          <w:color w:val="000000"/>
          <w:sz w:val="22"/>
        </w:rPr>
        <w:t>An investment adviser registered or required to be registered pursuant to the Act shall maintain a positive net worth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50.40(4)</w:t>
      </w:r>
      <w:r>
        <w:rPr>
          <w:rFonts w:ascii="Times New Roman" w:hAnsi="Times New Roman"/>
          <w:b w:val="false"/>
          <w:i w:val="false"/>
          <w:color w:val="000000"/>
          <w:sz w:val="22"/>
        </w:rPr>
        <w:t> </w:t>
      </w:r>
      <w:r>
        <w:rPr>
          <w:rFonts w:ascii="Times New Roman" w:hAnsi="Times New Roman"/>
          <w:b w:val="false"/>
          <w:i w:val="false"/>
          <w:color w:val="000000"/>
          <w:sz w:val="22"/>
        </w:rPr>
        <w:t>Unless otherwise exempted, an investment adviser registered or required to be registered pursuant to the Act shall notify the administrator if the investment adviser’s net worth is less than the minimum required. Notice must be filed in a report to the administrator no later than the close of business on the next business day following the decrease in net worth. Additionally, an investment adviser shall file by the close of business on the next business day a report with the administrator of the investment adviser’s financial condition including,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trial balance of all ledger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all client funds or securities which are not segregated;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computation of the aggregate amount of client ledger debit balances;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total number of client accounts managed by the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50.40(5)</w:t>
      </w:r>
      <w:r>
        <w:rPr>
          <w:rFonts w:ascii="Times New Roman" w:hAnsi="Times New Roman"/>
          <w:b w:val="false"/>
          <w:i w:val="false"/>
          <w:color w:val="000000"/>
          <w:sz w:val="22"/>
        </w:rPr>
        <w:t> </w:t>
      </w:r>
      <w:r>
        <w:rPr>
          <w:rFonts w:ascii="Times New Roman" w:hAnsi="Times New Roman"/>
          <w:b w:val="false"/>
          <w:i w:val="false"/>
          <w:color w:val="000000"/>
          <w:sz w:val="22"/>
        </w:rPr>
        <w:t>The administrator may require the submission of a current appraisal for the purpose of establishing the worth of any asset.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50.40(6)</w:t>
      </w:r>
      <w:r>
        <w:rPr>
          <w:rFonts w:ascii="Times New Roman" w:hAnsi="Times New Roman"/>
          <w:b w:val="false"/>
          <w:i w:val="false"/>
          <w:color w:val="000000"/>
          <w:sz w:val="22"/>
        </w:rPr>
        <w:t> </w:t>
      </w:r>
      <w:r>
        <w:rPr>
          <w:rFonts w:ascii="Times New Roman" w:hAnsi="Times New Roman"/>
          <w:b w:val="false"/>
          <w:i w:val="false"/>
          <w:color w:val="000000"/>
          <w:sz w:val="22"/>
        </w:rPr>
        <w:t>An investment adviser that has its principal place of business in a state other than this state is not required to maintain the minimum capital required by this rule provided that the investment adviser is registered as an investment adviser in the state in which the investment adviser has its principal place of business and is in compliance with that state’s laws regarding minimum capital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50.40(7)</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“Net worth” means an excess of assets over liabilities calculated in accordance with generally accepted accounting principles. The calculation of assets shall not include the following: prepaid expenses (except those prepaid expenses classified as assets under generally accepted accounting principles); deferred charges, goodwill, franchise rights, organizational expenses, patents, copyrights, marketing rights, unamortized debt discount and expense, and all other assets of intangible nature; in the case of an individual, home(s), home furnishings, automobile(s), or any other personal items not readily marketable; in the case of a corporation, advances or loans to stockholders or officers; and in the case of a partnership, advances or loans to partners.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“Custody” means the same as defined in paragraph </w:t>
      </w:r>
      <w:hyperlink r:id="rId215">
        <w:r>
          <w:rPr>
            <w:rStyle w:val="Hyperlink"/>
            <w:rFonts w:ascii="Times New Roman" w:hAnsi="Times New Roman"/>
            <w:b w:val="false"/>
            <w:i w:val="false"/>
            <w:color w:val="000000"/>
            <w:sz w:val="22"/>
          </w:rPr>
          <w:t>50.39(4)</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investment adviser shall not be deemed to be exercising discretion when the investment adviser places trade orders with a broker-dealer pursuant to a third-party trading agreement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investment adviser has executed a separate investment adviser contract exclusively with the investment adviser’s client which acknowledges that a third-party trading agreement will be executed to allow the investment adviser to effect securities transactions for the client in the client’s broker-dealer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investment adviser contract specifically states that the client does not grant discretionary authority to the investment adviser and the investment adviser in fact does not exercise discretion with respect to the account;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third-party trading agreement is executed between the client and a broker-dealer which specifically limits the investment adviser’s authority in the client’s broker-dealer account to the placement of trade orders and deduction of investment adviser fees.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6">
        <w:r>
          <w:rPr>
            <w:rStyle w:val="Hyperlink"/>
            <w:rFonts w:ascii="Times New Roman" w:hAnsi="Times New Roman"/>
            <w:b w:val="false"/>
            <w:i w:val="false"/>
            <w:color w:val="000000"/>
            <w:sz w:val="22"/>
          </w:rPr>
          <w:t>502.411(1)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191—50.41</w:t>
      </w:r>
      <w:r>
        <w:rPr>
          <w:rFonts w:ascii="Times New Roman" w:hAnsi="Times New Roman"/>
          <w:b/>
          <w:i w:val="false"/>
          <w:color w:val="000000"/>
          <w:sz w:val="22"/>
        </w:rPr>
        <w:t xml:space="preserve">(502) </w:t>
      </w:r>
      <w:r>
        <w:rPr>
          <w:rFonts w:ascii="Times New Roman" w:hAnsi="Times New Roman"/>
          <w:b/>
          <w:i w:val="false"/>
          <w:color w:val="000000"/>
          <w:sz w:val="22"/>
        </w:rPr>
        <w:t xml:space="preserve">Bonding requirements for investment advisers.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50.41(1)</w:t>
      </w:r>
      <w:r>
        <w:rPr>
          <w:rFonts w:ascii="Times New Roman" w:hAnsi="Times New Roman"/>
          <w:b w:val="false"/>
          <w:i w:val="false"/>
          <w:color w:val="000000"/>
          <w:sz w:val="22"/>
        </w:rPr>
        <w:t> </w:t>
      </w:r>
      <w:r>
        <w:rPr>
          <w:rFonts w:ascii="Times New Roman" w:hAnsi="Times New Roman"/>
          <w:b w:val="false"/>
          <w:i w:val="false"/>
          <w:color w:val="000000"/>
          <w:sz w:val="22"/>
        </w:rPr>
        <w:t>Every investment adviser registered or required to be registered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Having custody of or discretionary authority over client funds or securities shall be bonded in an amount determined by the administrator based upon the number of clients and the total assets under management of the investment adviser;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Having custody of or discretionary authority over client funds or securities when the investment adviser does not meet the minimum net worth standard provisions of subrules </w:t>
      </w:r>
      <w:hyperlink r:id="rId217">
        <w:r>
          <w:rPr>
            <w:rStyle w:val="Hyperlink"/>
            <w:rFonts w:ascii="Times New Roman" w:hAnsi="Times New Roman"/>
            <w:b w:val="false"/>
            <w:i w:val="false"/>
            <w:color w:val="000000"/>
            <w:sz w:val="22"/>
          </w:rPr>
          <w:t>50.40(1)</w:t>
        </w:r>
      </w:hyperlink>
      <w:r>
        <w:rPr>
          <w:rFonts w:ascii="Times New Roman" w:hAnsi="Times New Roman"/>
          <w:b w:val="false"/>
          <w:i w:val="false"/>
          <w:color w:val="000000"/>
          <w:sz w:val="22"/>
        </w:rPr>
        <w:t xml:space="preserve"> and </w:t>
      </w:r>
      <w:hyperlink r:id="rId218">
        <w:r>
          <w:rPr>
            <w:rStyle w:val="Hyperlink"/>
            <w:rFonts w:ascii="Times New Roman" w:hAnsi="Times New Roman"/>
            <w:b w:val="false"/>
            <w:i w:val="false"/>
            <w:color w:val="000000"/>
            <w:sz w:val="22"/>
          </w:rPr>
          <w:t>50.40(2)</w:t>
        </w:r>
      </w:hyperlink>
      <w:r>
        <w:rPr>
          <w:rFonts w:ascii="Times New Roman" w:hAnsi="Times New Roman"/>
          <w:b w:val="false"/>
          <w:i w:val="false"/>
          <w:color w:val="000000"/>
          <w:sz w:val="22"/>
        </w:rPr>
        <w:t xml:space="preserve"> must be bonded in the amount of the net worth deficiency rounded up to the nearest $5,000.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50.41(2)</w:t>
      </w:r>
      <w:r>
        <w:rPr>
          <w:rFonts w:ascii="Times New Roman" w:hAnsi="Times New Roman"/>
          <w:b w:val="false"/>
          <w:i w:val="false"/>
          <w:color w:val="000000"/>
          <w:sz w:val="22"/>
        </w:rPr>
        <w:t> </w:t>
      </w:r>
      <w:r>
        <w:rPr>
          <w:rFonts w:ascii="Times New Roman" w:hAnsi="Times New Roman"/>
          <w:b w:val="false"/>
          <w:i w:val="false"/>
          <w:color w:val="000000"/>
          <w:sz w:val="22"/>
        </w:rPr>
        <w:t>A bond required by this rule shall be issued by a company qualified to do business in this state in the form determined by the administrator and shall be subject to the claims of clients of the investment adviser regardless of the client’s state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50.41(3)</w:t>
      </w:r>
      <w:r>
        <w:rPr>
          <w:rFonts w:ascii="Times New Roman" w:hAnsi="Times New Roman"/>
          <w:b w:val="false"/>
          <w:i w:val="false"/>
          <w:color w:val="000000"/>
          <w:sz w:val="22"/>
        </w:rPr>
        <w:t> </w:t>
      </w:r>
      <w:r>
        <w:rPr>
          <w:rFonts w:ascii="Times New Roman" w:hAnsi="Times New Roman"/>
          <w:b w:val="false"/>
          <w:i w:val="false"/>
          <w:color w:val="000000"/>
          <w:sz w:val="22"/>
        </w:rPr>
        <w:t>An investment adviser that has a principal place of business in a state other than Iowa is exempt from this rule provided that the investment adviser is registered as an investment adviser in the state in which the investment adviser has its principal place of business and is in compliance with that state’s laws regarding bonding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50.41(4)</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rule, “custody” means the same as defined in paragraph </w:t>
      </w:r>
      <w:hyperlink r:id="rId219">
        <w:r>
          <w:rPr>
            <w:rStyle w:val="Hyperlink"/>
            <w:rFonts w:ascii="Times New Roman" w:hAnsi="Times New Roman"/>
            <w:b w:val="false"/>
            <w:i w:val="false"/>
            <w:color w:val="000000"/>
            <w:sz w:val="22"/>
          </w:rPr>
          <w:t>50.39(4)</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0">
        <w:r>
          <w:rPr>
            <w:rStyle w:val="Hyperlink"/>
            <w:rFonts w:ascii="Times New Roman" w:hAnsi="Times New Roman"/>
            <w:b w:val="false"/>
            <w:i w:val="false"/>
            <w:color w:val="000000"/>
            <w:sz w:val="22"/>
          </w:rPr>
          <w:t>502.411(5)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191—50.42</w:t>
      </w:r>
      <w:r>
        <w:rPr>
          <w:rFonts w:ascii="Times New Roman" w:hAnsi="Times New Roman"/>
          <w:b/>
          <w:i w:val="false"/>
          <w:color w:val="000000"/>
          <w:sz w:val="22"/>
        </w:rPr>
        <w:t xml:space="preserve">(502) </w:t>
      </w:r>
      <w:r>
        <w:rPr>
          <w:rFonts w:ascii="Times New Roman" w:hAnsi="Times New Roman"/>
          <w:b/>
          <w:i w:val="false"/>
          <w:color w:val="000000"/>
          <w:sz w:val="22"/>
        </w:rPr>
        <w:t xml:space="preserve">Record-keeping requirements for investment advisers.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w:t>
      </w:r>
      <w:r>
        <w:rPr>
          <w:rFonts w:ascii="Times New Roman" w:hAnsi="Times New Roman"/>
          <w:b w:val="false"/>
          <w:i w:val="false"/>
          <w:color w:val="000000"/>
          <w:sz w:val="22"/>
        </w:rPr>
        <w:t> </w:t>
      </w:r>
      <w:r>
        <w:rPr>
          <w:rFonts w:ascii="Times New Roman" w:hAnsi="Times New Roman"/>
          <w:b w:val="false"/>
          <w:i w:val="false"/>
          <w:color w:val="000000"/>
          <w:sz w:val="22"/>
        </w:rPr>
        <w:t>An investment adviser registered or required to be registered pursuant to the Act shall make and keep true, accurate and current the following books, ledgers and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journal or journals, including cash receipts and disbursements records, and any other records of original entry forming the basis of any ledger entries.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General and auxiliary ledgers (or other comparable records) reflecting asset, liability, reserve, capital, income, and expense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memorandum of each order given by the investment adviser for the purchase or sale of any security, of any instruction received by the investment adviser from the client concerning the purchase, sale, receipt or delivery of a particular security, and of any modification or cancellation of any such order or instruction. The memorandum shall describe the terms and conditions of the order, instruction, modification or cancellation; identify the person connected with the investment adviser who recommended the transaction to the client and the person who placed the order; indicate whether discretionary power was exercised; and indicate the account for which entered, the date of entry, and, where applicable, the bank or broker-dealer by or through whom executed.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checkbooks, bank statements, canceled checks and cash reconciliations of the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invoices, bills, or statements, or copies of those documents, relating to the investment adviser’s business as an investment adviser regardless of whether the expense or debt is paid or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All trial balances, financial statements, and internal audit working papers relating to the investment adviser’s business as an investment adviser. For the purposes of this paragraph, “financial statements” means a balance sheet prepared in accordance with generally accepted accounting principles, an income statement, a cash flow statement, and a net worth computation, if applicable, as required by subrule </w:t>
      </w:r>
      <w:hyperlink r:id="rId221">
        <w:r>
          <w:rPr>
            <w:rStyle w:val="Hyperlink"/>
            <w:rFonts w:ascii="Times New Roman" w:hAnsi="Times New Roman"/>
            <w:b w:val="false"/>
            <w:i w:val="false"/>
            <w:color w:val="000000"/>
            <w:sz w:val="22"/>
          </w:rPr>
          <w:t>50.40(7)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Originals of all written communications received by and copies of all written communications sent by the investment adviser relating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recommendation made or proposed to be made and any advice given or proposed to be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receipt, disbursement, or delivery of funds or securities;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placing or execution of any order to purchase or sell any security, except: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investment adviser shall not be required to keep any unsolicited market letters and other similar communications of general public distribution not prepared by or for the investment adviser;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investment adviser is not required to keep a record of the names and addresses of persons to whom a notice, circular, or other advertisement offering any report, analysis, publication or other investment advisory service is sent if sent to more than ten persons; however, if the notice, circular, or other advertisement is distributed to persons named on any list, the investment adviser must retain with the copy of the notice, circular, or advertisement a memorandum describing the list and its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list or other record of all accounts identifying the accounts in which the investment adviser is vested with any discretionary power with respect to the funds, securities or transactions of any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Copies of all powers of attorney and other documents granting discretionary authority by any client to the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Copies of each agreement entered into by the investment adviser with any client, and all other written agreements otherwise relating to the investment adviser’s business as an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file containing copies of each notice, circular, advertisement, newspaper article, investment letter, bulletin, or other communication including electronic media that the investment adviser circulates or distributes, directly or indirectly, to two or more persons not affiliated with the investment adviser and, if the notice, circular, advertisement, newspaper article, investment letter, bulletin, or other communication including one in electronic media format recommends the purchase or sale of a specific security and does not state the reasons for the recommendation, a memorandum indicating the investment adviser’s reasons for the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Transactions involving beneficial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record of every transaction in a security in which the investment adviser or any advisory representative of the investment adviser has or by reason of any transaction acquires a direct or indirect beneficial ownership, except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Transactions effected in any account over which neither the investment adviser nor any advisory representative of the investment adviser has any direct or indirect influence or control;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Transactions in securities which are direct obligations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required record shall state, at a minimum, the title and amount of the security involved, the date and nature of the transaction (i.e., purchase, sale or other acquisition or disposition), the price at which the transaction was effected, and the name of the bank or broker-dealer with or through which the transaction was effected. The record may also contain a statement declaring that the reporting or recording of any transaction shall not be construed as an admission that the investment adviser or advisory representative has any direct or indirect beneficial ownership in the security. A transaction must be recorded no later than ten days after the end of the calendar quarter in which the transaction was effected. An investment adviser shall not be in violation of this paragraph because of a failure to record securities transactions of an advisory representative if the investment adviser establishes that the investment adviser instituted adequate procedures and used reasonable diligence to promptly obtain reports of all transactions required by this paragraph to be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paragraph </w:t>
      </w:r>
      <w:hyperlink r:id="rId222">
        <w:r>
          <w:rPr>
            <w:rStyle w:val="Hyperlink"/>
            <w:rFonts w:ascii="Times New Roman" w:hAnsi="Times New Roman"/>
            <w:b w:val="false"/>
            <w:i w:val="false"/>
            <w:color w:val="000000"/>
            <w:sz w:val="22"/>
          </w:rPr>
          <w:t>50.42(1)</w:t>
        </w:r>
        <w:r>
          <w:rPr>
            <w:rFonts w:ascii="Times New Roman" w:hAnsi="Times New Roman"/>
            <w:b w:val="false"/>
            <w:i/>
            <w:color w:val="000000"/>
            <w:sz w:val="22"/>
          </w:rPr>
          <w:t>“l,”</w:t>
        </w:r>
      </w:hyperlink>
      <w:r>
        <w:rPr>
          <w:rFonts w:ascii="Times New Roman" w:hAnsi="Times New Roman"/>
          <w:b w:val="false"/>
          <w:i w:val="false"/>
          <w:color w:val="000000"/>
          <w:sz w:val="22"/>
        </w:rPr>
        <w:t xml:space="preserve"> when the investment adviser is primarily engaged in a business or businesses other than advising investment advisory clients, a record must be maintained of every transaction in a security in which the investment adviser or any advisory representative of the investment adviser has, or by reason of any transaction acquires, any direct or indirect beneficial ownership,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Transactions effected in any account over which neither the investment adviser nor any advisory representative of the investment adviser has any direct or indirect influence or control;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Transactions in securities which are direct obligations of the United States.</w:t>
      </w:r>
    </w:p>
    <w:p>
      <w:pPr>
        <w:spacing w:before="0" w:after="0"/>
        <w:ind w:left="120"/>
        <w:jc w:val="both"/>
      </w:pPr>
      <w:r>
        <w:rPr>
          <w:rFonts w:ascii="Times New Roman" w:hAnsi="Times New Roman"/>
          <w:b w:val="false"/>
          <w:i w:val="false"/>
          <w:color w:val="000000"/>
          <w:sz w:val="22"/>
        </w:rPr>
        <w:t>The record shall state the title and amount of the security involved, the date and nature of the transaction (i.e., purchase, sale, or other acquisition or disposition), the price at which it was effected, and the name of the broker-dealer or bank with or through which the transaction was effected. The record may also contain a statement declaring that the reporting or recording of any transaction shall not be construed as an admission that the investment adviser or advisory representative has any direct or indirect beneficial ownership in the security. A transaction shall be recorded not later than ten days after the end of the calendar quarter in which the transaction was effected. An investment adviser shall not be deemed to have violated the provisions of this subparagraph because of a failure to record securities transactions of an advisory representative if the investment adviser establishes that the investment adviser instituted adequate procedures and used reasonable diligence to promptly obtain reports of all transactions required to be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each written statement and each amendment or revision, given or sent to any client or prospective client of the investment adviser in accordance with rule </w:t>
      </w:r>
      <w:hyperlink r:id="rId223">
        <w:r>
          <w:rPr>
            <w:rStyle w:val="Hyperlink"/>
            <w:rFonts w:ascii="Times New Roman" w:hAnsi="Times New Roman"/>
            <w:b w:val="false"/>
            <w:i w:val="false"/>
            <w:color w:val="000000"/>
            <w:sz w:val="22"/>
          </w:rPr>
          <w:t>191—50.36</w:t>
        </w:r>
      </w:hyperlink>
      <w:r>
        <w:rPr>
          <w:rFonts w:ascii="Times New Roman" w:hAnsi="Times New Roman"/>
          <w:b w:val="false"/>
          <w:i w:val="false"/>
          <w:color w:val="000000"/>
          <w:sz w:val="22"/>
        </w:rPr>
        <w:t>(502), and a record of the dates on which each written statement, amendment and revision was given or offered to be given to any client or any prospective client who subsequently becomes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For each client that was obtained by the investment adviser by means of a solicitor to whom a cash fee was paid by the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any written agreement relating to the payment of a cash fee to which the investment adviser is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signed and dated acknowledgment of receipt from the client evidencing the client’s receipt of the investment adviser’s disclosure statement and a written disclosure statement of the solicitor;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the solicitor’s written disclosure statement.</w:t>
      </w:r>
    </w:p>
    <w:p>
      <w:pPr>
        <w:spacing w:before="0" w:after="0"/>
        <w:ind w:left="120"/>
        <w:jc w:val="both"/>
      </w:pPr>
      <w:r>
        <w:rPr>
          <w:rFonts w:ascii="Times New Roman" w:hAnsi="Times New Roman"/>
          <w:b w:val="false"/>
          <w:i w:val="false"/>
          <w:color w:val="000000"/>
          <w:sz w:val="22"/>
        </w:rPr>
        <w:t>The written agreement, acknowledgment and solicitor disclosure statement will be deemed to be in compliance if such documents comply with Rule 275.206(4)-3 of the Investment Advisers Act of 1940.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All accounts, books, internal working papers, and any other records or documents that are necessary to form the basis for or demonstrate the calculation of the performance or rate of return of all managed accounts or securities recommendations provided in any notice, circular, advertisement, newspaper article, investment letter, bulletin, or other communication, including electronic media, that is directly or indirectly circulated or distributed by the investment adviser to two or more persons (other than persons connected with the investment adviser). However, with respect to the performance of managed accounts only, the retention of all account statements reflecting all debits, credits, and other transactions in a client’s account for the period of the statement, and the retention of all worksheets necessary to demonstrate the calculation of the performance or rate of return of the managed account shall satisfy the requirements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A file containing copies of all written communications received or sent regarding any litigation or customer or client complaints involving the investment adviser or any investment adviser representative or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basis, in writing, for any recommendation or investment advice provided to an investment advisory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Copies of all written procedures regarding the supervision of the employees and investment adviser representatives that are reasonably designed to achieve compliance with securities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A file containing a copy of each document (other than any notices of general dissemination) that was filed with or received from any state or federal agency or self-regulatory organization pertaining to the investment adviser or its investment adviser representatives, as defined by subrule </w:t>
      </w:r>
      <w:hyperlink r:id="rId224">
        <w:r>
          <w:rPr>
            <w:rStyle w:val="Hyperlink"/>
            <w:rFonts w:ascii="Times New Roman" w:hAnsi="Times New Roman"/>
            <w:b w:val="false"/>
            <w:i w:val="false"/>
            <w:color w:val="000000"/>
            <w:sz w:val="22"/>
          </w:rPr>
          <w:t>50.42(11)</w:t>
        </w:r>
      </w:hyperlink>
      <w:r>
        <w:rPr>
          <w:rFonts w:ascii="Times New Roman" w:hAnsi="Times New Roman"/>
          <w:b w:val="false"/>
          <w:i w:val="false"/>
          <w:color w:val="000000"/>
          <w:sz w:val="22"/>
        </w:rPr>
        <w:t>, including but not limited to all applications, amendments, renewal filings, and correspondence.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Original copies signed by the lawful signatory of the investment adviser and the investment adviser representative of each initial Form U-4 and each U-4 Amendment to Disclosure Reporting Pages (DRPs).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For each transaction in which the investment adviser inadvertently held or obtained the client’s securities or funds and returned them to the client within three business days of receipt or forwarded a check drawn by a client and made payable to a third party within three business days of receipt, a ledger or list of all funds or securities held or obtained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Type of security and series;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debt instruments, the denomination, interest rate and maturity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Certificate number, including alphabetical prefix or suffix;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in which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Date submitted to the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Date sent to client or sender;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Form of delivery to client or sender, or copy of the form of delivery to client or sender;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Mail confirmation number, if applicable, or confirmation by client or sender of the return of the security or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investment adviser obtains possession of securities that are acquired from the issuer in a transaction or chain of transactions not involving a public offering that comply with the exception from custody in paragraph </w:t>
      </w:r>
      <w:hyperlink r:id="rId225">
        <w:r>
          <w:rPr>
            <w:rStyle w:val="Hyperlink"/>
            <w:rFonts w:ascii="Times New Roman" w:hAnsi="Times New Roman"/>
            <w:b w:val="false"/>
            <w:i w:val="false"/>
            <w:color w:val="000000"/>
            <w:sz w:val="22"/>
          </w:rPr>
          <w:t>50.39(2)</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adviser shall keep: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record showing the issuer’s or current transfer agent’s name, address, telephone number, and other applicable contact information pertaining to the party responsible for recording the client’s interests in the securities;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any legend, shareholder agreement, or other agreement providing that the securities are transferable only with prior consent of the issuer or holders of the outstanding securities of the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A copy of a written business continuity and succession plan as required by rule 191—50.47(502).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retention requirements of subrule </w:t>
      </w:r>
      <w:hyperlink r:id="rId226">
        <w:r>
          <w:rPr>
            <w:rStyle w:val="Hyperlink"/>
            <w:rFonts w:ascii="Times New Roman" w:hAnsi="Times New Roman"/>
            <w:b w:val="false"/>
            <w:i w:val="false"/>
            <w:color w:val="000000"/>
            <w:sz w:val="22"/>
          </w:rPr>
          <w:t>50.42(1)</w:t>
        </w:r>
      </w:hyperlink>
      <w:r>
        <w:rPr>
          <w:rFonts w:ascii="Times New Roman" w:hAnsi="Times New Roman"/>
          <w:b w:val="false"/>
          <w:i w:val="false"/>
          <w:color w:val="000000"/>
          <w:sz w:val="22"/>
        </w:rPr>
        <w:t xml:space="preserve">, an investment adviser having custody of client funds or securities, as defined by paragraph </w:t>
      </w:r>
      <w:hyperlink r:id="rId227">
        <w:r>
          <w:rPr>
            <w:rStyle w:val="Hyperlink"/>
            <w:rFonts w:ascii="Times New Roman" w:hAnsi="Times New Roman"/>
            <w:b w:val="false"/>
            <w:i w:val="false"/>
            <w:color w:val="000000"/>
            <w:sz w:val="22"/>
          </w:rPr>
          <w:t>50.39(3)</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retain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documents executed by each client, including but not limited to a limited power of attorney, pursuant to which the investment adviser is authorized or permitted to withdraw a client’s funds or securities maintained with a custodian upon the adviser’s instruction to the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journal or other record for all accounts reflecting all purchases, sales, receipts, and deliveries of securities, including but not limited to certificate numbers, and all other debits and credits to the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separate ledger account for each client showing all purchases, sales, receipts and deliveries of securities, the date and price of each purchase or sale, and all debits and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Copies of confirmations of all transactions effected by or for the account of any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record for each security in which any client has a position showing, at a minimum, the name of each client having an interest in the security, the amount of interest of each client in the security, and the location of each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each client’s quarterly account statements as generated and delivered by the qualified custodian. Additionally, if the investment adviser generates a statement that is delivered to the client, the investment adviser shall retain copies of those statements along with information indicating the dates on which the statements were provided to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applicable, a copy of the special examination report, financial statements, and letter verifying the completion of and describing the nature and extent of an examination by an independent certified public accountant and documentation describing the nature and extent of the examination and a record regarding any findings of any material discrepancies found during the examination;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applicable, evidence of the client’s designation of an independent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50.42(3)</w:t>
      </w:r>
      <w:r>
        <w:rPr>
          <w:rFonts w:ascii="Times New Roman" w:hAnsi="Times New Roman"/>
          <w:b w:val="false"/>
          <w:i w:val="false"/>
          <w:color w:val="000000"/>
          <w:sz w:val="22"/>
        </w:rPr>
        <w:t> </w:t>
      </w:r>
      <w:r>
        <w:rPr>
          <w:rFonts w:ascii="Times New Roman" w:hAnsi="Times New Roman"/>
          <w:b w:val="false"/>
          <w:i w:val="false"/>
          <w:color w:val="000000"/>
          <w:sz w:val="22"/>
        </w:rPr>
        <w:t>An investment adviser deemed to have custody of client securities or funds because the investment adviser advises a pooled investment vehicle shall, in addition to any other applicable record retention requirements, keep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True, accurate, and current account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utilizing the exception provided by paragraph </w:t>
      </w:r>
      <w:hyperlink r:id="rId228">
        <w:r>
          <w:rPr>
            <w:rStyle w:val="Hyperlink"/>
            <w:rFonts w:ascii="Times New Roman" w:hAnsi="Times New Roman"/>
            <w:b w:val="false"/>
            <w:i w:val="false"/>
            <w:color w:val="000000"/>
            <w:sz w:val="22"/>
          </w:rPr>
          <w:t>50.39(2)</w:t>
        </w:r>
        <w:r>
          <w:rPr>
            <w:rFonts w:ascii="Times New Roman" w:hAnsi="Times New Roman"/>
            <w:b w:val="false"/>
            <w:i/>
            <w:color w:val="000000"/>
            <w:sz w:val="22"/>
          </w:rPr>
          <w:t>“c,”</w:t>
        </w:r>
      </w:hyperlink>
      <w:r>
        <w:rPr>
          <w:rFonts w:ascii="Times New Roman" w:hAnsi="Times New Roman"/>
          <w:b w:val="false"/>
          <w:i w:val="false"/>
          <w:color w:val="000000"/>
          <w:sz w:val="22"/>
        </w:rPr>
        <w:t xml:space="preserve"> the date(s) of the audit, a copy of the audited financial statements, and evidence of the mailing of the audited financial statements to all limited partners, members, or other beneficial owners within 120 days of the end of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subject to paragraph </w:t>
      </w:r>
      <w:hyperlink r:id="rId229">
        <w:r>
          <w:rPr>
            <w:rStyle w:val="Hyperlink"/>
            <w:rFonts w:ascii="Times New Roman" w:hAnsi="Times New Roman"/>
            <w:b w:val="false"/>
            <w:i w:val="false"/>
            <w:color w:val="000000"/>
            <w:sz w:val="22"/>
          </w:rPr>
          <w:t>50.39(1)</w:t>
        </w:r>
        <w:r>
          <w:rPr>
            <w:rFonts w:ascii="Times New Roman" w:hAnsi="Times New Roman"/>
            <w:b w:val="false"/>
            <w:i/>
            <w:color w:val="000000"/>
            <w:sz w:val="22"/>
          </w:rPr>
          <w:t>“e,”</w:t>
        </w:r>
      </w:hyperlink>
      <w:r>
        <w:rPr>
          <w:rFonts w:ascii="Times New Roman" w:hAnsi="Times New Roman"/>
          <w:b w:val="false"/>
          <w:i w:val="false"/>
          <w:color w:val="000000"/>
          <w:sz w:val="22"/>
        </w:rPr>
        <w:t xml:space="preserve"> a copy of the written agreement with the independent party reviewing all fees and expenses and describing the responsibilities of the independent third party, and copies of all invoices and receipts showing approval by the independent third party for payment through the qualified custodian.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50.42(4)</w:t>
      </w:r>
      <w:r>
        <w:rPr>
          <w:rFonts w:ascii="Times New Roman" w:hAnsi="Times New Roman"/>
          <w:b w:val="false"/>
          <w:i w:val="false"/>
          <w:color w:val="000000"/>
          <w:sz w:val="22"/>
        </w:rPr>
        <w:t> </w:t>
      </w:r>
      <w:r>
        <w:rPr>
          <w:rFonts w:ascii="Times New Roman" w:hAnsi="Times New Roman"/>
          <w:b w:val="false"/>
          <w:i w:val="false"/>
          <w:color w:val="000000"/>
          <w:sz w:val="22"/>
        </w:rPr>
        <w:t xml:space="preserve">Each investment adviser subject to subrule </w:t>
      </w:r>
      <w:hyperlink r:id="rId230">
        <w:r>
          <w:rPr>
            <w:rStyle w:val="Hyperlink"/>
            <w:rFonts w:ascii="Times New Roman" w:hAnsi="Times New Roman"/>
            <w:b w:val="false"/>
            <w:i w:val="false"/>
            <w:color w:val="000000"/>
            <w:sz w:val="22"/>
          </w:rPr>
          <w:t>50.42(1)</w:t>
        </w:r>
      </w:hyperlink>
      <w:r>
        <w:rPr>
          <w:rFonts w:ascii="Times New Roman" w:hAnsi="Times New Roman"/>
          <w:b w:val="false"/>
          <w:i w:val="false"/>
          <w:color w:val="000000"/>
          <w:sz w:val="22"/>
        </w:rPr>
        <w:t xml:space="preserve"> that renders investment supervisory or management services to any client shall, with respect to the portfolio being supervised or managed and to the extent that the information is reasonably available to or obtainable by the investment adviser, retain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each client, detailed information regarding the securities purchased and sold including, but not limited to, the date of the purchase or sale, the total dollar amount of the purchase or sale, and the price at which the security was purchased or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each security in which any client has a current position, the name of each client and current amount or interest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50.42(5)</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required to be retained pursuant to rule </w:t>
      </w:r>
      <w:hyperlink r:id="rId231">
        <w:r>
          <w:rPr>
            <w:rStyle w:val="Hyperlink"/>
            <w:rFonts w:ascii="Times New Roman" w:hAnsi="Times New Roman"/>
            <w:b w:val="false"/>
            <w:i w:val="false"/>
            <w:color w:val="000000"/>
            <w:sz w:val="22"/>
          </w:rPr>
          <w:t>191—50.42(502)</w:t>
        </w:r>
      </w:hyperlink>
      <w:r>
        <w:rPr>
          <w:rFonts w:ascii="Times New Roman" w:hAnsi="Times New Roman"/>
          <w:b w:val="false"/>
          <w:i w:val="false"/>
          <w:color w:val="000000"/>
          <w:sz w:val="22"/>
        </w:rPr>
        <w:t xml:space="preserve"> shall be kept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paragraphs </w:t>
      </w:r>
      <w:hyperlink r:id="rId232">
        <w:r>
          <w:rPr>
            <w:rStyle w:val="Hyperlink"/>
            <w:rFonts w:ascii="Times New Roman" w:hAnsi="Times New Roman"/>
            <w:b w:val="false"/>
            <w:i w:val="false"/>
            <w:color w:val="000000"/>
            <w:sz w:val="22"/>
          </w:rPr>
          <w:t>50.42(1)</w:t>
        </w:r>
        <w:r>
          <w:rPr>
            <w:rFonts w:ascii="Times New Roman" w:hAnsi="Times New Roman"/>
            <w:b w:val="false"/>
            <w:i/>
            <w:color w:val="000000"/>
            <w:sz w:val="22"/>
          </w:rPr>
          <w:t>“k”</w:t>
        </w:r>
        <w:r>
          <w:rPr>
            <w:rFonts w:ascii="Times New Roman" w:hAnsi="Times New Roman"/>
            <w:b w:val="false"/>
            <w:i w:val="false"/>
            <w:color w:val="000000"/>
            <w:sz w:val="22"/>
          </w:rPr>
          <w:t xml:space="preserve"> and </w:t>
        </w:r>
        <w:r>
          <w:rPr>
            <w:rFonts w:ascii="Times New Roman" w:hAnsi="Times New Roman"/>
            <w:b w:val="false"/>
            <w:i/>
            <w:color w:val="000000"/>
            <w:sz w:val="22"/>
          </w:rPr>
          <w:t>“p,”</w:t>
        </w:r>
      </w:hyperlink>
      <w:r>
        <w:rPr>
          <w:rFonts w:ascii="Times New Roman" w:hAnsi="Times New Roman"/>
          <w:b w:val="false"/>
          <w:i w:val="false"/>
          <w:color w:val="000000"/>
          <w:sz w:val="22"/>
        </w:rPr>
        <w:t xml:space="preserve"> all records required to be made under subrules </w:t>
      </w:r>
      <w:hyperlink r:id="rId233">
        <w:r>
          <w:rPr>
            <w:rStyle w:val="Hyperlink"/>
            <w:rFonts w:ascii="Times New Roman" w:hAnsi="Times New Roman"/>
            <w:b w:val="false"/>
            <w:i w:val="false"/>
            <w:color w:val="000000"/>
            <w:sz w:val="22"/>
          </w:rPr>
          <w:t>50.42(1)</w:t>
        </w:r>
      </w:hyperlink>
      <w:r>
        <w:rPr>
          <w:rFonts w:ascii="Times New Roman" w:hAnsi="Times New Roman"/>
          <w:b w:val="false"/>
          <w:i w:val="false"/>
          <w:color w:val="000000"/>
          <w:sz w:val="22"/>
        </w:rPr>
        <w:t xml:space="preserve"> to </w:t>
      </w:r>
      <w:hyperlink r:id="rId234">
        <w:r>
          <w:rPr>
            <w:rStyle w:val="Hyperlink"/>
            <w:rFonts w:ascii="Times New Roman" w:hAnsi="Times New Roman"/>
            <w:b w:val="false"/>
            <w:i w:val="false"/>
            <w:color w:val="000000"/>
            <w:sz w:val="22"/>
          </w:rPr>
          <w:t>50.42(3)</w:t>
        </w:r>
      </w:hyperlink>
      <w:r>
        <w:rPr>
          <w:rFonts w:ascii="Times New Roman" w:hAnsi="Times New Roman"/>
          <w:b w:val="false"/>
          <w:i w:val="false"/>
          <w:color w:val="000000"/>
          <w:sz w:val="22"/>
        </w:rPr>
        <w:t xml:space="preserve"> and paragraph </w:t>
      </w:r>
      <w:hyperlink r:id="rId235">
        <w:r>
          <w:rPr>
            <w:rStyle w:val="Hyperlink"/>
            <w:rFonts w:ascii="Times New Roman" w:hAnsi="Times New Roman"/>
            <w:b w:val="false"/>
            <w:i w:val="false"/>
            <w:color w:val="000000"/>
            <w:sz w:val="22"/>
          </w:rPr>
          <w:t>50.42(4)</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maintained and preserved in a readily accessible location for a period of not less than five years from the end of the fiscal year during which the last entry was made on record, with no less than the first two years being kept in the principal office of the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Partnership articles and any amendments, articles of incorporation, charters, minute books, and stock certificate books of the investment adviser and of any predecessor shall be maintained in the principal office of the investment adviser and preserved until at least three years after termination of the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Books and records required to be retained pursuant to paragraphs </w:t>
      </w:r>
      <w:hyperlink r:id="rId236">
        <w:r>
          <w:rPr>
            <w:rStyle w:val="Hyperlink"/>
            <w:rFonts w:ascii="Times New Roman" w:hAnsi="Times New Roman"/>
            <w:b w:val="false"/>
            <w:i w:val="false"/>
            <w:color w:val="000000"/>
            <w:sz w:val="22"/>
          </w:rPr>
          <w:t>50.42(1)</w:t>
        </w:r>
        <w:r>
          <w:rPr>
            <w:rFonts w:ascii="Times New Roman" w:hAnsi="Times New Roman"/>
            <w:b w:val="false"/>
            <w:i/>
            <w:color w:val="000000"/>
            <w:sz w:val="22"/>
          </w:rPr>
          <w:t>“k”</w:t>
        </w:r>
      </w:hyperlink>
      <w:r>
        <w:rPr>
          <w:rFonts w:ascii="Times New Roman" w:hAnsi="Times New Roman"/>
          <w:b w:val="false"/>
          <w:i w:val="false"/>
          <w:color w:val="000000"/>
          <w:sz w:val="22"/>
        </w:rPr>
        <w:t xml:space="preserve"> and </w:t>
      </w:r>
      <w:hyperlink r:id="rId237">
        <w:r>
          <w:rPr>
            <w:rStyle w:val="Hyperlink"/>
            <w:rFonts w:ascii="Times New Roman" w:hAnsi="Times New Roman"/>
            <w:b w:val="false"/>
            <w:i w:val="false"/>
            <w:color w:val="000000"/>
            <w:sz w:val="22"/>
          </w:rPr>
          <w:t>50.42(1)</w:t>
        </w:r>
        <w:r>
          <w:rPr>
            <w:rFonts w:ascii="Times New Roman" w:hAnsi="Times New Roman"/>
            <w:b w:val="false"/>
            <w:i/>
            <w:color w:val="000000"/>
            <w:sz w:val="22"/>
          </w:rPr>
          <w:t>“p”</w:t>
        </w:r>
      </w:hyperlink>
      <w:r>
        <w:rPr>
          <w:rFonts w:ascii="Times New Roman" w:hAnsi="Times New Roman"/>
          <w:b w:val="false"/>
          <w:i w:val="false"/>
          <w:color w:val="000000"/>
          <w:sz w:val="22"/>
        </w:rPr>
        <w:t xml:space="preserve"> shall be maintained and preserved in a readily accessible location for a period of not less than five years from the end of the fiscal year during which the investment adviser last published or otherwise disseminated, directly or indirectly, the notice, circular, advertisement, newspaper article, investment letter, bulletin, or other communication including by electronic media, with no less than the first two years being kept in the principal office of the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Books and records required to be retained pursuant to paragraphs </w:t>
      </w:r>
      <w:hyperlink r:id="rId238">
        <w:r>
          <w:rPr>
            <w:rStyle w:val="Hyperlink"/>
            <w:rFonts w:ascii="Times New Roman" w:hAnsi="Times New Roman"/>
            <w:b w:val="false"/>
            <w:i w:val="false"/>
            <w:color w:val="000000"/>
            <w:sz w:val="22"/>
          </w:rPr>
          <w:t>50.42(1)</w:t>
        </w:r>
        <w:r>
          <w:rPr>
            <w:rFonts w:ascii="Times New Roman" w:hAnsi="Times New Roman"/>
            <w:b w:val="false"/>
            <w:i/>
            <w:color w:val="000000"/>
            <w:sz w:val="22"/>
          </w:rPr>
          <w:t>“q”</w:t>
        </w:r>
        <w:r>
          <w:rPr>
            <w:rFonts w:ascii="Times New Roman" w:hAnsi="Times New Roman"/>
            <w:b w:val="false"/>
            <w:i w:val="false"/>
            <w:color w:val="000000"/>
            <w:sz w:val="22"/>
          </w:rPr>
          <w:t xml:space="preserve"> to </w:t>
        </w:r>
        <w:r>
          <w:rPr>
            <w:rFonts w:ascii="Times New Roman" w:hAnsi="Times New Roman"/>
            <w:b w:val="false"/>
            <w:i/>
            <w:color w:val="000000"/>
            <w:sz w:val="22"/>
          </w:rPr>
          <w:t>“v”</w:t>
        </w:r>
      </w:hyperlink>
      <w:r>
        <w:rPr>
          <w:rFonts w:ascii="Times New Roman" w:hAnsi="Times New Roman"/>
          <w:b w:val="false"/>
          <w:i w:val="false"/>
          <w:color w:val="000000"/>
          <w:sz w:val="22"/>
        </w:rPr>
        <w:t xml:space="preserve"> shall be maintained and preserved in a readily accessible location for a period of not less than five years from the end of the fiscal year during which the last entry was made on such record, with no less than the first two years being kept in the principal office of the investment adviser, or the time period during which the investment adviser is registered or required to be registered in this state,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other record preservation requirements of rule </w:t>
      </w:r>
      <w:hyperlink r:id="rId239">
        <w:r>
          <w:rPr>
            <w:rStyle w:val="Hyperlink"/>
            <w:rFonts w:ascii="Times New Roman" w:hAnsi="Times New Roman"/>
            <w:b w:val="false"/>
            <w:i w:val="false"/>
            <w:color w:val="000000"/>
            <w:sz w:val="22"/>
          </w:rPr>
          <w:t>191—50.42</w:t>
        </w:r>
      </w:hyperlink>
      <w:r>
        <w:rPr>
          <w:rFonts w:ascii="Times New Roman" w:hAnsi="Times New Roman"/>
          <w:b w:val="false"/>
          <w:i w:val="false"/>
          <w:color w:val="000000"/>
          <w:sz w:val="22"/>
        </w:rPr>
        <w:t>(502), an investment adviser that has rendered or renders investment advisory services shall maintain at all times the following records at the investment adviser’s business location from which the customer or client is being provided or has been provided investment advisory services during the applicable retention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records required to be preserved pursuant to paragraphs </w:t>
      </w:r>
      <w:hyperlink r:id="rId240">
        <w:r>
          <w:rPr>
            <w:rStyle w:val="Hyperlink"/>
            <w:rFonts w:ascii="Times New Roman" w:hAnsi="Times New Roman"/>
            <w:b w:val="false"/>
            <w:i w:val="false"/>
            <w:color w:val="000000"/>
            <w:sz w:val="22"/>
          </w:rPr>
          <w:t>50.42(1)</w:t>
        </w:r>
      </w:hyperlink>
      <w:r>
        <w:rPr>
          <w:rFonts w:ascii="Times New Roman" w:hAnsi="Times New Roman"/>
          <w:b w:val="false"/>
          <w:i/>
          <w:color w:val="000000"/>
          <w:sz w:val="22"/>
        </w:rPr>
        <w:t>“c,” “g”</w:t>
      </w:r>
      <w:r>
        <w:rPr>
          <w:rFonts w:ascii="Times New Roman" w:hAnsi="Times New Roman"/>
          <w:b w:val="false"/>
          <w:i w:val="false"/>
          <w:color w:val="000000"/>
          <w:sz w:val="22"/>
        </w:rPr>
        <w:t xml:space="preserve"> to </w:t>
      </w:r>
      <w:r>
        <w:rPr>
          <w:rFonts w:ascii="Times New Roman" w:hAnsi="Times New Roman"/>
          <w:b w:val="false"/>
          <w:i/>
          <w:color w:val="000000"/>
          <w:sz w:val="22"/>
        </w:rPr>
        <w:t>“j,” “n,” “o,”</w:t>
      </w:r>
      <w:r>
        <w:rPr>
          <w:rFonts w:ascii="Times New Roman" w:hAnsi="Times New Roman"/>
          <w:b w:val="false"/>
          <w:i w:val="false"/>
          <w:color w:val="000000"/>
          <w:sz w:val="22"/>
        </w:rPr>
        <w:t xml:space="preserve"> and </w:t>
      </w:r>
      <w:r>
        <w:rPr>
          <w:rFonts w:ascii="Times New Roman" w:hAnsi="Times New Roman"/>
          <w:b w:val="false"/>
          <w:i/>
          <w:color w:val="000000"/>
          <w:sz w:val="22"/>
        </w:rPr>
        <w:t>“q”</w:t>
      </w:r>
      <w:r>
        <w:rPr>
          <w:rFonts w:ascii="Times New Roman" w:hAnsi="Times New Roman"/>
          <w:b w:val="false"/>
          <w:i w:val="false"/>
          <w:color w:val="000000"/>
          <w:sz w:val="22"/>
        </w:rPr>
        <w:t xml:space="preserve"> to </w:t>
      </w:r>
      <w:r>
        <w:rPr>
          <w:rFonts w:ascii="Times New Roman" w:hAnsi="Times New Roman"/>
          <w:b w:val="false"/>
          <w:i/>
          <w:color w:val="000000"/>
          <w:sz w:val="22"/>
        </w:rPr>
        <w:t>“s”</w:t>
      </w:r>
      <w:r>
        <w:rPr>
          <w:rFonts w:ascii="Times New Roman" w:hAnsi="Times New Roman"/>
          <w:b w:val="false"/>
          <w:i w:val="false"/>
          <w:color w:val="000000"/>
          <w:sz w:val="22"/>
        </w:rPr>
        <w:t xml:space="preserve"> and subrules </w:t>
      </w:r>
      <w:hyperlink r:id="rId241">
        <w:r>
          <w:rPr>
            <w:rStyle w:val="Hyperlink"/>
            <w:rFonts w:ascii="Times New Roman" w:hAnsi="Times New Roman"/>
            <w:b w:val="false"/>
            <w:i w:val="false"/>
            <w:color w:val="000000"/>
            <w:sz w:val="22"/>
          </w:rPr>
          <w:t>50.42(2)</w:t>
        </w:r>
      </w:hyperlink>
      <w:r>
        <w:rPr>
          <w:rFonts w:ascii="Times New Roman" w:hAnsi="Times New Roman"/>
          <w:b w:val="false"/>
          <w:i w:val="false"/>
          <w:color w:val="000000"/>
          <w:sz w:val="22"/>
        </w:rPr>
        <w:t xml:space="preserve"> to </w:t>
      </w:r>
      <w:hyperlink r:id="rId242">
        <w:r>
          <w:rPr>
            <w:rStyle w:val="Hyperlink"/>
            <w:rFonts w:ascii="Times New Roman" w:hAnsi="Times New Roman"/>
            <w:b w:val="false"/>
            <w:i w:val="false"/>
            <w:color w:val="000000"/>
            <w:sz w:val="22"/>
          </w:rPr>
          <w:t>50.42(4)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records required pursuant to paragraphs </w:t>
      </w:r>
      <w:hyperlink r:id="rId243">
        <w:r>
          <w:rPr>
            <w:rStyle w:val="Hyperlink"/>
            <w:rFonts w:ascii="Times New Roman" w:hAnsi="Times New Roman"/>
            <w:b w:val="false"/>
            <w:i w:val="false"/>
            <w:color w:val="000000"/>
            <w:sz w:val="22"/>
          </w:rPr>
          <w:t>50.42(1)</w:t>
        </w:r>
        <w:r>
          <w:rPr>
            <w:rFonts w:ascii="Times New Roman" w:hAnsi="Times New Roman"/>
            <w:b w:val="false"/>
            <w:i/>
            <w:color w:val="000000"/>
            <w:sz w:val="22"/>
          </w:rPr>
          <w:t>“k”</w:t>
        </w:r>
        <w:r>
          <w:rPr>
            <w:rFonts w:ascii="Times New Roman" w:hAnsi="Times New Roman"/>
            <w:b w:val="false"/>
            <w:i w:val="false"/>
            <w:color w:val="000000"/>
            <w:sz w:val="22"/>
          </w:rPr>
          <w:t xml:space="preserve"> to </w:t>
        </w:r>
        <w:r>
          <w:rPr>
            <w:rFonts w:ascii="Times New Roman" w:hAnsi="Times New Roman"/>
            <w:b w:val="false"/>
            <w:i/>
            <w:color w:val="000000"/>
            <w:sz w:val="22"/>
          </w:rPr>
          <w:t>“p”</w:t>
        </w:r>
      </w:hyperlink>
      <w:r>
        <w:rPr>
          <w:rFonts w:ascii="Times New Roman" w:hAnsi="Times New Roman"/>
          <w:b w:val="false"/>
          <w:i w:val="false"/>
          <w:color w:val="000000"/>
          <w:sz w:val="22"/>
        </w:rPr>
        <w:t xml:space="preserve"> identifying the name of the investment adviser representative providing investment advice from that business location, or identifying the physical address, mailing address, electronic mailing address, or telephone number of the business location. The records will be maintained for the period described in paragraph </w:t>
      </w:r>
      <w:hyperlink r:id="rId244">
        <w:r>
          <w:rPr>
            <w:rStyle w:val="Hyperlink"/>
            <w:rFonts w:ascii="Times New Roman" w:hAnsi="Times New Roman"/>
            <w:b w:val="false"/>
            <w:i w:val="false"/>
            <w:color w:val="000000"/>
            <w:sz w:val="22"/>
          </w:rPr>
          <w:t>50.42(5)</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50.42(6)</w:t>
      </w:r>
      <w:r>
        <w:rPr>
          <w:rFonts w:ascii="Times New Roman" w:hAnsi="Times New Roman"/>
          <w:b w:val="false"/>
          <w:i w:val="false"/>
          <w:color w:val="000000"/>
          <w:sz w:val="22"/>
        </w:rPr>
        <w:t> </w:t>
      </w:r>
      <w:r>
        <w:rPr>
          <w:rFonts w:ascii="Times New Roman" w:hAnsi="Times New Roman"/>
          <w:b w:val="false"/>
          <w:i w:val="false"/>
          <w:color w:val="000000"/>
          <w:sz w:val="22"/>
        </w:rPr>
        <w:t xml:space="preserve">An investment adviser subject to subrule </w:t>
      </w:r>
      <w:hyperlink r:id="rId245">
        <w:r>
          <w:rPr>
            <w:rStyle w:val="Hyperlink"/>
            <w:rFonts w:ascii="Times New Roman" w:hAnsi="Times New Roman"/>
            <w:b w:val="false"/>
            <w:i w:val="false"/>
            <w:color w:val="000000"/>
            <w:sz w:val="22"/>
          </w:rPr>
          <w:t>50.42(1)</w:t>
        </w:r>
      </w:hyperlink>
      <w:r>
        <w:rPr>
          <w:rFonts w:ascii="Times New Roman" w:hAnsi="Times New Roman"/>
          <w:b w:val="false"/>
          <w:i w:val="false"/>
          <w:color w:val="000000"/>
          <w:sz w:val="22"/>
        </w:rPr>
        <w:t xml:space="preserve"> that ceases to conduct or discontinues business as an investment adviser shall arrange for and be responsible for the retention of the records required to be retained pursuant to this rule for the applicable retention period. The investment adviser shall notify the administrator in writing prior to ceasing to conduct or discontinuing business as an investment adviser of the exact address where the books and records will be maintained during the retention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50.42(7)</w:t>
      </w:r>
      <w:r>
        <w:rPr>
          <w:rFonts w:ascii="Times New Roman" w:hAnsi="Times New Roman"/>
          <w:b w:val="false"/>
          <w:i w:val="false"/>
          <w:color w:val="000000"/>
          <w:sz w:val="22"/>
        </w:rPr>
        <w:t> </w:t>
      </w:r>
      <w:r>
        <w:rPr>
          <w:rFonts w:ascii="Times New Roman" w:hAnsi="Times New Roman"/>
          <w:b w:val="false"/>
          <w:i w:val="false"/>
          <w:color w:val="000000"/>
          <w:sz w:val="22"/>
        </w:rPr>
        <w:t>An investment adviser required to retain records pursuant to this rule may maintain the records in such manner that the identity of any client to whom the investment adviser renders investment supervisory services is indicated by numerical code, alphabetical code, or similar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50.42(8)</w:t>
      </w:r>
      <w:r>
        <w:rPr>
          <w:rFonts w:ascii="Times New Roman" w:hAnsi="Times New Roman"/>
          <w:b w:val="false"/>
          <w:i w:val="false"/>
          <w:color w:val="000000"/>
          <w:sz w:val="22"/>
        </w:rPr>
        <w:t> </w:t>
      </w:r>
      <w:r>
        <w:rPr>
          <w:rFonts w:ascii="Times New Roman" w:hAnsi="Times New Roman"/>
          <w:b w:val="false"/>
          <w:i w:val="false"/>
          <w:color w:val="000000"/>
          <w:sz w:val="22"/>
        </w:rPr>
        <w:t>Record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subrule </w:t>
      </w:r>
      <w:hyperlink r:id="rId246">
        <w:r>
          <w:rPr>
            <w:rStyle w:val="Hyperlink"/>
            <w:rFonts w:ascii="Times New Roman" w:hAnsi="Times New Roman"/>
            <w:b w:val="false"/>
            <w:i w:val="false"/>
            <w:color w:val="000000"/>
            <w:sz w:val="22"/>
          </w:rPr>
          <w:t>50.42(4)</w:t>
        </w:r>
      </w:hyperlink>
      <w:r>
        <w:rPr>
          <w:rFonts w:ascii="Times New Roman" w:hAnsi="Times New Roman"/>
          <w:b w:val="false"/>
          <w:i w:val="false"/>
          <w:color w:val="000000"/>
          <w:sz w:val="22"/>
        </w:rPr>
        <w:t>, the records required to be maintained and preserved may be immediately produced or reproduced, and maintained and preserved for the required time, by an investment adviser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Paper or hard-copy form, as those records are kept in their original form;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Micrographic media, including microfilm, microfiche, or any similar medium;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Electronic storage media, including any digital storage medium or system, that meet the terms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The investment adviser must: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Arrange and index the records in a way that permits easy location, access, and retrieval of any particular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promptly any of the following that the administrator may request: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legible, true, and complete copy of the record in the medium and format in which it is stored;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legible, true, and complete printout of the record;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Means to access, view, and print the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Separately store, for the time required for preservation of the original record, a duplicate copy of the record in any medium allowed by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of records created or maintained in electronic storage media, the investment adviser must establish and maintain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maintain and preserve the records, so as to reasonably safeguard them from loss, alteration, or destruction;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limit access to the records to properly authorized personnel and the administrator;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reasonably ensure that any reproduction of a nonelectronic original record in electronic storage media is complete, true, and legible when retrieved.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50.42(9)</w:t>
      </w:r>
      <w:r>
        <w:rPr>
          <w:rFonts w:ascii="Times New Roman" w:hAnsi="Times New Roman"/>
          <w:b w:val="false"/>
          <w:i w:val="false"/>
          <w:color w:val="000000"/>
          <w:sz w:val="22"/>
        </w:rPr>
        <w:t> </w:t>
      </w:r>
      <w:r>
        <w:rPr>
          <w:rFonts w:ascii="Times New Roman" w:hAnsi="Times New Roman"/>
          <w:b w:val="false"/>
          <w:i w:val="false"/>
          <w:color w:val="000000"/>
          <w:sz w:val="22"/>
        </w:rPr>
        <w:t>Compliance with any substantially similar record-keeping requirements of SEC Rules 17a-3 and 17a-4 (17 CFR 240.17a-3 and 17 CFR 240.17a-4) shall be deemed to be in compliance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50.42(10)</w:t>
      </w:r>
      <w:r>
        <w:rPr>
          <w:rFonts w:ascii="Times New Roman" w:hAnsi="Times New Roman"/>
          <w:b w:val="false"/>
          <w:i w:val="false"/>
          <w:color w:val="000000"/>
          <w:sz w:val="22"/>
        </w:rPr>
        <w:t> </w:t>
      </w:r>
      <w:r>
        <w:rPr>
          <w:rFonts w:ascii="Times New Roman" w:hAnsi="Times New Roman"/>
          <w:b w:val="false"/>
          <w:i w:val="false"/>
          <w:color w:val="000000"/>
          <w:sz w:val="22"/>
        </w:rPr>
        <w:t>Every investment adviser that is registered or required to be registered in this state and that has its principal place of business in a state other than this state shall be exempt from the requirements of this rule, provided the investment adviser is properly registered in that state and is in compliance with that state’s record-keeping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50.42(11)</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“Advisory representative”</w:t>
      </w:r>
      <w:r>
        <w:rPr>
          <w:rFonts w:ascii="Times New Roman" w:hAnsi="Times New Roman"/>
          <w:b w:val="false"/>
          <w:i w:val="false"/>
          <w:color w:val="000000"/>
          <w:sz w:val="22"/>
        </w:rPr>
        <w:t xml:space="preserve"> means any partner, officer or director of the investment adviser; any employee who participates in any way in the determination of which recommendations shall be made; any employee who, in connection with the employee’s duties, obtains any information concerning which securities are being recommended prior to the effective dissemination of the recommendations; and any of the following persons who obtain information concerning securities recommendations being made by the investment adviser prior to the effective dissemination of the recommendations: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person in a relationship of control with the investment adviser;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person affiliated with a controlling person;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person affiliated with an affiliated person.</w:t>
      </w:r>
    </w:p>
    <w:p>
      <w:pPr>
        <w:spacing w:before="0" w:after="0"/>
        <w:ind w:left="120"/>
        <w:jc w:val="both"/>
      </w:pPr>
      <w:r>
        <w:rPr>
          <w:rFonts w:ascii="Times New Roman" w:hAnsi="Times New Roman"/>
          <w:b w:val="false"/>
          <w:i/>
          <w:color w:val="000000"/>
          <w:sz w:val="22"/>
        </w:rPr>
        <w:t>“Control”</w:t>
      </w:r>
      <w:r>
        <w:rPr>
          <w:rFonts w:ascii="Times New Roman" w:hAnsi="Times New Roman"/>
          <w:b w:val="false"/>
          <w:i w:val="false"/>
          <w:color w:val="000000"/>
          <w:sz w:val="22"/>
        </w:rPr>
        <w:t xml:space="preserve"> means the power to exercise a controlling influence over the management or policies of a company, unless that power results solely from an official position with the company. Any person who owns beneficially, either directly or through one or more controlled companies, more than 25 percent of the voting securities of a company shall be presumed to control the company.</w:t>
      </w:r>
    </w:p>
    <w:p>
      <w:pPr>
        <w:spacing w:before="0" w:after="0"/>
        <w:ind w:left="120"/>
        <w:jc w:val="both"/>
      </w:pPr>
      <w:r>
        <w:rPr>
          <w:rFonts w:ascii="Times New Roman" w:hAnsi="Times New Roman"/>
          <w:b w:val="false"/>
          <w:i w:val="false"/>
          <w:color w:val="000000"/>
          <w:sz w:val="22"/>
        </w:rPr>
        <w:t>An investment adviser shall not be deemed to be exercising a discretionary power as to the price at which or the time when a transaction is effected or is to be effected if, before the order is given by the investment adviser, the client has directed or approved the purchase or sale of a definite amount of the particular security.</w:t>
      </w:r>
    </w:p>
    <w:p>
      <w:pPr>
        <w:spacing w:before="0" w:after="0"/>
        <w:ind w:left="120"/>
        <w:jc w:val="both"/>
      </w:pPr>
      <w:r>
        <w:rPr>
          <w:rFonts w:ascii="Times New Roman" w:hAnsi="Times New Roman"/>
          <w:b w:val="false"/>
          <w:i/>
          <w:color w:val="000000"/>
          <w:sz w:val="22"/>
        </w:rPr>
        <w:t>“Investment adviser primarily engaged in a business or businesses other than advising investment advisory clients”</w:t>
      </w:r>
      <w:r>
        <w:rPr>
          <w:rFonts w:ascii="Times New Roman" w:hAnsi="Times New Roman"/>
          <w:b w:val="false"/>
          <w:i w:val="false"/>
          <w:color w:val="000000"/>
          <w:sz w:val="22"/>
        </w:rPr>
        <w:t xml:space="preserve"> means an investment adviser that for each of the most recent three fiscal years or for the period of time since organization, whichever is less, derives on an unconsolidated basis more than 50 percent of total sales and revenues and income (or loss) before income taxes and extraordinary items from business activities other than advising investment advisory clients.</w:t>
      </w:r>
    </w:p>
    <w:p>
      <w:pPr>
        <w:spacing w:before="0" w:after="0"/>
        <w:ind w:left="120"/>
        <w:jc w:val="both"/>
      </w:pPr>
      <w:r>
        <w:rPr>
          <w:rFonts w:ascii="Times New Roman" w:hAnsi="Times New Roman"/>
          <w:b w:val="false"/>
          <w:i/>
          <w:color w:val="000000"/>
          <w:sz w:val="22"/>
        </w:rPr>
        <w:t>“Investment supervisory services”</w:t>
      </w:r>
      <w:r>
        <w:rPr>
          <w:rFonts w:ascii="Times New Roman" w:hAnsi="Times New Roman"/>
          <w:b w:val="false"/>
          <w:i w:val="false"/>
          <w:color w:val="000000"/>
          <w:sz w:val="22"/>
        </w:rPr>
        <w:t xml:space="preserve"> means continuous advice regarding investment of funds provided to each client on the basis of the individual needs of the client.</w:t>
      </w:r>
    </w:p>
    <w:p>
      <w:pPr>
        <w:spacing w:before="0" w:after="0"/>
        <w:ind w:left="120"/>
        <w:jc w:val="both"/>
      </w:pPr>
      <w:r>
        <w:rPr>
          <w:rFonts w:ascii="Times New Roman" w:hAnsi="Times New Roman"/>
          <w:b w:val="false"/>
          <w:i/>
          <w:color w:val="000000"/>
          <w:sz w:val="22"/>
        </w:rPr>
        <w:t>“Solicitor”</w:t>
      </w:r>
      <w:r>
        <w:rPr>
          <w:rFonts w:ascii="Times New Roman" w:hAnsi="Times New Roman"/>
          <w:b w:val="false"/>
          <w:i w:val="false"/>
          <w:color w:val="000000"/>
          <w:sz w:val="22"/>
        </w:rPr>
        <w:t xml:space="preserve"> means any person or entity that for compensation acts as an agent of an investment adviser in referring potential clients.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7">
        <w:r>
          <w:rPr>
            <w:rStyle w:val="Hyperlink"/>
            <w:rFonts w:ascii="Times New Roman" w:hAnsi="Times New Roman"/>
            <w:b w:val="false"/>
            <w:i w:val="false"/>
            <w:color w:val="000000"/>
            <w:sz w:val="22"/>
          </w:rPr>
          <w:t>502.411(3)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3741C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191—50.43</w:t>
      </w:r>
      <w:r>
        <w:rPr>
          <w:rFonts w:ascii="Times New Roman" w:hAnsi="Times New Roman"/>
          <w:b/>
          <w:i w:val="false"/>
          <w:color w:val="000000"/>
          <w:sz w:val="22"/>
        </w:rPr>
        <w:t xml:space="preserve">(502) </w:t>
      </w:r>
      <w:r>
        <w:rPr>
          <w:rFonts w:ascii="Times New Roman" w:hAnsi="Times New Roman"/>
          <w:b/>
          <w:i w:val="false"/>
          <w:color w:val="000000"/>
          <w:sz w:val="22"/>
        </w:rPr>
        <w:t xml:space="preserve">Financial reporting requirements for investment advisers.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50.43(1)</w:t>
      </w:r>
      <w:r>
        <w:rPr>
          <w:rFonts w:ascii="Times New Roman" w:hAnsi="Times New Roman"/>
          <w:b w:val="false"/>
          <w:i w:val="false"/>
          <w:color w:val="000000"/>
          <w:sz w:val="22"/>
        </w:rPr>
        <w:t> </w:t>
      </w:r>
      <w:r>
        <w:rPr>
          <w:rFonts w:ascii="Times New Roman" w:hAnsi="Times New Roman"/>
          <w:b w:val="false"/>
          <w:i w:val="false"/>
          <w:color w:val="000000"/>
          <w:sz w:val="22"/>
        </w:rPr>
        <w:t>Every registered investment adviser that has custody of client funds or securities or requires payment of advisory fees six months or more in advance and in excess of $500 per client shall file with the administrator an audited balance sheet as of the end of the investment adviser’s fiscal year. Each balance sheet filed pursuant to this rule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Examined in accordance with generally accepted auditing standards and prepared in conformity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Audited by an independent certified public accountant;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Accompanied by an opinion of the accountant as to the report of financial position, and by a note stating the principles used to prepare the opinion, the basis of included securities, and any other explanations required for clarity.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50.43(2)</w:t>
      </w:r>
      <w:r>
        <w:rPr>
          <w:rFonts w:ascii="Times New Roman" w:hAnsi="Times New Roman"/>
          <w:b w:val="false"/>
          <w:i w:val="false"/>
          <w:color w:val="000000"/>
          <w:sz w:val="22"/>
        </w:rPr>
        <w:t> </w:t>
      </w:r>
      <w:r>
        <w:rPr>
          <w:rFonts w:ascii="Times New Roman" w:hAnsi="Times New Roman"/>
          <w:b w:val="false"/>
          <w:i w:val="false"/>
          <w:color w:val="000000"/>
          <w:sz w:val="22"/>
        </w:rPr>
        <w:t>Every registered investment adviser that has discretionary authority over, but not custody of, client funds or securities shall file with the administrator a balance sheet, which need not be audited, but which must be prepared in accordance with generally accepted accounting principles or such other basis of accounting acceptable to the administrator and represented by the investment adviser or the person who prepared the statement as true and accurate, as of the end of the investment adviser’s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50.43(3)</w:t>
      </w:r>
      <w:r>
        <w:rPr>
          <w:rFonts w:ascii="Times New Roman" w:hAnsi="Times New Roman"/>
          <w:b w:val="false"/>
          <w:i w:val="false"/>
          <w:color w:val="000000"/>
          <w:sz w:val="22"/>
        </w:rPr>
        <w:t> </w:t>
      </w:r>
      <w:r>
        <w:rPr>
          <w:rFonts w:ascii="Times New Roman" w:hAnsi="Times New Roman"/>
          <w:b w:val="false"/>
          <w:i w:val="false"/>
          <w:color w:val="000000"/>
          <w:sz w:val="22"/>
        </w:rPr>
        <w:t>The financial statements required by this rule shall be filed with the administrator within 90 days following the end of the investment adviser’s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50.43(4)</w:t>
      </w:r>
      <w:r>
        <w:rPr>
          <w:rFonts w:ascii="Times New Roman" w:hAnsi="Times New Roman"/>
          <w:b w:val="false"/>
          <w:i w:val="false"/>
          <w:color w:val="000000"/>
          <w:sz w:val="22"/>
        </w:rPr>
        <w:t> </w:t>
      </w:r>
      <w:r>
        <w:rPr>
          <w:rFonts w:ascii="Times New Roman" w:hAnsi="Times New Roman"/>
          <w:b w:val="false"/>
          <w:i w:val="false"/>
          <w:color w:val="000000"/>
          <w:sz w:val="22"/>
        </w:rPr>
        <w:t>Every investment adviser that has its principal place of business in a state other than this state shall file only such reports as required by the state in which the investment adviser maintains its principal place of business, provided the investment adviser is licensed in such state and is in compliance with such state’s financial reporting requirements.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8">
        <w:r>
          <w:rPr>
            <w:rStyle w:val="Hyperlink"/>
            <w:rFonts w:ascii="Times New Roman" w:hAnsi="Times New Roman"/>
            <w:b w:val="false"/>
            <w:i w:val="false"/>
            <w:color w:val="000000"/>
            <w:sz w:val="22"/>
          </w:rPr>
          <w:t>502.411(2)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191—50.44</w:t>
      </w:r>
      <w:r>
        <w:rPr>
          <w:rFonts w:ascii="Times New Roman" w:hAnsi="Times New Roman"/>
          <w:b/>
          <w:i w:val="false"/>
          <w:color w:val="000000"/>
          <w:sz w:val="22"/>
        </w:rPr>
        <w:t xml:space="preserve">(502) </w:t>
      </w:r>
      <w:r>
        <w:rPr>
          <w:rFonts w:ascii="Times New Roman" w:hAnsi="Times New Roman"/>
          <w:b/>
          <w:i w:val="false"/>
          <w:color w:val="000000"/>
          <w:sz w:val="22"/>
        </w:rPr>
        <w:t xml:space="preserve">Solely incidental services by certain professionals.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50.44(1)</w:t>
      </w:r>
      <w:r>
        <w:rPr>
          <w:rFonts w:ascii="Times New Roman" w:hAnsi="Times New Roman"/>
          <w:b w:val="false"/>
          <w:i w:val="false"/>
          <w:color w:val="000000"/>
          <w:sz w:val="22"/>
        </w:rPr>
        <w:t> </w:t>
      </w:r>
      <w:r>
        <w:rPr>
          <w:rFonts w:ascii="Times New Roman" w:hAnsi="Times New Roman"/>
          <w:b w:val="false"/>
          <w:i/>
          <w:color w:val="000000"/>
          <w:sz w:val="22"/>
        </w:rPr>
        <w:t xml:space="preserve">General approach.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Certain professionals may rely on an exclusion from the definition of “investment adviser” contained in Iowa Code section </w:t>
      </w:r>
      <w:hyperlink r:id="rId249">
        <w:r>
          <w:rPr>
            <w:rStyle w:val="Hyperlink"/>
            <w:rFonts w:ascii="Times New Roman" w:hAnsi="Times New Roman"/>
            <w:b w:val="false"/>
            <w:i w:val="false"/>
            <w:color w:val="000000"/>
            <w:sz w:val="22"/>
          </w:rPr>
          <w:t>502.102(15)</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lawyers, accountants, engineers or teachers whose performance of investment advice is solely incidental to the practice of the person’s profession. Whether the exclusion from the definition of “investment adviser” is available to a lawyer, accountant, engineer or teacher providing investment advisory services within the meaning of Iowa Code section </w:t>
      </w:r>
      <w:hyperlink r:id="rId250">
        <w:r>
          <w:rPr>
            <w:rStyle w:val="Hyperlink"/>
            <w:rFonts w:ascii="Times New Roman" w:hAnsi="Times New Roman"/>
            <w:b w:val="false"/>
            <w:i w:val="false"/>
            <w:color w:val="000000"/>
            <w:sz w:val="22"/>
          </w:rPr>
          <w:t>502.102(15)</w:t>
        </w:r>
      </w:hyperlink>
      <w:r>
        <w:rPr>
          <w:rFonts w:ascii="Times New Roman" w:hAnsi="Times New Roman"/>
          <w:b w:val="false"/>
          <w:i/>
          <w:color w:val="000000"/>
          <w:sz w:val="22"/>
        </w:rPr>
        <w:t>“b”</w:t>
      </w:r>
      <w:r>
        <w:rPr>
          <w:rFonts w:ascii="Times New Roman" w:hAnsi="Times New Roman"/>
          <w:b w:val="false"/>
          <w:i w:val="false"/>
          <w:color w:val="000000"/>
          <w:sz w:val="22"/>
        </w:rPr>
        <w:t xml:space="preserve"> depends upon the relevant facts and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general, the administrator will determine whether the investment advisory services provided and the fees charged are solely incidental to the total services provided to the individual client by comparing whether the aggregate of such fees and services is solely incidental to the aggregate of services provided to all clients. In addition, the administrator will take other relevant factors into consideration in determining the applicability of the exclusion including, but not limited to, whether the firm establishes a separate subsidiary, division, or other business entity to perform advisory services or maintains an investment adviser registration with the U.S. Securities and Exchange Commission under the Investment Advisers Act of 1940. In this context, the administrator would refer to U.S. Securities and Exchange Commission Release IA-1092 relating to the analogous exclusion in the Investment Advisers Act of 1940 which states that “. . . the exclusion . . . is not available . . . to a lawyer or accountant who holds himself out to the public as providing financial planning, pension consulting, or other financial advisory services. In such a case it would appear that the performance of investment advisory services by the person would not be solely incidental to his practice as a lawyer or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50.44(2)</w:t>
      </w:r>
      <w:r>
        <w:rPr>
          <w:rFonts w:ascii="Times New Roman" w:hAnsi="Times New Roman"/>
          <w:b w:val="false"/>
          <w:i w:val="false"/>
          <w:color w:val="000000"/>
          <w:sz w:val="22"/>
        </w:rPr>
        <w:t> </w:t>
      </w:r>
      <w:r>
        <w:rPr>
          <w:rFonts w:ascii="Times New Roman" w:hAnsi="Times New Roman"/>
          <w:b w:val="false"/>
          <w:i/>
          <w:color w:val="000000"/>
          <w:sz w:val="22"/>
        </w:rPr>
        <w:t xml:space="preserve">General versus specific advice. </w:t>
      </w:r>
      <w:r>
        <w:rPr>
          <w:rFonts w:ascii="Times New Roman" w:hAnsi="Times New Roman"/>
          <w:b w:val="false"/>
          <w:i w:val="false"/>
          <w:color w:val="000000"/>
          <w:sz w:val="22"/>
        </w:rPr>
        <w:t>A lawyer, accountant, engineer or teacher, whether or not holding oneself out to the public as providing financial planning or other financial advisory services, who does not render advice with respect to investing in specific securities, types of securities, or categories of securities need not register as an investment adviser. Registration is not required when the securities advice provided to clients in this state is limited to a general recommendation that the client should be more aggressive or more conservative in securities investments, a general recommendation as to the percentage of the client’s assets that should be in securities, or a general recommendation that the client pursue an income-producing or growth-oriented investment strategy, provided the recommendation does not identify specific securities, types of securities, or categories of securities. For the purpose of this subrule, the phrase “types of securities” means classes of securities in which the issuer is not specifically identified, such as common stock, preferred stock, options, warrants, bonds, and mutual funds, and the phrase “categories of securities” means general areas of securities investments where neither the issuer nor the types of securities are identified such as cyclical securities, automotive industry securities, international securities, and NYSE securities. Asset allocation recommendations, however, generally do include advice on types of securities.</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An accountant provides clients accounting and financial planning services. No advice with respect to specific securities, types of securities, or categories of securities is provided. The accountant need not register as an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50.44(3)</w:t>
      </w:r>
      <w:r>
        <w:rPr>
          <w:rFonts w:ascii="Times New Roman" w:hAnsi="Times New Roman"/>
          <w:b w:val="false"/>
          <w:i w:val="false"/>
          <w:color w:val="000000"/>
          <w:sz w:val="22"/>
        </w:rPr>
        <w:t> </w:t>
      </w:r>
      <w:r>
        <w:rPr>
          <w:rFonts w:ascii="Times New Roman" w:hAnsi="Times New Roman"/>
          <w:b w:val="false"/>
          <w:i/>
          <w:color w:val="000000"/>
          <w:sz w:val="22"/>
        </w:rPr>
        <w:t xml:space="preserve">Professional does not hold self out as a financial planner. </w:t>
      </w:r>
      <w:r>
        <w:rPr>
          <w:rFonts w:ascii="Times New Roman" w:hAnsi="Times New Roman"/>
          <w:b w:val="false"/>
          <w:i w:val="false"/>
          <w:color w:val="000000"/>
          <w:sz w:val="22"/>
        </w:rPr>
        <w:t xml:space="preserve">When the securities advice is provided by a lawyer, accountant, engineer, or teacher who does not hold oneself out to the public as providing financial planning or other financial advisory services, the availability of the exclusion from the definition of “investment adviser” contained in Iowa Code section </w:t>
      </w:r>
      <w:hyperlink r:id="rId251">
        <w:r>
          <w:rPr>
            <w:rStyle w:val="Hyperlink"/>
            <w:rFonts w:ascii="Times New Roman" w:hAnsi="Times New Roman"/>
            <w:b w:val="false"/>
            <w:i w:val="false"/>
            <w:color w:val="000000"/>
            <w:sz w:val="22"/>
          </w:rPr>
          <w:t>502.102(15)</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securities advice rendered solely incidental to the profession will depend on those factors set forth in paragraph </w:t>
      </w:r>
      <w:hyperlink r:id="rId252">
        <w:r>
          <w:rPr>
            <w:rStyle w:val="Hyperlink"/>
            <w:rFonts w:ascii="Times New Roman" w:hAnsi="Times New Roman"/>
            <w:b w:val="false"/>
            <w:i w:val="false"/>
            <w:color w:val="000000"/>
            <w:sz w:val="22"/>
          </w:rPr>
          <w:t>50.44(1)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xml:space="preserve">EXAMPLE A: </w:t>
      </w:r>
      <w:r>
        <w:rPr>
          <w:rFonts w:ascii="Times New Roman" w:hAnsi="Times New Roman"/>
          <w:b w:val="false"/>
          <w:i w:val="false"/>
          <w:color w:val="000000"/>
          <w:sz w:val="22"/>
        </w:rPr>
        <w:t xml:space="preserve">An accountant who does not hold oneself out to the public as providing financial planning or other financial advisory services provides the client both accounting and financial planning services. The services involve advice with respect to specific securities, types of securities, or categories of securities. Whether the accountant is excluded from the definition of investment adviser depends on those factors set forth in paragraph </w:t>
      </w:r>
      <w:hyperlink r:id="rId253">
        <w:r>
          <w:rPr>
            <w:rStyle w:val="Hyperlink"/>
            <w:rFonts w:ascii="Times New Roman" w:hAnsi="Times New Roman"/>
            <w:b w:val="false"/>
            <w:i w:val="false"/>
            <w:color w:val="000000"/>
            <w:sz w:val="22"/>
          </w:rPr>
          <w:t>50.44(1)</w:t>
        </w:r>
        <w:r>
          <w:rPr>
            <w:rFonts w:ascii="Times New Roman" w:hAnsi="Times New Roman"/>
            <w:b w:val="false"/>
            <w:i/>
            <w:color w:val="000000"/>
            <w:sz w:val="22"/>
          </w:rPr>
          <w:t>“b,”</w:t>
        </w:r>
      </w:hyperlink>
      <w:r>
        <w:rPr>
          <w:rFonts w:ascii="Times New Roman" w:hAnsi="Times New Roman"/>
          <w:b w:val="false"/>
          <w:i w:val="false"/>
          <w:color w:val="000000"/>
          <w:sz w:val="22"/>
        </w:rPr>
        <w:t xml:space="preserve"> including a comparison of the extent of the securities advisory services provided to any client as contrasted with the accounting services provided to that client. The comparison is measured by the compensation paid for each service.</w:t>
      </w:r>
    </w:p>
    <w:p>
      <w:pPr>
        <w:spacing w:before="0" w:after="0"/>
        <w:ind w:left="120"/>
        <w:jc w:val="both"/>
      </w:pPr>
      <w:r>
        <w:rPr>
          <w:rFonts w:ascii="Times New Roman" w:hAnsi="Times New Roman"/>
          <w:b w:val="false"/>
          <w:i w:val="false"/>
          <w:color w:val="000000"/>
          <w:sz w:val="22"/>
        </w:rPr>
        <w:t xml:space="preserve">EXAMPLE B: </w:t>
      </w:r>
      <w:r>
        <w:rPr>
          <w:rFonts w:ascii="Times New Roman" w:hAnsi="Times New Roman"/>
          <w:b w:val="false"/>
          <w:i w:val="false"/>
          <w:color w:val="000000"/>
          <w:sz w:val="22"/>
        </w:rPr>
        <w:t>An accountant provides a client financial planning services only. The financial planning services involve advice with respect to specific securities, types of securities, or categories of securities. The accountant is not excluded from the definition of investment adviser and therefore must register as an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50.44(4)</w:t>
      </w:r>
      <w:r>
        <w:rPr>
          <w:rFonts w:ascii="Times New Roman" w:hAnsi="Times New Roman"/>
          <w:b w:val="false"/>
          <w:i w:val="false"/>
          <w:color w:val="000000"/>
          <w:sz w:val="22"/>
        </w:rPr>
        <w:t> </w:t>
      </w:r>
      <w:r>
        <w:rPr>
          <w:rFonts w:ascii="Times New Roman" w:hAnsi="Times New Roman"/>
          <w:b w:val="false"/>
          <w:i/>
          <w:color w:val="000000"/>
          <w:sz w:val="22"/>
        </w:rPr>
        <w:t xml:space="preserve">Professional holds self out as a financial planner.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investment advice provided by a lawyer, accountant, engineer, or teacher who holds oneself out to the public as providing financial planning or other financial advisory services is part of the financial plan being provided to a financial planning client, the professional cannot rely on the exclusion from the definition of “investment adviser” contained in Iowa Code section </w:t>
      </w:r>
      <w:hyperlink r:id="rId254">
        <w:r>
          <w:rPr>
            <w:rStyle w:val="Hyperlink"/>
            <w:rFonts w:ascii="Times New Roman" w:hAnsi="Times New Roman"/>
            <w:b w:val="false"/>
            <w:i w:val="false"/>
            <w:color w:val="000000"/>
            <w:sz w:val="22"/>
          </w:rPr>
          <w:t>502.102(15)</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investment advice rendered incidentally to the practice of the profession.</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An accountant who holds oneself out to the public as providing financial planning or other financial advisory services provides the client both accounting and financial planning services. The financial planning services involve advice with respect to specific securities, types of securities, or categories of securities. The accountant is not excluded from the definition of investment adviser no matter how insignificantly the securities advice compares to the other financial planning advice or accounting services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lawyer, accountant, engineer, or teacher holding oneself out to the public as providing financial planning or other financial advisory services does not provide advice on specific securities, types of securities, or categories of securities as part of financial planning services but provides such advice in connection with the practice of the profession, in most instances the exclusion from the definition of investment adviser would be unavailable because the professional is holding oneself out as a financial planner or financial adviser. If, however, securities advice is not part of financial planning services and is both limited and isolated, the exclusion may still be available.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An accountant who holds oneself out to the public as providing financial planning or other financial advisory services provides clients both accounting and financial planning services. No securities advice is rendered as part of the financial planning services. Clients, on a few occasions, request the accountant’s advice on investing in certain limited partnerships. The fees charged to such a client for the advice total only a small percentage of the fees charged to that client for accounting services provided. The accountant is excluded from the definition of investment adviser. The example presented is intentionally narrow in order to illustrate that once the accountant holds oneself out as a financial planner or financial adviser, even if the only securities advice provided for compensation is not part of the financial planning or advisory activities, only limited and isolated securities advice may be provided without registration as an investment adviser.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5">
        <w:r>
          <w:rPr>
            <w:rStyle w:val="Hyperlink"/>
            <w:rFonts w:ascii="Times New Roman" w:hAnsi="Times New Roman"/>
            <w:b w:val="false"/>
            <w:i w:val="false"/>
            <w:color w:val="000000"/>
            <w:sz w:val="22"/>
          </w:rPr>
          <w:t>502.102(15)</w:t>
        </w:r>
      </w:hyperlink>
      <w:r>
        <w:rPr>
          <w:rFonts w:ascii="Times New Roman" w:hAnsi="Times New Roman"/>
          <w:b w:val="false"/>
          <w:i/>
          <w:color w:val="000000"/>
          <w:sz w:val="22"/>
        </w:rPr>
        <w:t>“b.”</w:t>
      </w:r>
    </w:p>
    <w:p>
      <w:pPr>
        <w:spacing w:before="0" w:after="0"/>
        <w:ind w:left="120"/>
        <w:jc w:val="both"/>
      </w:pPr>
      <w:r>
        <w:rPr>
          <w:rFonts w:ascii="Times New Roman" w:hAnsi="Times New Roman"/>
          <w:b/>
          <w:i w:val="false"/>
          <w:color w:val="000000"/>
          <w:sz w:val="22"/>
        </w:rPr>
        <w:t>191—50.45</w:t>
      </w:r>
      <w:r>
        <w:rPr>
          <w:rFonts w:ascii="Times New Roman" w:hAnsi="Times New Roman"/>
          <w:b/>
          <w:i w:val="false"/>
          <w:color w:val="000000"/>
          <w:sz w:val="22"/>
        </w:rPr>
        <w:t xml:space="preserve">(502) </w:t>
      </w:r>
      <w:r>
        <w:rPr>
          <w:rFonts w:ascii="Times New Roman" w:hAnsi="Times New Roman"/>
          <w:b/>
          <w:i w:val="false"/>
          <w:color w:val="000000"/>
          <w:sz w:val="22"/>
        </w:rPr>
        <w:t xml:space="preserve">Registration exemption for investment advisers to private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“3(c)(1) fund” </w:t>
      </w:r>
      <w:r>
        <w:rPr>
          <w:rFonts w:ascii="Times New Roman" w:hAnsi="Times New Roman"/>
          <w:b w:val="false"/>
          <w:i w:val="false"/>
          <w:color w:val="000000"/>
          <w:sz w:val="22"/>
        </w:rPr>
        <w:t xml:space="preserve">means a qualifying private fund that is eligible for the exclusion from the definition of an investment company under the Investment Company Act of 1940 (15 U.S.C. Section 80a-3(c)(1)).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fund adviser” </w:t>
      </w:r>
      <w:r>
        <w:rPr>
          <w:rFonts w:ascii="Times New Roman" w:hAnsi="Times New Roman"/>
          <w:b w:val="false"/>
          <w:i w:val="false"/>
          <w:color w:val="000000"/>
          <w:sz w:val="22"/>
        </w:rPr>
        <w:t>means an investment adviser who provides advice solely to one or more qualifying private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private fund” </w:t>
      </w:r>
      <w:r>
        <w:rPr>
          <w:rFonts w:ascii="Times New Roman" w:hAnsi="Times New Roman"/>
          <w:b w:val="false"/>
          <w:i w:val="false"/>
          <w:color w:val="000000"/>
          <w:sz w:val="22"/>
        </w:rPr>
        <w:t>means a private fund that meets the definition of a qualifying private fund in SEC Rule 203(m)-1 (17 CFR 275.203(m)-1).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“Value of primary residence” </w:t>
      </w:r>
      <w:r>
        <w:rPr>
          <w:rFonts w:ascii="Times New Roman" w:hAnsi="Times New Roman"/>
          <w:b w:val="false"/>
          <w:i w:val="false"/>
          <w:color w:val="000000"/>
          <w:sz w:val="22"/>
        </w:rPr>
        <w:t xml:space="preserve">means the fair market value of a person’s primary residence, less the amount of debt secured by the property up to its fair market value.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“Venture capital fund” </w:t>
      </w:r>
      <w:r>
        <w:rPr>
          <w:rFonts w:ascii="Times New Roman" w:hAnsi="Times New Roman"/>
          <w:b w:val="false"/>
          <w:i w:val="false"/>
          <w:color w:val="000000"/>
          <w:sz w:val="22"/>
        </w:rPr>
        <w:t>means a private fund that meets the definition of a venture capital fund in SEC Rule 203(l)-1 (17 CFR 275.203(l)-1).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50.45(2)</w:t>
      </w:r>
      <w:r>
        <w:rPr>
          <w:rFonts w:ascii="Times New Roman" w:hAnsi="Times New Roman"/>
          <w:b w:val="false"/>
          <w:i w:val="false"/>
          <w:color w:val="000000"/>
          <w:sz w:val="22"/>
        </w:rPr>
        <w:t> </w:t>
      </w:r>
      <w:r>
        <w:rPr>
          <w:rFonts w:ascii="Times New Roman" w:hAnsi="Times New Roman"/>
          <w:b w:val="false"/>
          <w:i/>
          <w:color w:val="000000"/>
          <w:sz w:val="22"/>
        </w:rPr>
        <w:t xml:space="preserve">Exemption for private fund advisers. </w:t>
      </w:r>
      <w:r>
        <w:rPr>
          <w:rFonts w:ascii="Times New Roman" w:hAnsi="Times New Roman"/>
          <w:b w:val="false"/>
          <w:i w:val="false"/>
          <w:color w:val="000000"/>
          <w:sz w:val="22"/>
        </w:rPr>
        <w:t xml:space="preserve">Subject to the additional requirements of subrule </w:t>
      </w:r>
      <w:hyperlink r:id="rId256">
        <w:r>
          <w:rPr>
            <w:rStyle w:val="Hyperlink"/>
            <w:rFonts w:ascii="Times New Roman" w:hAnsi="Times New Roman"/>
            <w:b w:val="false"/>
            <w:i w:val="false"/>
            <w:color w:val="000000"/>
            <w:sz w:val="22"/>
          </w:rPr>
          <w:t>50.45(3)</w:t>
        </w:r>
      </w:hyperlink>
      <w:r>
        <w:rPr>
          <w:rFonts w:ascii="Times New Roman" w:hAnsi="Times New Roman"/>
          <w:b w:val="false"/>
          <w:i w:val="false"/>
          <w:color w:val="000000"/>
          <w:sz w:val="22"/>
        </w:rPr>
        <w:t xml:space="preserve">, a private fund adviser shall be exempt from the registration requirements of Iowa Code section </w:t>
      </w:r>
      <w:hyperlink r:id="rId257">
        <w:r>
          <w:rPr>
            <w:rStyle w:val="Hyperlink"/>
            <w:rFonts w:ascii="Times New Roman" w:hAnsi="Times New Roman"/>
            <w:b w:val="false"/>
            <w:i w:val="false"/>
            <w:color w:val="000000"/>
            <w:sz w:val="22"/>
          </w:rPr>
          <w:t>502.403</w:t>
        </w:r>
      </w:hyperlink>
      <w:r>
        <w:rPr>
          <w:rFonts w:ascii="Times New Roman" w:hAnsi="Times New Roman"/>
          <w:b w:val="false"/>
          <w:i w:val="false"/>
          <w:color w:val="000000"/>
          <w:sz w:val="22"/>
        </w:rPr>
        <w:t xml:space="preserve"> if the private fund adviser satisfies each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private fund adviser nor any of its advisory affiliates are subject to a disqualification as described in SEC Rule 262 of Regulation A (17 CFR 230.262).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private fund adviser files with the state each report and amendment thereto that an exempt reporting adviser is required to file with the SEC pursuant to SEC Rule 204-4 (17 CFR 275.204-4).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private fund adviser pays any applicable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50.45(3)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for private fund advisers to certain 3(c)(1) funds. </w:t>
      </w:r>
      <w:r>
        <w:rPr>
          <w:rFonts w:ascii="Times New Roman" w:hAnsi="Times New Roman"/>
          <w:b w:val="false"/>
          <w:i w:val="false"/>
          <w:color w:val="000000"/>
          <w:sz w:val="22"/>
        </w:rPr>
        <w:t xml:space="preserve">In order to qualify for the exemption described in subrule </w:t>
      </w:r>
      <w:hyperlink r:id="rId258">
        <w:r>
          <w:rPr>
            <w:rStyle w:val="Hyperlink"/>
            <w:rFonts w:ascii="Times New Roman" w:hAnsi="Times New Roman"/>
            <w:b w:val="false"/>
            <w:i w:val="false"/>
            <w:color w:val="000000"/>
            <w:sz w:val="22"/>
          </w:rPr>
          <w:t>50.45(2)</w:t>
        </w:r>
      </w:hyperlink>
      <w:r>
        <w:rPr>
          <w:rFonts w:ascii="Times New Roman" w:hAnsi="Times New Roman"/>
          <w:b w:val="false"/>
          <w:i w:val="false"/>
          <w:color w:val="000000"/>
          <w:sz w:val="22"/>
        </w:rPr>
        <w:t xml:space="preserve">, a private fund adviser who advises at least one 3(c)(1) fund that is not a venture capital fund shall, in addition to satisfying each of the conditions specified in paragraph </w:t>
      </w:r>
      <w:hyperlink r:id="rId259">
        <w:r>
          <w:rPr>
            <w:rStyle w:val="Hyperlink"/>
            <w:rFonts w:ascii="Times New Roman" w:hAnsi="Times New Roman"/>
            <w:b w:val="false"/>
            <w:i w:val="false"/>
            <w:color w:val="000000"/>
            <w:sz w:val="22"/>
          </w:rPr>
          <w:t>50.45(3)</w:t>
        </w:r>
        <w:r>
          <w:rPr>
            <w:rFonts w:ascii="Times New Roman" w:hAnsi="Times New Roman"/>
            <w:b w:val="false"/>
            <w:i/>
            <w:color w:val="000000"/>
            <w:sz w:val="22"/>
          </w:rPr>
          <w:t>“b,”</w:t>
        </w:r>
      </w:hyperlink>
      <w:r>
        <w:rPr>
          <w:rFonts w:ascii="Times New Roman" w:hAnsi="Times New Roman"/>
          <w:b w:val="false"/>
          <w:i w:val="false"/>
          <w:color w:val="000000"/>
          <w:sz w:val="22"/>
        </w:rPr>
        <w:t xml:space="preserve">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private fund adviser shall advise only those 3(c)(1) funds (other than venture capital funds) whose outstanding securities (other than short-term paper) are beneficially owned entirely by persons who, after deducting the value of the primary residence from the person’s net worth, would each meet the definition of a qualified client in SEC Rule 205-3 (17 CFR 275.205-3) at the time the securities are purchased from the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time of purchase, the private fund adviser shall disclose the following in writing to each beneficial owner of a 3(c)(1) fund that is not a venture capital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services, if any, to be provided to individual beneficial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duties, if any, the private fund adviser owes to the beneficial owners;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material information affecting the rights or responsibilities of the beneficial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private fund adviser shall obtain on an annual basis audited financial statements of each 3(c)(1) fund that is not a venture capital fund and shall deliver a copy of such audited financial statements to each beneficial owner of the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50.45(4)</w:t>
      </w:r>
      <w:r>
        <w:rPr>
          <w:rFonts w:ascii="Times New Roman" w:hAnsi="Times New Roman"/>
          <w:b w:val="false"/>
          <w:i w:val="false"/>
          <w:color w:val="000000"/>
          <w:sz w:val="22"/>
        </w:rPr>
        <w:t> </w:t>
      </w:r>
      <w:r>
        <w:rPr>
          <w:rFonts w:ascii="Times New Roman" w:hAnsi="Times New Roman"/>
          <w:b w:val="false"/>
          <w:i/>
          <w:color w:val="000000"/>
          <w:sz w:val="22"/>
        </w:rPr>
        <w:t xml:space="preserve">Federal covered investment advisers. </w:t>
      </w:r>
      <w:r>
        <w:rPr>
          <w:rFonts w:ascii="Times New Roman" w:hAnsi="Times New Roman"/>
          <w:b w:val="false"/>
          <w:i w:val="false"/>
          <w:color w:val="000000"/>
          <w:sz w:val="22"/>
        </w:rPr>
        <w:t>If a private fund adviser is registered with the SEC, the adviser shall not be eligible for this exemption and shall comply with the state notice filing requirements applicable to federal covered investment advisers.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50.45(5)</w:t>
      </w:r>
      <w:r>
        <w:rPr>
          <w:rFonts w:ascii="Times New Roman" w:hAnsi="Times New Roman"/>
          <w:b w:val="false"/>
          <w:i w:val="false"/>
          <w:color w:val="000000"/>
          <w:sz w:val="22"/>
        </w:rPr>
        <w:t> </w:t>
      </w:r>
      <w:r>
        <w:rPr>
          <w:rFonts w:ascii="Times New Roman" w:hAnsi="Times New Roman"/>
          <w:b w:val="false"/>
          <w:i/>
          <w:color w:val="000000"/>
          <w:sz w:val="22"/>
        </w:rPr>
        <w:t xml:space="preserve">Investment adviser representatives. </w:t>
      </w:r>
      <w:r>
        <w:rPr>
          <w:rFonts w:ascii="Times New Roman" w:hAnsi="Times New Roman"/>
          <w:b w:val="false"/>
          <w:i w:val="false"/>
          <w:color w:val="000000"/>
          <w:sz w:val="22"/>
        </w:rPr>
        <w:t xml:space="preserve">A person is exempt from the registration requirements if the person is employed by or associated with an investment adviser that is exempt from registration in this state pursuant to rule </w:t>
      </w:r>
      <w:hyperlink r:id="rId260">
        <w:r>
          <w:rPr>
            <w:rStyle w:val="Hyperlink"/>
            <w:rFonts w:ascii="Times New Roman" w:hAnsi="Times New Roman"/>
            <w:b w:val="false"/>
            <w:i w:val="false"/>
            <w:color w:val="000000"/>
            <w:sz w:val="22"/>
          </w:rPr>
          <w:t>191—50.45</w:t>
        </w:r>
      </w:hyperlink>
      <w:r>
        <w:rPr>
          <w:rFonts w:ascii="Times New Roman" w:hAnsi="Times New Roman"/>
          <w:b w:val="false"/>
          <w:i w:val="false"/>
          <w:color w:val="000000"/>
          <w:sz w:val="22"/>
        </w:rPr>
        <w:t>(502) and does not otherwise act as an investment adviser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50.45(6)</w:t>
      </w:r>
      <w:r>
        <w:rPr>
          <w:rFonts w:ascii="Times New Roman" w:hAnsi="Times New Roman"/>
          <w:b w:val="false"/>
          <w:i w:val="false"/>
          <w:color w:val="000000"/>
          <w:sz w:val="22"/>
        </w:rPr>
        <w:t> </w:t>
      </w:r>
      <w:r>
        <w:rPr>
          <w:rFonts w:ascii="Times New Roman" w:hAnsi="Times New Roman"/>
          <w:b w:val="false"/>
          <w:i/>
          <w:color w:val="000000"/>
          <w:sz w:val="22"/>
        </w:rPr>
        <w:t xml:space="preserve">Electronic filing. </w:t>
      </w:r>
      <w:r>
        <w:rPr>
          <w:rFonts w:ascii="Times New Roman" w:hAnsi="Times New Roman"/>
          <w:b w:val="false"/>
          <w:i w:val="false"/>
          <w:color w:val="000000"/>
          <w:sz w:val="22"/>
        </w:rPr>
        <w:t xml:space="preserve">The report filings described in paragraph </w:t>
      </w:r>
      <w:hyperlink r:id="rId261">
        <w:r>
          <w:rPr>
            <w:rStyle w:val="Hyperlink"/>
            <w:rFonts w:ascii="Times New Roman" w:hAnsi="Times New Roman"/>
            <w:b w:val="false"/>
            <w:i w:val="false"/>
            <w:color w:val="000000"/>
            <w:sz w:val="22"/>
          </w:rPr>
          <w:t>50.45(2)</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made electronically through the IARD. A report shall be deemed filed when the report and the fee required are filed and accepted by the IARD on the state’s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50.45(7)</w:t>
      </w:r>
      <w:r>
        <w:rPr>
          <w:rFonts w:ascii="Times New Roman" w:hAnsi="Times New Roman"/>
          <w:b w:val="false"/>
          <w:i w:val="false"/>
          <w:color w:val="000000"/>
          <w:sz w:val="22"/>
        </w:rPr>
        <w:t> </w:t>
      </w:r>
      <w:r>
        <w:rPr>
          <w:rFonts w:ascii="Times New Roman" w:hAnsi="Times New Roman"/>
          <w:b w:val="false"/>
          <w:i/>
          <w:color w:val="000000"/>
          <w:sz w:val="22"/>
        </w:rPr>
        <w:t xml:space="preserve">Transition. </w:t>
      </w:r>
      <w:r>
        <w:rPr>
          <w:rFonts w:ascii="Times New Roman" w:hAnsi="Times New Roman"/>
          <w:b w:val="false"/>
          <w:i w:val="false"/>
          <w:color w:val="000000"/>
          <w:sz w:val="22"/>
        </w:rPr>
        <w:t xml:space="preserve">An investment adviser that becomes ineligible for the exemption provided by rule </w:t>
      </w:r>
      <w:hyperlink r:id="rId262">
        <w:r>
          <w:rPr>
            <w:rStyle w:val="Hyperlink"/>
            <w:rFonts w:ascii="Times New Roman" w:hAnsi="Times New Roman"/>
            <w:b w:val="false"/>
            <w:i w:val="false"/>
            <w:color w:val="000000"/>
            <w:sz w:val="22"/>
          </w:rPr>
          <w:t>191—50.45</w:t>
        </w:r>
      </w:hyperlink>
      <w:r>
        <w:rPr>
          <w:rFonts w:ascii="Times New Roman" w:hAnsi="Times New Roman"/>
          <w:b w:val="false"/>
          <w:i w:val="false"/>
          <w:color w:val="000000"/>
          <w:sz w:val="22"/>
        </w:rPr>
        <w:t>(502) must comply with all applicable laws and rules requiring registration or notice filing within 90 days from the date the investment adviser’s eligibility for this exemption ceases.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50.45(8)</w:t>
      </w:r>
      <w:r>
        <w:rPr>
          <w:rFonts w:ascii="Times New Roman" w:hAnsi="Times New Roman"/>
          <w:b w:val="false"/>
          <w:i w:val="false"/>
          <w:color w:val="000000"/>
          <w:sz w:val="22"/>
        </w:rPr>
        <w:t> </w:t>
      </w:r>
      <w:r>
        <w:rPr>
          <w:rFonts w:ascii="Times New Roman" w:hAnsi="Times New Roman"/>
          <w:b w:val="false"/>
          <w:i/>
          <w:color w:val="000000"/>
          <w:sz w:val="22"/>
        </w:rPr>
        <w:t xml:space="preserve">Grandfathering for investment advisers to 3(c)(1) funds with nonqualified clients. </w:t>
      </w:r>
      <w:r>
        <w:rPr>
          <w:rFonts w:ascii="Times New Roman" w:hAnsi="Times New Roman"/>
          <w:b w:val="false"/>
          <w:i w:val="false"/>
          <w:color w:val="000000"/>
          <w:sz w:val="22"/>
        </w:rPr>
        <w:t xml:space="preserve">An investment adviser to a 3(c)(1) fund (other than a venture capital fund) that has one or more beneficial owners who are not qualified clients as described in paragraph </w:t>
      </w:r>
      <w:hyperlink r:id="rId263">
        <w:r>
          <w:rPr>
            <w:rStyle w:val="Hyperlink"/>
            <w:rFonts w:ascii="Times New Roman" w:hAnsi="Times New Roman"/>
            <w:b w:val="false"/>
            <w:i w:val="false"/>
            <w:color w:val="000000"/>
            <w:sz w:val="22"/>
          </w:rPr>
          <w:t>50.45(3)</w:t>
        </w:r>
        <w:r>
          <w:rPr>
            <w:rFonts w:ascii="Times New Roman" w:hAnsi="Times New Roman"/>
            <w:b w:val="false"/>
            <w:i/>
            <w:color w:val="000000"/>
            <w:sz w:val="22"/>
          </w:rPr>
          <w:t>“a”</w:t>
        </w:r>
      </w:hyperlink>
      <w:r>
        <w:rPr>
          <w:rFonts w:ascii="Times New Roman" w:hAnsi="Times New Roman"/>
          <w:b w:val="false"/>
          <w:i w:val="false"/>
          <w:color w:val="000000"/>
          <w:sz w:val="22"/>
        </w:rPr>
        <w:t xml:space="preserve"> is eligible for the exemption contained in subrule </w:t>
      </w:r>
      <w:hyperlink r:id="rId264">
        <w:r>
          <w:rPr>
            <w:rStyle w:val="Hyperlink"/>
            <w:rFonts w:ascii="Times New Roman" w:hAnsi="Times New Roman"/>
            <w:b w:val="false"/>
            <w:i w:val="false"/>
            <w:color w:val="000000"/>
            <w:sz w:val="22"/>
          </w:rPr>
          <w:t>50.45(2)</w:t>
        </w:r>
      </w:hyperlink>
      <w:r>
        <w:rPr>
          <w:rFonts w:ascii="Times New Roman" w:hAnsi="Times New Roman"/>
          <w:b w:val="false"/>
          <w:i w:val="false"/>
          <w:color w:val="000000"/>
          <w:sz w:val="22"/>
        </w:rPr>
        <w:t xml:space="preserve"> if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fund existed prior to November 6,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As of November 6, 2013, the subject fund ceases to accept beneficial owners who are not qualified clients, as described in paragraph </w:t>
      </w:r>
      <w:hyperlink r:id="rId265">
        <w:r>
          <w:rPr>
            <w:rStyle w:val="Hyperlink"/>
            <w:rFonts w:ascii="Times New Roman" w:hAnsi="Times New Roman"/>
            <w:b w:val="false"/>
            <w:i w:val="false"/>
            <w:color w:val="000000"/>
            <w:sz w:val="22"/>
          </w:rPr>
          <w:t>50.45(3)</w:t>
        </w:r>
        <w:r>
          <w:rPr>
            <w:rFonts w:ascii="Times New Roman" w:hAnsi="Times New Roman"/>
            <w:b w:val="false"/>
            <w:i/>
            <w:color w:val="000000"/>
            <w:sz w:val="22"/>
          </w:rPr>
          <w:t>“a”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investment adviser discloses in writing the information described in paragraph </w:t>
      </w:r>
      <w:hyperlink r:id="rId266">
        <w:r>
          <w:rPr>
            <w:rStyle w:val="Hyperlink"/>
            <w:rFonts w:ascii="Times New Roman" w:hAnsi="Times New Roman"/>
            <w:b w:val="false"/>
            <w:i w:val="false"/>
            <w:color w:val="000000"/>
            <w:sz w:val="22"/>
          </w:rPr>
          <w:t>50.45(3)</w:t>
        </w:r>
        <w:r>
          <w:rPr>
            <w:rFonts w:ascii="Times New Roman" w:hAnsi="Times New Roman"/>
            <w:b w:val="false"/>
            <w:i/>
            <w:color w:val="000000"/>
            <w:sz w:val="22"/>
          </w:rPr>
          <w:t>“b”</w:t>
        </w:r>
      </w:hyperlink>
      <w:r>
        <w:rPr>
          <w:rFonts w:ascii="Times New Roman" w:hAnsi="Times New Roman"/>
          <w:b w:val="false"/>
          <w:i w:val="false"/>
          <w:color w:val="000000"/>
          <w:sz w:val="22"/>
        </w:rPr>
        <w:t xml:space="preserve"> to all beneficial owners of the fund;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As of November 6, 2013, the investment adviser delivers audited financial statements as required by paragraph </w:t>
      </w:r>
      <w:hyperlink r:id="rId267">
        <w:r>
          <w:rPr>
            <w:rStyle w:val="Hyperlink"/>
            <w:rFonts w:ascii="Times New Roman" w:hAnsi="Times New Roman"/>
            <w:b w:val="false"/>
            <w:i w:val="false"/>
            <w:color w:val="000000"/>
            <w:sz w:val="22"/>
          </w:rPr>
          <w:t>50.43(3)</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8">
        <w:r>
          <w:rPr>
            <w:rStyle w:val="Hyperlink"/>
            <w:rFonts w:ascii="Times New Roman" w:hAnsi="Times New Roman"/>
            <w:b w:val="false"/>
            <w:i w:val="false"/>
            <w:color w:val="000000"/>
            <w:sz w:val="22"/>
          </w:rPr>
          <w:t>502.403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3741C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191—50.46</w:t>
      </w:r>
      <w:r>
        <w:rPr>
          <w:rFonts w:ascii="Times New Roman" w:hAnsi="Times New Roman"/>
          <w:b/>
          <w:i w:val="false"/>
          <w:color w:val="000000"/>
          <w:sz w:val="22"/>
        </w:rPr>
        <w:t xml:space="preserve">(502) </w:t>
      </w:r>
      <w:r>
        <w:rPr>
          <w:rFonts w:ascii="Times New Roman" w:hAnsi="Times New Roman"/>
          <w:b/>
          <w:i w:val="false"/>
          <w:color w:val="000000"/>
          <w:sz w:val="22"/>
        </w:rPr>
        <w:t xml:space="preserve">Contents of investment advisory contract. </w:t>
      </w:r>
      <w:r>
        <w:rPr>
          <w:rFonts w:ascii="Times New Roman" w:hAnsi="Times New Roman"/>
          <w:b w:val="false"/>
          <w:i w:val="false"/>
          <w:color w:val="000000"/>
          <w:sz w:val="22"/>
        </w:rPr>
        <w:t>The provisions of this rule shall apply to federal covered investment advisers to the extent that the conduct alleged is fraudulent, deceptive, or as otherwise permitted by the National Securities Markets Improvement Act of 1996.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50.46(1)</w:t>
      </w:r>
      <w:r>
        <w:rPr>
          <w:rFonts w:ascii="Times New Roman" w:hAnsi="Times New Roman"/>
          <w:b w:val="false"/>
          <w:i w:val="false"/>
          <w:color w:val="000000"/>
          <w:sz w:val="22"/>
        </w:rPr>
        <w:t> </w:t>
      </w:r>
      <w:r>
        <w:rPr>
          <w:rFonts w:ascii="Times New Roman" w:hAnsi="Times New Roman"/>
          <w:b w:val="false"/>
          <w:i w:val="false"/>
          <w:color w:val="000000"/>
          <w:sz w:val="22"/>
        </w:rPr>
        <w:t>It is unlawful for any investment adviser, investment adviser representative, or federal covered investment adviser to enter into, extend, or renew any investment advisory contract unless it provides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services to be provided, the term of the contract, the investment advisory fee, the formula for computing the fee, the amount of prepaid fee to be returned in the event of termination or nonperformance of the contract, and any grant of discretionary power to the investment adviser, investment adviser representative, or federal covered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no direct or indirect assignment or transfer of the contract may be made by the investment adviser, investment adviser representative, or federal covered investment adviser without the consent of the client or other party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the investment adviser, investment adviser representative, or federal covered investment adviser shall not be compensated on the basis of a share of capital gains upon or capital appreciation of the funds or any portion of the funds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That the investment adviser, investment adviser representative, or federal covered investment adviser, if a partnership, shall notify the client or other party to the investment contract of any change in the membership of the partnership within a reasonable time after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50.46(2)</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unlawful for any investment adviser, investment adviser representative, or federal covered investment adviser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in an advisory contract any condition, stipulation, or provisions binding any person to waive compliance with any provision of this Act or of the Investment Advisers Act of 1940, or any other practice contrary to the provisions of Section 215 of the Investment Advisers Act of 1940;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extend or renew any advisory contract contrary to the provisions of Section 205 of the Investment Advisers Act of 1940. This provision shall apply to all advisers and investment adviser representatives registered or required to be registered under this Act, notwithstanding whether such adviser or representative would be exempt from federal registration pursuant to Section 203(b) of the Investment Advisers Act of 1940.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50.46(3)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269">
        <w:r>
          <w:rPr>
            <w:rStyle w:val="Hyperlink"/>
            <w:rFonts w:ascii="Times New Roman" w:hAnsi="Times New Roman"/>
            <w:b w:val="false"/>
            <w:i w:val="false"/>
            <w:color w:val="000000"/>
            <w:sz w:val="22"/>
          </w:rPr>
          <w:t>50.46(1)</w:t>
        </w:r>
        <w:r>
          <w:rPr>
            <w:rFonts w:ascii="Times New Roman" w:hAnsi="Times New Roman"/>
            <w:b w:val="false"/>
            <w:i/>
            <w:color w:val="000000"/>
            <w:sz w:val="22"/>
          </w:rPr>
          <w:t>“c,”</w:t>
        </w:r>
      </w:hyperlink>
      <w:r>
        <w:rPr>
          <w:rFonts w:ascii="Times New Roman" w:hAnsi="Times New Roman"/>
          <w:b w:val="false"/>
          <w:i w:val="false"/>
          <w:color w:val="000000"/>
          <w:sz w:val="22"/>
        </w:rPr>
        <w:t xml:space="preserve"> an investment adviser may enter into, extend or renew an investment advisory contract which provides for compensation to the investment adviser on the basis of a share of capital gains upon or capital appreciation of the funds, or any portion of the funds, of the client if the conditions in paragraphs </w:t>
      </w:r>
      <w:hyperlink r:id="rId270">
        <w:r>
          <w:rPr>
            <w:rStyle w:val="Hyperlink"/>
            <w:rFonts w:ascii="Times New Roman" w:hAnsi="Times New Roman"/>
            <w:b w:val="false"/>
            <w:i w:val="false"/>
            <w:color w:val="000000"/>
            <w:sz w:val="22"/>
          </w:rPr>
          <w:t>50.46(3)</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“d”</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client entering into the contract must be: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natural person or a company that, immediately after entering into the contract, has at least $750,000 under the management of the investment adviser;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that the investment adviser and its investment adviser representatives reasonably believe, immediately before entering into the contract, is a natural person or a company whose net worth, at the time the contract is entered into, exceeds $1,500,000. The net worth of a natural person may include assets held jointly with that person’s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compensation paid to the investment adviser with respect to the performance of any securities over a given period must be based on a formula with the following characteristics: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securities for which market quotations are readily available within the meaning of Rule 2a-4(a)(1) under the Investment Company Act of 1940 (definition of “current net asset value” for use in computing periodically the current price of redeemable security), the formula must include the realized capital losses and unrealized capital depreciation of the securities over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securities for which market quotations are not readily available within the meaning of Rule 2a-4(a)(1) under the Investment Company Act of 1940, the formula must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realized capital losses of securities over the period;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unrealized capital appreciation of the securities over the period is included, the unrealized capital depreciation of the securities over the period;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formula must provide that any compensation paid to the investment adviser under paragraph </w:t>
      </w:r>
      <w:hyperlink r:id="rId271">
        <w:r>
          <w:rPr>
            <w:rStyle w:val="Hyperlink"/>
            <w:rFonts w:ascii="Times New Roman" w:hAnsi="Times New Roman"/>
            <w:b w:val="false"/>
            <w:i w:val="false"/>
            <w:color w:val="000000"/>
            <w:sz w:val="22"/>
          </w:rPr>
          <w:t>50.46(3)</w:t>
        </w:r>
        <w:r>
          <w:rPr>
            <w:rFonts w:ascii="Times New Roman" w:hAnsi="Times New Roman"/>
            <w:b w:val="false"/>
            <w:i/>
            <w:color w:val="000000"/>
            <w:sz w:val="22"/>
          </w:rPr>
          <w:t>“b”</w:t>
        </w:r>
      </w:hyperlink>
      <w:r>
        <w:rPr>
          <w:rFonts w:ascii="Times New Roman" w:hAnsi="Times New Roman"/>
          <w:b w:val="false"/>
          <w:i w:val="false"/>
          <w:color w:val="000000"/>
          <w:sz w:val="22"/>
        </w:rPr>
        <w:t xml:space="preserve"> is based on the gains less the losses (computed in accordance with subparagraphs </w:t>
      </w:r>
      <w:hyperlink r:id="rId272">
        <w:r>
          <w:rPr>
            <w:rStyle w:val="Hyperlink"/>
            <w:rFonts w:ascii="Times New Roman" w:hAnsi="Times New Roman"/>
            <w:b w:val="false"/>
            <w:i w:val="false"/>
            <w:color w:val="000000"/>
            <w:sz w:val="22"/>
          </w:rPr>
          <w:t>50.46(3)</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in the client’s account for a period of not less than one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entering into the advisory contract and in addition to the requirements of Form ADV, the investment adviser must disclose in writing to the client or the client’s independent agent all material information concerning the proposed advisory arrangement, including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the fee arrangement may create an incentive for the investment adviser to make investments that are riskier or more speculative than would be the case in the absence of a performance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relevant, that the investment adviser may receive increased compensation with regard to unrealized appreciation as well as realized gains in the client’s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periods which will be used to measure investment performance throughout the contract and their significance in the computation of the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nature of any index which will be used as a comparative measure of investment performance, the significance of the index, and the reason the investment adviser believes that the index is appropriate;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the investment adviser’s compensation is based in part on the unrealized appreciation of securities for which market quotations are not readily available within the meaning of Rule 2a-4(a)(1) under the Investment Company Act of 1940, how the securities will be valued and the extent to which the valuation will be independently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investment adviser (and any investment adviser representative) that enters into the contract must reasonably believe, immediately before entering into the contract, that the contract represents an arm’s length arrangement between the parties and that the client (or in the case of a client which is a company as defined in paragraph </w:t>
      </w:r>
      <w:hyperlink r:id="rId273">
        <w:r>
          <w:rPr>
            <w:rStyle w:val="Hyperlink"/>
            <w:rFonts w:ascii="Times New Roman" w:hAnsi="Times New Roman"/>
            <w:b w:val="false"/>
            <w:i w:val="false"/>
            <w:color w:val="000000"/>
            <w:sz w:val="22"/>
          </w:rPr>
          <w:t>50.46(6)</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person representing the company), alone or together with the client’s independent agent, understands the proposed method of compensation and its risks. The representative of a company may be a partner, director, officer or an employee of the company or of the trustee, where the company is a trust, or any other person designated by the company or trustee, but must satisfy the definition of client’s independent agent set forth in paragraph </w:t>
      </w:r>
      <w:hyperlink r:id="rId274">
        <w:r>
          <w:rPr>
            <w:rStyle w:val="Hyperlink"/>
            <w:rFonts w:ascii="Times New Roman" w:hAnsi="Times New Roman"/>
            <w:b w:val="false"/>
            <w:i w:val="false"/>
            <w:color w:val="000000"/>
            <w:sz w:val="22"/>
          </w:rPr>
          <w:t>50.46(6)</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50.46(4)</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entering into or performing an investment advisory contract under rule </w:t>
      </w:r>
      <w:hyperlink r:id="rId275">
        <w:r>
          <w:rPr>
            <w:rStyle w:val="Hyperlink"/>
            <w:rFonts w:ascii="Times New Roman" w:hAnsi="Times New Roman"/>
            <w:b w:val="false"/>
            <w:i w:val="false"/>
            <w:color w:val="000000"/>
            <w:sz w:val="22"/>
          </w:rPr>
          <w:t>191—50.46</w:t>
        </w:r>
      </w:hyperlink>
      <w:r>
        <w:rPr>
          <w:rFonts w:ascii="Times New Roman" w:hAnsi="Times New Roman"/>
          <w:b w:val="false"/>
          <w:i w:val="false"/>
          <w:color w:val="000000"/>
          <w:sz w:val="22"/>
        </w:rPr>
        <w:t xml:space="preserve">(502) is not relieved of any obligations under rule </w:t>
      </w:r>
      <w:hyperlink r:id="rId276">
        <w:r>
          <w:rPr>
            <w:rStyle w:val="Hyperlink"/>
            <w:rFonts w:ascii="Times New Roman" w:hAnsi="Times New Roman"/>
            <w:b w:val="false"/>
            <w:i w:val="false"/>
            <w:color w:val="000000"/>
            <w:sz w:val="22"/>
          </w:rPr>
          <w:t>191—50.38</w:t>
        </w:r>
      </w:hyperlink>
      <w:r>
        <w:rPr>
          <w:rFonts w:ascii="Times New Roman" w:hAnsi="Times New Roman"/>
          <w:b w:val="false"/>
          <w:i w:val="false"/>
          <w:color w:val="000000"/>
          <w:sz w:val="22"/>
        </w:rPr>
        <w:t>(502) or any other applicable provision of the Act or any rule or order thereunder.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50.46(5)</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rule </w:t>
      </w:r>
      <w:hyperlink r:id="rId277">
        <w:r>
          <w:rPr>
            <w:rStyle w:val="Hyperlink"/>
            <w:rFonts w:ascii="Times New Roman" w:hAnsi="Times New Roman"/>
            <w:b w:val="false"/>
            <w:i w:val="false"/>
            <w:color w:val="000000"/>
            <w:sz w:val="22"/>
          </w:rPr>
          <w:t>191—50.46</w:t>
        </w:r>
      </w:hyperlink>
      <w:r>
        <w:rPr>
          <w:rFonts w:ascii="Times New Roman" w:hAnsi="Times New Roman"/>
          <w:b w:val="false"/>
          <w:i w:val="false"/>
          <w:color w:val="000000"/>
          <w:sz w:val="22"/>
        </w:rPr>
        <w:t>(502) shall relieve a client’s independent agent from any obligation to the client under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50.46(6)</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definitions apply for purposes of rule </w:t>
      </w:r>
      <w:hyperlink r:id="rId278">
        <w:r>
          <w:rPr>
            <w:rStyle w:val="Hyperlink"/>
            <w:rFonts w:ascii="Times New Roman" w:hAnsi="Times New Roman"/>
            <w:b w:val="false"/>
            <w:i w:val="false"/>
            <w:color w:val="000000"/>
            <w:sz w:val="22"/>
          </w:rPr>
          <w:t>191—50.46</w:t>
        </w:r>
      </w:hyperlink>
      <w:r>
        <w:rPr>
          <w:rFonts w:ascii="Times New Roman" w:hAnsi="Times New Roman"/>
          <w:b w:val="false"/>
          <w:i w:val="false"/>
          <w:color w:val="000000"/>
          <w:sz w:val="22"/>
        </w:rPr>
        <w:t>(502):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“Affiliate”</w:t>
      </w:r>
      <w:r>
        <w:rPr>
          <w:rFonts w:ascii="Times New Roman" w:hAnsi="Times New Roman"/>
          <w:b w:val="false"/>
          <w:i w:val="false"/>
          <w:color w:val="000000"/>
          <w:sz w:val="22"/>
        </w:rPr>
        <w:t xml:space="preserve"> shall have the same definition as in Section 2(a)(3) of the Investment Company Act of 1940.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“Assignment,”</w:t>
      </w:r>
      <w:r>
        <w:rPr>
          <w:rFonts w:ascii="Times New Roman" w:hAnsi="Times New Roman"/>
          <w:b w:val="false"/>
          <w:i w:val="false"/>
          <w:color w:val="000000"/>
          <w:sz w:val="22"/>
        </w:rPr>
        <w:t xml:space="preserve"> as used in paragraph </w:t>
      </w:r>
      <w:hyperlink r:id="rId279">
        <w:r>
          <w:rPr>
            <w:rStyle w:val="Hyperlink"/>
            <w:rFonts w:ascii="Times New Roman" w:hAnsi="Times New Roman"/>
            <w:b w:val="false"/>
            <w:i w:val="false"/>
            <w:color w:val="000000"/>
            <w:sz w:val="22"/>
          </w:rPr>
          <w:t>50.46(1)</w:t>
        </w:r>
        <w:r>
          <w:rPr>
            <w:rFonts w:ascii="Times New Roman" w:hAnsi="Times New Roman"/>
            <w:b w:val="false"/>
            <w:i/>
            <w:color w:val="000000"/>
            <w:sz w:val="22"/>
          </w:rPr>
          <w:t>“b,”</w:t>
        </w:r>
      </w:hyperlink>
      <w:r>
        <w:rPr>
          <w:rFonts w:ascii="Times New Roman" w:hAnsi="Times New Roman"/>
          <w:b w:val="false"/>
          <w:i w:val="false"/>
          <w:color w:val="000000"/>
          <w:sz w:val="22"/>
        </w:rPr>
        <w:t xml:space="preserve"> includes, but is not limited to, any transaction or event that results in any change to the individuals or entities with the power, directly or indirectly, to direct the management or policies of, or to vote more than 50 percent of any class of voting securities of, the investment adviser or federal covered investment adviser as compared to the individuals or entities that had such power as of the date when the contract was first entered into, extended or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“Client’s independent agent”</w:t>
      </w:r>
      <w:r>
        <w:rPr>
          <w:rFonts w:ascii="Times New Roman" w:hAnsi="Times New Roman"/>
          <w:b w:val="false"/>
          <w:i w:val="false"/>
          <w:color w:val="000000"/>
          <w:sz w:val="22"/>
        </w:rPr>
        <w:t xml:space="preserve"> means any person who agrees to act as an investment advisory client’s agent in connection with the contract. “Client’s independent agent” 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investment adviser relying on rule </w:t>
      </w:r>
      <w:hyperlink r:id="rId280">
        <w:r>
          <w:rPr>
            <w:rStyle w:val="Hyperlink"/>
            <w:rFonts w:ascii="Times New Roman" w:hAnsi="Times New Roman"/>
            <w:b w:val="false"/>
            <w:i w:val="false"/>
            <w:color w:val="000000"/>
            <w:sz w:val="22"/>
          </w:rPr>
          <w:t>191—50.46</w:t>
        </w:r>
      </w:hyperlink>
      <w:r>
        <w:rPr>
          <w:rFonts w:ascii="Times New Roman" w:hAnsi="Times New Roman"/>
          <w:b w:val="false"/>
          <w:i w:val="false"/>
          <w:color w:val="000000"/>
          <w:sz w:val="22"/>
        </w:rPr>
        <w:t xml:space="preserve">(502);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affiliated person of the investment adviser or an affiliated person of an affiliated person of the investment adviser including an investment adviser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interested person of the investment adviser;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receives, directly or indirectly, any compensation in connection with the contract from the investment adviser, an affiliated person of the investment adviser, an affiliated person of an affiliated person of the investment adviser or an interested person of the investment adviser;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with any material relationship between the person (or an affiliated person of that person) and the investment adviser (or an affiliated person of the investment adviser) that exists, or has existed at any time during the past two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“Company”</w:t>
      </w:r>
      <w:r>
        <w:rPr>
          <w:rFonts w:ascii="Times New Roman" w:hAnsi="Times New Roman"/>
          <w:b w:val="false"/>
          <w:i w:val="false"/>
          <w:color w:val="000000"/>
          <w:sz w:val="22"/>
        </w:rPr>
        <w:t xml:space="preserve"> means a corporation, partnership, association, joint stock company, trust, or any organized group of persons, whether incorporated or not; or any receiver, trustee in a case under Title 11 of the United States Code, or similar official or any liquidating agent for any of the foregoing, in the liquidating agent’s capacity as such. “Company” shall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company required to be registered under the Investment Company Act of 1940 but which is not so registered;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private investment company is an entity which would be defined as an investment company under Section 3(a) of the Investment Company Act of 1940 but for the exception from that definition provided by Section 3(c)(1) of that 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investment company registered under the Investment Company Act of 1940;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business development company as defined in Section 202(a)(22) of the Investment Advisers Act of 1940, unless each of the equity owners of any such company, other than the investment adviser entering into the contract, is a natural person or a company within the meaning of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“Interested person”</w:t>
      </w:r>
      <w:r>
        <w:rPr>
          <w:rFonts w:ascii="Times New Roman" w:hAnsi="Times New Roman"/>
          <w:b w:val="false"/>
          <w:i w:val="false"/>
          <w:color w:val="000000"/>
          <w:sz w:val="22"/>
        </w:rPr>
        <w:t xml:space="preserv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member of the immediate family of any natural person who is an affiliated person of the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person who knowingly has any direct or indirect beneficial interest in, or who is designated as trustee, executor, or guardian of any legal interest in, any security issued by the investment adviser or by a controlling person of the investment adviser if that beneficial or legal interest exceeds: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One-tenth of one percent of any class of outstanding securities of the investment adviser or a controlling person of the investment adviser;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Five percent of the total assets of the person seeking to act as the client’s independent agent;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person or partner or employee of any person who has acted as legal counsel for the investment adviser within the past two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191—50.47</w:t>
      </w:r>
      <w:r>
        <w:rPr>
          <w:rFonts w:ascii="Times New Roman" w:hAnsi="Times New Roman"/>
          <w:b/>
          <w:i w:val="false"/>
          <w:color w:val="000000"/>
          <w:sz w:val="22"/>
        </w:rPr>
        <w:t xml:space="preserve">(502) </w:t>
      </w:r>
      <w:r>
        <w:rPr>
          <w:rFonts w:ascii="Times New Roman" w:hAnsi="Times New Roman"/>
          <w:b/>
          <w:i w:val="false"/>
          <w:color w:val="000000"/>
          <w:sz w:val="22"/>
        </w:rPr>
        <w:t xml:space="preserve">Business continuity and succession planning for investment advisers.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50.47(1)</w:t>
      </w:r>
      <w:r>
        <w:rPr>
          <w:rFonts w:ascii="Times New Roman" w:hAnsi="Times New Roman"/>
          <w:b w:val="false"/>
          <w:i w:val="false"/>
          <w:color w:val="000000"/>
          <w:sz w:val="22"/>
        </w:rPr>
        <w:t> </w:t>
      </w:r>
      <w:r>
        <w:rPr>
          <w:rFonts w:ascii="Times New Roman" w:hAnsi="Times New Roman"/>
          <w:b w:val="false"/>
          <w:i w:val="false"/>
          <w:color w:val="000000"/>
          <w:sz w:val="22"/>
        </w:rPr>
        <w:t xml:space="preserve">On and after July 1, 2017, every investment adviser registered in Iowa shall make and maintain records, pursuant to Iowa Code section </w:t>
      </w:r>
      <w:hyperlink r:id="rId281">
        <w:r>
          <w:rPr>
            <w:rStyle w:val="Hyperlink"/>
            <w:rFonts w:ascii="Times New Roman" w:hAnsi="Times New Roman"/>
            <w:b w:val="false"/>
            <w:i w:val="false"/>
            <w:color w:val="000000"/>
            <w:sz w:val="22"/>
          </w:rPr>
          <w:t>502.411(3)</w:t>
        </w:r>
      </w:hyperlink>
      <w:r>
        <w:rPr>
          <w:rFonts w:ascii="Times New Roman" w:hAnsi="Times New Roman"/>
          <w:b w:val="false"/>
          <w:i/>
          <w:color w:val="000000"/>
          <w:sz w:val="22"/>
        </w:rPr>
        <w:t>“a,”</w:t>
      </w:r>
      <w:r>
        <w:rPr>
          <w:rFonts w:ascii="Times New Roman" w:hAnsi="Times New Roman"/>
          <w:b w:val="false"/>
          <w:i w:val="false"/>
          <w:color w:val="000000"/>
          <w:sz w:val="22"/>
        </w:rPr>
        <w:t xml:space="preserve"> of the establishment, implementation and maintenance of a written business continuity and succession plan. The business continuity and succession plan shall be created and implemented in a manner consistent with the NASAA Guidance on Business Continuity and Succession Planning for State-Registered Investment Advisers, which is available on the Iowa insurance division’s website, </w:t>
      </w:r>
      <w:hyperlink r:id="rId282">
        <w:r>
          <w:rPr>
            <w:rStyle w:val="Hyperlink"/>
            <w:rFonts w:ascii="Times New Roman" w:hAnsi="Times New Roman"/>
            <w:b w:val="false"/>
            <w:i w:val="false"/>
            <w:color w:val="000000"/>
            <w:sz w:val="22"/>
            <w:u w:val="single"/>
          </w:rPr>
          <w:t>iid.iowa.gov</w:t>
        </w:r>
      </w:hyperlink>
      <w:r>
        <w:rPr>
          <w:rFonts w:ascii="Times New Roman" w:hAnsi="Times New Roman"/>
          <w:b w:val="false"/>
          <w:i w:val="false"/>
          <w:color w:val="000000"/>
          <w:sz w:val="22"/>
        </w:rPr>
        <w:t>. In developing the procedures for the business continuity and succession plan, the investment adviser shall consider, among other things, the size of the firm, the types of services provided and the number of locations of the investment adviser. The business continuity and succession plan shall provide for, at a minimum,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protection, backup, and recovery of books and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Alternate means of communications with customers, key personnel, employees, vendors, service providers (including third-party custodians of securities) and regulators, that will allow the communication of certain events, including, but not limited to, providing notice of a significant business interruption or the death or unavailability of key personnel or other disruptions or cessation of business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Office relocation in the event of temporary or permanent loss of a principal place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Assignment of duties to qualified responsible persons in the event of the death or unavailability of key personnel;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means of minimizing service disruptions and client harm that could result from a sudden significant business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50.47(2)</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investment adviser registered in Iowa shall annually review the investment adviser’s written business continuity and succession plan and, if it has been changed since it was submitted, or if it was not previously submitted, shall file it for examination by the administrator, pursuant to Iowa Code section </w:t>
      </w:r>
      <w:hyperlink r:id="rId283">
        <w:r>
          <w:rPr>
            <w:rStyle w:val="Hyperlink"/>
            <w:rFonts w:ascii="Times New Roman" w:hAnsi="Times New Roman"/>
            <w:b w:val="false"/>
            <w:i w:val="false"/>
            <w:color w:val="000000"/>
            <w:sz w:val="22"/>
          </w:rPr>
          <w:t>502.411(4)</w:t>
        </w:r>
      </w:hyperlink>
      <w:r>
        <w:rPr>
          <w:rFonts w:ascii="Times New Roman" w:hAnsi="Times New Roman"/>
          <w:b w:val="false"/>
          <w:i w:val="false"/>
          <w:color w:val="000000"/>
          <w:sz w:val="22"/>
        </w:rPr>
        <w:t>. The administrator shall review an investment adviser’s written business continuity and succession plan to determine whether it is consistent with the NASAA Guidance on Business Continuity and Succession Planning for State-Registered Investment Advisers and whether it takes into account the considerations listed in subrule 50.47(1). The administrator may request the investment adviser to modify the filed business continuity and succession plan according to the administrator’s suggestions. After the initial filing, the investment adviser’s filing of any change shall identify any substantive amendment to the business continuity and succession plan with the registration renewal following the amendment. The administrator may request from the investment adviser at any time information regarding the business continuity and succession plan made since the last filing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50.47(3)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investment adviser registered in Iowa shall be deemed in compliance with this rule if the investment adviser can demonstrate compliance with SEC rules or other law related to the investment adviser’s adoption and implementation of a written business continuity and succession plan. </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84">
        <w:r>
          <w:rPr>
            <w:rStyle w:val="Hyperlink"/>
            <w:rFonts w:ascii="Times New Roman" w:hAnsi="Times New Roman"/>
            <w:b w:val="false"/>
            <w:i w:val="false"/>
            <w:color w:val="000000"/>
            <w:sz w:val="22"/>
          </w:rPr>
          <w:t>502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2872C</w:t>
      </w:r>
      <w:r>
        <w:rPr>
          <w:rFonts w:ascii="Times New Roman" w:hAnsi="Times New Roman"/>
          <w:b w:val="false"/>
          <w:i w:val="false"/>
          <w:color w:val="000000"/>
          <w:sz w:val="16"/>
        </w:rPr>
        <w:t>, IAB 12/21/16, effective 1/25/17</w:t>
      </w:r>
      <w:r>
        <w:rPr>
          <w:rFonts w:ascii="Times New Roman" w:hAnsi="Times New Roman"/>
          <w:b w:val="false"/>
          <w:i w:val="false"/>
          <w:color w:val="000000"/>
          <w:sz w:val="16"/>
        </w:rPr>
        <w:t xml:space="preserve">; </w:t>
      </w:r>
      <w:r>
        <w:rPr>
          <w:rFonts w:ascii="Times New Roman" w:hAnsi="Times New Roman"/>
          <w:b/>
          <w:i w:val="false"/>
          <w:color w:val="000000"/>
          <w:sz w:val="16"/>
        </w:rPr>
        <w:t>ARC 3741C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191—50.48</w:t>
      </w:r>
      <w:r>
        <w:rPr>
          <w:rFonts w:ascii="Times New Roman" w:hAnsi="Times New Roman"/>
          <w:b w:val="false"/>
          <w:i w:val="false"/>
          <w:color w:val="000000"/>
          <w:sz w:val="22"/>
        </w:rPr>
        <w:t xml:space="preserve"> and </w:t>
      </w:r>
      <w:r>
        <w:rPr>
          <w:rFonts w:ascii="Times New Roman" w:hAnsi="Times New Roman"/>
          <w:b/>
          <w:i w:val="false"/>
          <w:color w:val="000000"/>
          <w:sz w:val="22"/>
        </w:rPr>
        <w:t>50.49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RULES COVERING ALL REGISTERED PERSONS</w:t>
      </w:r>
    </w:p>
    <w:p>
      <w:pPr>
        <w:spacing w:before="0" w:after="0"/>
        <w:ind w:left="120"/>
        <w:jc w:val="both"/>
      </w:pPr>
      <w:r>
        <w:rPr>
          <w:rFonts w:ascii="Times New Roman" w:hAnsi="Times New Roman"/>
          <w:b/>
          <w:i w:val="false"/>
          <w:color w:val="000000"/>
          <w:sz w:val="22"/>
        </w:rPr>
        <w:t>191—50.50</w:t>
      </w:r>
      <w:r>
        <w:rPr>
          <w:rFonts w:ascii="Times New Roman" w:hAnsi="Times New Roman"/>
          <w:b/>
          <w:i w:val="false"/>
          <w:color w:val="000000"/>
          <w:sz w:val="22"/>
        </w:rPr>
        <w:t xml:space="preserve">(502) </w:t>
      </w:r>
      <w:r>
        <w:rPr>
          <w:rFonts w:ascii="Times New Roman" w:hAnsi="Times New Roman"/>
          <w:b/>
          <w:i w:val="false"/>
          <w:color w:val="000000"/>
          <w:sz w:val="22"/>
        </w:rPr>
        <w:t xml:space="preserve">Internet advertising by broker-dealers, investment advisers, broker-dealer agents, investment adviser representatives, and federal covered investment advisers.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50.50(1)</w:t>
      </w:r>
      <w:r>
        <w:rPr>
          <w:rFonts w:ascii="Times New Roman" w:hAnsi="Times New Roman"/>
          <w:b w:val="false"/>
          <w:i w:val="false"/>
          <w:color w:val="000000"/>
          <w:sz w:val="22"/>
        </w:rPr>
        <w:t> </w:t>
      </w:r>
      <w:r>
        <w:rPr>
          <w:rFonts w:ascii="Times New Roman" w:hAnsi="Times New Roman"/>
          <w:b w:val="false"/>
          <w:i w:val="false"/>
          <w:color w:val="000000"/>
          <w:sz w:val="22"/>
        </w:rPr>
        <w:t xml:space="preserve">Broker-dealers, investment advisers, broker-dealer agents, investment adviser representatives, and federal covered investment advisers who use the Internet, the World Wide Web, or similar proprietary or common carrier electronic systems (collectively described as the “Internet”) to disseminate information regarding products and services through communications directed generally to anyone having access to the Internet and transmitted through posting on bulletin boards, displays on home pages or similar methods (hereinafter “Internet communications”) will not be considered to be transacting business in Iowa pursuant to Iowa Code section </w:t>
      </w:r>
      <w:hyperlink r:id="rId285">
        <w:r>
          <w:rPr>
            <w:rStyle w:val="Hyperlink"/>
            <w:rFonts w:ascii="Times New Roman" w:hAnsi="Times New Roman"/>
            <w:b w:val="false"/>
            <w:i w:val="false"/>
            <w:color w:val="000000"/>
            <w:sz w:val="22"/>
          </w:rPr>
          <w:t>502.401</w:t>
        </w:r>
      </w:hyperlink>
      <w:r>
        <w:rPr>
          <w:rFonts w:ascii="Times New Roman" w:hAnsi="Times New Roman"/>
          <w:b w:val="false"/>
          <w:i w:val="false"/>
          <w:color w:val="000000"/>
          <w:sz w:val="22"/>
        </w:rPr>
        <w:t xml:space="preserve">, </w:t>
      </w:r>
      <w:hyperlink r:id="rId286">
        <w:r>
          <w:rPr>
            <w:rStyle w:val="Hyperlink"/>
            <w:rFonts w:ascii="Times New Roman" w:hAnsi="Times New Roman"/>
            <w:b w:val="false"/>
            <w:i w:val="false"/>
            <w:color w:val="000000"/>
            <w:sz w:val="22"/>
          </w:rPr>
          <w:t>502.402</w:t>
        </w:r>
      </w:hyperlink>
      <w:r>
        <w:rPr>
          <w:rFonts w:ascii="Times New Roman" w:hAnsi="Times New Roman"/>
          <w:b w:val="false"/>
          <w:i w:val="false"/>
          <w:color w:val="000000"/>
          <w:sz w:val="22"/>
        </w:rPr>
        <w:t xml:space="preserve">, </w:t>
      </w:r>
      <w:hyperlink r:id="rId287">
        <w:r>
          <w:rPr>
            <w:rStyle w:val="Hyperlink"/>
            <w:rFonts w:ascii="Times New Roman" w:hAnsi="Times New Roman"/>
            <w:b w:val="false"/>
            <w:i w:val="false"/>
            <w:color w:val="000000"/>
            <w:sz w:val="22"/>
          </w:rPr>
          <w:t>502.403</w:t>
        </w:r>
      </w:hyperlink>
      <w:r>
        <w:rPr>
          <w:rFonts w:ascii="Times New Roman" w:hAnsi="Times New Roman"/>
          <w:b w:val="false"/>
          <w:i w:val="false"/>
          <w:color w:val="000000"/>
          <w:sz w:val="22"/>
        </w:rPr>
        <w:t xml:space="preserve">, </w:t>
      </w:r>
      <w:hyperlink r:id="rId288">
        <w:r>
          <w:rPr>
            <w:rStyle w:val="Hyperlink"/>
            <w:rFonts w:ascii="Times New Roman" w:hAnsi="Times New Roman"/>
            <w:b w:val="false"/>
            <w:i w:val="false"/>
            <w:color w:val="000000"/>
            <w:sz w:val="22"/>
          </w:rPr>
          <w:t>502.404</w:t>
        </w:r>
      </w:hyperlink>
      <w:r>
        <w:rPr>
          <w:rFonts w:ascii="Times New Roman" w:hAnsi="Times New Roman"/>
          <w:b w:val="false"/>
          <w:i w:val="false"/>
          <w:color w:val="000000"/>
          <w:sz w:val="22"/>
        </w:rPr>
        <w:t xml:space="preserve">, or </w:t>
      </w:r>
      <w:hyperlink r:id="rId289">
        <w:r>
          <w:rPr>
            <w:rStyle w:val="Hyperlink"/>
            <w:rFonts w:ascii="Times New Roman" w:hAnsi="Times New Roman"/>
            <w:b w:val="false"/>
            <w:i w:val="false"/>
            <w:color w:val="000000"/>
            <w:sz w:val="22"/>
          </w:rPr>
          <w:t>502.405</w:t>
        </w:r>
      </w:hyperlink>
      <w:r>
        <w:rPr>
          <w:rFonts w:ascii="Times New Roman" w:hAnsi="Times New Roman"/>
          <w:b w:val="false"/>
          <w:i w:val="false"/>
          <w:color w:val="000000"/>
          <w:sz w:val="22"/>
        </w:rPr>
        <w:t xml:space="preserve"> based solely on that communication,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Internet communication contains a legend clearly stating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broker-dealer, investment adviser, broker-dealer agent, investment adviser representative, or federal covered investment adviser may only transact business in a state if first registered pursuant to or excluded or exempt from the state broker-dealer, investment adviser, broker-dealer agent, or investment adviser representative registration requirements, or federal covered investment adviser notice requirement;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broker-dealer, investment adviser, broker-dealer agent, investment adviser representative, or federal covered investment adviser will not effect or attempt to effect transactions in securities or render personalized investment advice for compensation absent compliance with applicable state broker-dealer, investment adviser, broker-dealer agent, or investment adviser representative registration requirements, or federal covered investment adviser notice requirement or applicable exemption or exclusion;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Internet communication contains a mechanism, including but not limited to technical firewalls or other policies and procedures, to ensure that, prior to effecting or attempting to effect transactions with customers in Iowa or prior to direct communication with prospective customers or clients in Iowa, the broker-dealer, investment adviser, broker-dealer agent, or investment adviser representative is first registered in Iowa or, in the case of a federal covered investment adviser, has made a notice filing, or qualifies for an exemption or exclusion from registration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Internet communication is limited to general information regarding products and services, and the broker-dealer, investment adviser, broker-dealer agent, investment adviser representative, or federal covered investment adviser does not effect or attempt to effect transactions in securities in Iowa or provide personalized investment advice for compensation;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case of a broker-dealer agent or investment adviser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agent’s broker-dealer, investment adviser, or federal covered investment adviser affiliation is prominently disclosed within the Internet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broker-dealer, investment adviser, or federal covered investment adviser with whom the agent or representative is affiliated reviews and approves the content of any Internet communication by the broker-dealer agent or investment adviser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broker-dealer, investment adviser, or federal covered investment adviser with whom the agent or representative is associated first authorizes the dissemination of information on the particular products and services through the Internet communication;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broker-dealer agent or investment adviser representative acts within the scope of the authority granted by the broker-dealer, investment adviser, or federal covered investment adviser in the dissemination of information through the Internet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50.50(2)</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excuse broker-dealer, investment adviser, broker-dealer agent, investment adviser representative, and federal covered investment adviser compliance with applicable securities registration, notice filing, antifraud or related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50.50(3)</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be construed to affect the activities of any broker-dealer, investment adviser, broker-dealer agent, investment adviser representative, or federal covered investment adviser engaged in business in Iowa that is not subject to the jurisdiction of the administrator as a result of NSMIA.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0">
        <w:r>
          <w:rPr>
            <w:rStyle w:val="Hyperlink"/>
            <w:rFonts w:ascii="Times New Roman" w:hAnsi="Times New Roman"/>
            <w:b w:val="false"/>
            <w:i w:val="false"/>
            <w:color w:val="000000"/>
            <w:sz w:val="22"/>
          </w:rPr>
          <w:t>502.401 to 502.405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191—50.51</w:t>
      </w:r>
      <w:r>
        <w:rPr>
          <w:rFonts w:ascii="Times New Roman" w:hAnsi="Times New Roman"/>
          <w:b/>
          <w:i w:val="false"/>
          <w:color w:val="000000"/>
          <w:sz w:val="22"/>
        </w:rPr>
        <w:t xml:space="preserve">(502) </w:t>
      </w:r>
      <w:r>
        <w:rPr>
          <w:rFonts w:ascii="Times New Roman" w:hAnsi="Times New Roman"/>
          <w:b/>
          <w:i w:val="false"/>
          <w:color w:val="000000"/>
          <w:sz w:val="22"/>
        </w:rPr>
        <w:t xml:space="preserve">Consent to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50.51(1)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consent appointing the administrator or successor to be an attorney to receive service of any lawful process as required by Iowa Code section </w:t>
      </w:r>
      <w:hyperlink r:id="rId291">
        <w:r>
          <w:rPr>
            <w:rStyle w:val="Hyperlink"/>
            <w:rFonts w:ascii="Times New Roman" w:hAnsi="Times New Roman"/>
            <w:b w:val="false"/>
            <w:i w:val="false"/>
            <w:color w:val="000000"/>
            <w:sz w:val="22"/>
          </w:rPr>
          <w:t>502.611</w:t>
        </w:r>
      </w:hyperlink>
      <w:r>
        <w:rPr>
          <w:rFonts w:ascii="Times New Roman" w:hAnsi="Times New Roman"/>
          <w:b w:val="false"/>
          <w:i w:val="false"/>
          <w:color w:val="000000"/>
          <w:sz w:val="22"/>
        </w:rPr>
        <w:t xml:space="preserve"> shall be properly notarized and shall contain,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the consent is irrevocable;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the consent is valid as to any noncriminal suit, action or proceeding against the applicant or the successor, executor or administrator of the applicant which arises out of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that the applicant stipulates and agrees that service upon the administrator shall have the same validity as if served personally upon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50.51(2)</w:t>
      </w:r>
      <w:r>
        <w:rPr>
          <w:rFonts w:ascii="Times New Roman" w:hAnsi="Times New Roman"/>
          <w:b w:val="false"/>
          <w:i w:val="false"/>
          <w:color w:val="000000"/>
          <w:sz w:val="22"/>
        </w:rPr>
        <w:t> </w:t>
      </w:r>
      <w:r>
        <w:rPr>
          <w:rFonts w:ascii="Times New Roman" w:hAnsi="Times New Roman"/>
          <w:b w:val="false"/>
          <w:i w:val="false"/>
          <w:color w:val="000000"/>
          <w:sz w:val="22"/>
        </w:rPr>
        <w:t xml:space="preserve">A form of consent to service of process provided by the administrator, a Form U-2, or a consent to service of process contained in any other form authorized or required to be filed by these rules shall satisfy subrule </w:t>
      </w:r>
      <w:hyperlink r:id="rId292">
        <w:r>
          <w:rPr>
            <w:rStyle w:val="Hyperlink"/>
            <w:rFonts w:ascii="Times New Roman" w:hAnsi="Times New Roman"/>
            <w:b w:val="false"/>
            <w:i w:val="false"/>
            <w:color w:val="000000"/>
            <w:sz w:val="22"/>
          </w:rPr>
          <w:t>50.51(1)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50.51(3)</w:t>
      </w:r>
      <w:r>
        <w:rPr>
          <w:rFonts w:ascii="Times New Roman" w:hAnsi="Times New Roman"/>
          <w:b w:val="false"/>
          <w:i w:val="false"/>
          <w:color w:val="000000"/>
          <w:sz w:val="22"/>
        </w:rPr>
        <w:t> </w:t>
      </w:r>
      <w:r>
        <w:rPr>
          <w:rFonts w:ascii="Times New Roman" w:hAnsi="Times New Roman"/>
          <w:b w:val="false"/>
          <w:i w:val="false"/>
          <w:color w:val="000000"/>
          <w:sz w:val="22"/>
        </w:rPr>
        <w:t xml:space="preserve">A broker-dealer, investment adviser, agent, investment adviser representative, federal covered investment adviser, or issuer may incorporate by reference any consent to service of process required to be filed pursuant to Iowa Code sections </w:t>
      </w:r>
      <w:hyperlink r:id="rId293">
        <w:r>
          <w:rPr>
            <w:rStyle w:val="Hyperlink"/>
            <w:rFonts w:ascii="Times New Roman" w:hAnsi="Times New Roman"/>
            <w:b w:val="false"/>
            <w:i w:val="false"/>
            <w:color w:val="000000"/>
            <w:sz w:val="22"/>
          </w:rPr>
          <w:t>502.302(1)</w:t>
        </w:r>
        <w:r>
          <w:rPr>
            <w:rFonts w:ascii="Times New Roman" w:hAnsi="Times New Roman"/>
            <w:b w:val="false"/>
            <w:i/>
            <w:color w:val="000000"/>
            <w:sz w:val="22"/>
          </w:rPr>
          <w:t>“a,”</w:t>
        </w:r>
      </w:hyperlink>
      <w:hyperlink r:id="rId294">
        <w:r>
          <w:rPr>
            <w:rStyle w:val="Hyperlink"/>
            <w:rFonts w:ascii="Times New Roman" w:hAnsi="Times New Roman"/>
            <w:b w:val="false"/>
            <w:i w:val="false"/>
            <w:color w:val="000000"/>
            <w:sz w:val="22"/>
          </w:rPr>
          <w:t>502.302(3)</w:t>
        </w:r>
      </w:hyperlink>
      <w:r>
        <w:rPr>
          <w:rFonts w:ascii="Times New Roman" w:hAnsi="Times New Roman"/>
          <w:b w:val="false"/>
          <w:i w:val="false"/>
          <w:color w:val="000000"/>
          <w:sz w:val="22"/>
        </w:rPr>
        <w:t xml:space="preserve">, </w:t>
      </w:r>
      <w:hyperlink r:id="rId295">
        <w:r>
          <w:rPr>
            <w:rStyle w:val="Hyperlink"/>
            <w:rFonts w:ascii="Times New Roman" w:hAnsi="Times New Roman"/>
            <w:b w:val="false"/>
            <w:i w:val="false"/>
            <w:color w:val="000000"/>
            <w:sz w:val="22"/>
          </w:rPr>
          <w:t>502.303(2)</w:t>
        </w:r>
      </w:hyperlink>
      <w:r>
        <w:rPr>
          <w:rFonts w:ascii="Times New Roman" w:hAnsi="Times New Roman"/>
          <w:b w:val="false"/>
          <w:i w:val="false"/>
          <w:color w:val="000000"/>
          <w:sz w:val="22"/>
        </w:rPr>
        <w:t xml:space="preserve">, </w:t>
      </w:r>
      <w:hyperlink r:id="rId296">
        <w:r>
          <w:rPr>
            <w:rStyle w:val="Hyperlink"/>
            <w:rFonts w:ascii="Times New Roman" w:hAnsi="Times New Roman"/>
            <w:b w:val="false"/>
            <w:i w:val="false"/>
            <w:color w:val="000000"/>
            <w:sz w:val="22"/>
          </w:rPr>
          <w:t>502.304(2)</w:t>
        </w:r>
      </w:hyperlink>
      <w:r>
        <w:rPr>
          <w:rFonts w:ascii="Times New Roman" w:hAnsi="Times New Roman"/>
          <w:b w:val="false"/>
          <w:i w:val="false"/>
          <w:color w:val="000000"/>
          <w:sz w:val="22"/>
        </w:rPr>
        <w:t xml:space="preserve">, </w:t>
      </w:r>
      <w:hyperlink r:id="rId297">
        <w:r>
          <w:rPr>
            <w:rStyle w:val="Hyperlink"/>
            <w:rFonts w:ascii="Times New Roman" w:hAnsi="Times New Roman"/>
            <w:b w:val="false"/>
            <w:i w:val="false"/>
            <w:color w:val="000000"/>
            <w:sz w:val="22"/>
          </w:rPr>
          <w:t>502.406(1)</w:t>
        </w:r>
      </w:hyperlink>
      <w:r>
        <w:rPr>
          <w:rFonts w:ascii="Times New Roman" w:hAnsi="Times New Roman"/>
          <w:b w:val="false"/>
          <w:i w:val="false"/>
          <w:color w:val="000000"/>
          <w:sz w:val="22"/>
        </w:rPr>
        <w:t xml:space="preserve"> and </w:t>
      </w:r>
      <w:hyperlink r:id="rId298">
        <w:r>
          <w:rPr>
            <w:rStyle w:val="Hyperlink"/>
            <w:rFonts w:ascii="Times New Roman" w:hAnsi="Times New Roman"/>
            <w:b w:val="false"/>
            <w:i w:val="false"/>
            <w:color w:val="000000"/>
            <w:sz w:val="22"/>
          </w:rPr>
          <w:t>502.611</w:t>
        </w:r>
      </w:hyperlink>
      <w:r>
        <w:rPr>
          <w:rFonts w:ascii="Times New Roman" w:hAnsi="Times New Roman"/>
          <w:b w:val="false"/>
          <w:i w:val="false"/>
          <w:color w:val="000000"/>
          <w:sz w:val="22"/>
        </w:rPr>
        <w:t>, or the administrative rules implementing these sections.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9">
        <w:r>
          <w:rPr>
            <w:rStyle w:val="Hyperlink"/>
            <w:rFonts w:ascii="Times New Roman" w:hAnsi="Times New Roman"/>
            <w:b w:val="false"/>
            <w:i w:val="false"/>
            <w:color w:val="000000"/>
            <w:sz w:val="22"/>
          </w:rPr>
          <w:t>502.611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191—50.52</w:t>
      </w:r>
      <w:r>
        <w:rPr>
          <w:rFonts w:ascii="Times New Roman" w:hAnsi="Times New Roman"/>
          <w:b/>
          <w:i w:val="false"/>
          <w:color w:val="000000"/>
          <w:sz w:val="22"/>
        </w:rPr>
        <w:t xml:space="preserve">(252J) </w:t>
      </w:r>
      <w:r>
        <w:rPr>
          <w:rFonts w:ascii="Times New Roman" w:hAnsi="Times New Roman"/>
          <w:b/>
          <w:i w:val="false"/>
          <w:color w:val="000000"/>
          <w:sz w:val="22"/>
        </w:rPr>
        <w:t xml:space="preserve">Denial, suspension or revocation of agent or investment adviser representative registration for failure to pay child support.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50.52(1)</w:t>
      </w:r>
      <w:r>
        <w:rPr>
          <w:rFonts w:ascii="Times New Roman" w:hAnsi="Times New Roman"/>
          <w:b w:val="false"/>
          <w:i w:val="false"/>
          <w:color w:val="000000"/>
          <w:sz w:val="22"/>
        </w:rPr>
        <w:t> </w:t>
      </w:r>
      <w:r>
        <w:rPr>
          <w:rFonts w:ascii="Times New Roman" w:hAnsi="Times New Roman"/>
          <w:b w:val="false"/>
          <w:i w:val="false"/>
          <w:color w:val="000000"/>
          <w:sz w:val="22"/>
        </w:rPr>
        <w:t>Upon receipt of a certificate of noncompliance from the CSRU for default on debts owed to or collected by the CSRU, the administrator shall issue a notice to a securities agent or investment adviser representative applicant or registrant that any pending application for registration will be denied or any current registration will be suspended or revoked 30 days after the date of the notice. The notice shall be served by restricted certified mail, return receipt requested, or by personal service as provided by the Iowa Rules of Civil Procedure, unless the applicant or registrant accepts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50.52(2)</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provide the applicant or registrant with a copy of the certificate of noncompliance and shall provide a notice advising the applicant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administrator intends to deny an application or to suspend or revoke a registration due to receipt of a certificate of noncompliance from the CSRU;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or registrant must contact the CSRU to schedule a conference or to otherwise obtain a withdrawal of a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Unless the CSRU furnishes a withdrawal of a certificate of noncompliance to the administrator within 30 days of issuance of the notice, the application shall be denied or the registration shall be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or registrant does not have a right to a hearing before the administrator, but may, pursuant to Iowa Code section </w:t>
      </w:r>
      <w:hyperlink r:id="rId300">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request a court hearing within 30 days of provision of notice by the administrator;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filing of an application for hearing with the district court will stay the proceedings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filing of an application for hearing with the district court under Iowa Code section </w:t>
      </w:r>
      <w:hyperlink r:id="rId301">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automatically stays action of the administrator until the administrator is notified of the resolution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administrator does not receive a withdrawal of the certificate of noncompliance from the CSRU or a notice that an application for district court hearing has been filed, the administrator shall deny, suspend or revoke the application or registration 30 days after the notice prescribed in subrule </w:t>
      </w:r>
      <w:hyperlink r:id="rId302">
        <w:r>
          <w:rPr>
            <w:rStyle w:val="Hyperlink"/>
            <w:rFonts w:ascii="Times New Roman" w:hAnsi="Times New Roman"/>
            <w:b w:val="false"/>
            <w:i w:val="false"/>
            <w:color w:val="000000"/>
            <w:sz w:val="22"/>
          </w:rPr>
          <w:t>50.52(2)</w:t>
        </w:r>
      </w:hyperlink>
      <w:r>
        <w:rPr>
          <w:rFonts w:ascii="Times New Roman" w:hAnsi="Times New Roman"/>
          <w:b w:val="false"/>
          <w:i w:val="false"/>
          <w:color w:val="000000"/>
          <w:sz w:val="22"/>
        </w:rPr>
        <w:t xml:space="preserv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50.52(5)</w:t>
      </w:r>
      <w:r>
        <w:rPr>
          <w:rFonts w:ascii="Times New Roman" w:hAnsi="Times New Roman"/>
          <w:b w:val="false"/>
          <w:i w:val="false"/>
          <w:color w:val="000000"/>
          <w:sz w:val="22"/>
        </w:rPr>
        <w:t> </w:t>
      </w:r>
      <w:r>
        <w:rPr>
          <w:rFonts w:ascii="Times New Roman" w:hAnsi="Times New Roman"/>
          <w:b w:val="false"/>
          <w:i w:val="false"/>
          <w:color w:val="000000"/>
          <w:sz w:val="22"/>
        </w:rPr>
        <w:t>Upon receiving a withdrawal of the certificate of noncompliance from the CSRU, the administrator shall immediately halt action to deny an application or suspend or revoke a registration. The applicant or registrant shall be notified that action has been halted. If the application has already been denied or if a registration has already been suspended or revoked, the applicant or former registrant shall reapply for registration. The application shall be granted if the individual is otherwise in compliance with applicable laws, rules, regulations and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50.52(6)</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application fees must be paid by the applicant before a registration will be issued after the administrator has denied, suspended, or revoked a registration pursuant to Iowa Code chapter </w:t>
      </w:r>
      <w:hyperlink r:id="rId303">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50.52(7)</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statutory confidentiality provision, the administrator may share information with the CSRU for the sole purpose of identifying applicants or registrants subject to enforcement pursuant to Iowa Code chapter </w:t>
      </w:r>
      <w:hyperlink r:id="rId30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0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2872C</w:t>
      </w:r>
      <w:r>
        <w:rPr>
          <w:rFonts w:ascii="Times New Roman" w:hAnsi="Times New Roman"/>
          <w:b w:val="false"/>
          <w:i w:val="false"/>
          <w:color w:val="000000"/>
          <w:sz w:val="16"/>
        </w:rPr>
        <w:t>, IAB 12/21/16, effective 1/25/17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191—50.53</w:t>
      </w:r>
      <w:r>
        <w:rPr>
          <w:rFonts w:ascii="Times New Roman" w:hAnsi="Times New Roman"/>
          <w:b/>
          <w:i w:val="false"/>
          <w:color w:val="000000"/>
          <w:sz w:val="22"/>
        </w:rPr>
        <w:t xml:space="preserve">(261) </w:t>
      </w:r>
      <w:r>
        <w:rPr>
          <w:rFonts w:ascii="Times New Roman" w:hAnsi="Times New Roman"/>
          <w:b/>
          <w:i w:val="false"/>
          <w:color w:val="000000"/>
          <w:sz w:val="22"/>
        </w:rPr>
        <w:t xml:space="preserve">Denial, suspension or revocation of agent or investment adviser representative registration for failure to pay debts owed to or collected by the college student aid commission.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4848C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1/1/20</w:t>
      </w:r>
      <w:r>
        <w:rPr>
          <w:rFonts w:ascii="Times New Roman" w:hAnsi="Times New Roman"/>
          <w:b w:val="false"/>
          <w:i w:val="false"/>
          <w:color w:val="000000"/>
          <w:sz w:val="22"/>
        </w:rPr>
        <w:t xml:space="preserve">, effective 2/5/20. </w:t>
      </w:r>
    </w:p>
    <w:p>
      <w:pPr>
        <w:spacing w:before="0" w:after="0"/>
        <w:ind w:left="120"/>
        <w:jc w:val="both"/>
      </w:pPr>
      <w:r>
        <w:rPr>
          <w:rFonts w:ascii="Times New Roman" w:hAnsi="Times New Roman"/>
          <w:b/>
          <w:i w:val="false"/>
          <w:color w:val="000000"/>
          <w:sz w:val="22"/>
        </w:rPr>
        <w:t>191—50.54</w:t>
      </w:r>
      <w:r>
        <w:rPr>
          <w:rFonts w:ascii="Times New Roman" w:hAnsi="Times New Roman"/>
          <w:b/>
          <w:i w:val="false"/>
          <w:color w:val="000000"/>
          <w:sz w:val="22"/>
        </w:rPr>
        <w:t xml:space="preserve">(272D) </w:t>
      </w:r>
      <w:r>
        <w:rPr>
          <w:rFonts w:ascii="Times New Roman" w:hAnsi="Times New Roman"/>
          <w:b/>
          <w:i w:val="false"/>
          <w:color w:val="000000"/>
          <w:sz w:val="22"/>
        </w:rPr>
        <w:t xml:space="preserve">Denial, suspension or revocation of agent or investment adviser representative registration for failure to pay state debt.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w:t>
      </w:r>
      <w:r>
        <w:rPr>
          <w:rFonts w:ascii="Times New Roman" w:hAnsi="Times New Roman"/>
          <w:b w:val="false"/>
          <w:i w:val="false"/>
          <w:color w:val="000000"/>
          <w:sz w:val="22"/>
        </w:rPr>
        <w:t> </w:t>
      </w:r>
      <w:r>
        <w:rPr>
          <w:rFonts w:ascii="Times New Roman" w:hAnsi="Times New Roman"/>
          <w:b w:val="false"/>
          <w:i w:val="false"/>
          <w:color w:val="000000"/>
          <w:sz w:val="22"/>
        </w:rPr>
        <w:t>Upon receipt of a certificate of noncompliance from the centralized collection unit of the department of revenue (CCU), the administrator shall issue a notice to a securities agent or investment adviser representative applicant or registrant that any pending application for registration will be denied or any current registration will be suspended or revoked 60 days after the date of the notice. The notice shall be served by restricted certified mail, return receipt requested, or by personal service as provided by the Iowa Rules of Civil Procedure, unless the applicant or registrant accepts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50.54(2)</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provide the applicant or registrant with a copy of the certificate of noncompliance and shall provide a notice advising the applicant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administrator intends to deny an application or to suspend or revoke a registration due to receipt of a certificate of noncompliance from the CCU;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or registrant must contact the CCU to schedule a conference or to otherwise obtain a withdrawal of a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Unless the CCU furnishes a withdrawal of a certificate of noncompliance to the administrator within 60 days of issuance of the notice, the application shall be denied or the registration shall be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or registrant does not have a right to a hearing before the administrator, but may file an application for hearing in district court pursuant to Iowa Code section </w:t>
      </w:r>
      <w:hyperlink r:id="rId306">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filing of an application for hearing with the district court will stay the proceedings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filing of an application for hearing with the district court under Iowa Code section </w:t>
      </w:r>
      <w:hyperlink r:id="rId307">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xml:space="preserve"> automatically stays action of the administrator until the administrator is notified of the resolution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administrator does not receive a withdrawal of the certificate of noncompliance from the CCU or a notice that an application for district court hearing has been filed, the administrator shall deny, suspend or revoke the application or registration 60 days after the notice prescribed in subrule </w:t>
      </w:r>
      <w:hyperlink r:id="rId308">
        <w:r>
          <w:rPr>
            <w:rStyle w:val="Hyperlink"/>
            <w:rFonts w:ascii="Times New Roman" w:hAnsi="Times New Roman"/>
            <w:b w:val="false"/>
            <w:i w:val="false"/>
            <w:color w:val="000000"/>
            <w:sz w:val="22"/>
          </w:rPr>
          <w:t>50.54(2)</w:t>
        </w:r>
      </w:hyperlink>
      <w:r>
        <w:rPr>
          <w:rFonts w:ascii="Times New Roman" w:hAnsi="Times New Roman"/>
          <w:b w:val="false"/>
          <w:i w:val="false"/>
          <w:color w:val="000000"/>
          <w:sz w:val="22"/>
        </w:rPr>
        <w:t xml:space="preserv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50.54(5)</w:t>
      </w:r>
      <w:r>
        <w:rPr>
          <w:rFonts w:ascii="Times New Roman" w:hAnsi="Times New Roman"/>
          <w:b w:val="false"/>
          <w:i w:val="false"/>
          <w:color w:val="000000"/>
          <w:sz w:val="22"/>
        </w:rPr>
        <w:t> </w:t>
      </w:r>
      <w:r>
        <w:rPr>
          <w:rFonts w:ascii="Times New Roman" w:hAnsi="Times New Roman"/>
          <w:b w:val="false"/>
          <w:i w:val="false"/>
          <w:color w:val="000000"/>
          <w:sz w:val="22"/>
        </w:rPr>
        <w:t>Upon receiving a withdrawal of the certificate of noncompliance from the CCU, the administrator shall immediately halt action to deny an application or suspend or revoke a registration. The applicant or registrant shall be notified that action has been halted. If the application has already been denied or if a registration has already been suspended or revoked, the applicant or former registrant shall reapply for registration. The application shall be granted if the individual is otherwise in compliance with applicable laws, rules, regulations and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50.54(6)</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application fees must be paid by the applicant before a registration will be issued after the administrator has denied, suspended, or revoked a registration pursuant to Iowa Code chapter </w:t>
      </w:r>
      <w:hyperlink r:id="rId309">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50.54(7)</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statutory confidentiality provision, the administrator may share information with the CCU for the sole purpose of identifying applicants or registrants subject to enforcement pursuant to Iowa Code chapter </w:t>
      </w:r>
      <w:hyperlink r:id="rId310">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1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2872C</w:t>
      </w:r>
      <w:r>
        <w:rPr>
          <w:rFonts w:ascii="Times New Roman" w:hAnsi="Times New Roman"/>
          <w:b w:val="false"/>
          <w:i w:val="false"/>
          <w:color w:val="000000"/>
          <w:sz w:val="16"/>
        </w:rPr>
        <w:t>, IAB 12/21/16, effective 1/25/17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191—50.55</w:t>
      </w:r>
      <w:r>
        <w:rPr>
          <w:rFonts w:ascii="Times New Roman" w:hAnsi="Times New Roman"/>
          <w:b/>
          <w:i w:val="false"/>
          <w:color w:val="000000"/>
          <w:sz w:val="22"/>
        </w:rPr>
        <w:t xml:space="preserve">(502) </w:t>
      </w:r>
      <w:r>
        <w:rPr>
          <w:rFonts w:ascii="Times New Roman" w:hAnsi="Times New Roman"/>
          <w:b/>
          <w:i w:val="false"/>
          <w:color w:val="000000"/>
          <w:sz w:val="22"/>
        </w:rPr>
        <w:t xml:space="preserve">Use of senior-specific certifications and professional designations.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use of a senior-specific certification or designation by any person in connection with the offer, sale, or purchase of securities or the provision of advice as to the value of or the advisability of investing in, purchasing, or selling securities, either directly or indirectly or through publications or writings, or by issuing or promulgating analyses or reports relating to securities, that indicate or imply that the user has special certification or training in advising or servicing senior citizens or retirees in such a way as to mislead any person shall be a dishonest and unethical practice in the securities, commodities, investment, franchise, banking, finance, or insurance business within the meaning of Iowa Code section </w:t>
      </w:r>
      <w:hyperlink r:id="rId312">
        <w:r>
          <w:rPr>
            <w:rStyle w:val="Hyperlink"/>
            <w:rFonts w:ascii="Times New Roman" w:hAnsi="Times New Roman"/>
            <w:b w:val="false"/>
            <w:i w:val="false"/>
            <w:color w:val="000000"/>
            <w:sz w:val="22"/>
          </w:rPr>
          <w:t>502.412(4)</w:t>
        </w:r>
      </w:hyperlink>
      <w:r>
        <w:rPr>
          <w:rFonts w:ascii="Times New Roman" w:hAnsi="Times New Roman"/>
          <w:b w:val="false"/>
          <w:i/>
          <w:color w:val="000000"/>
          <w:sz w:val="22"/>
        </w:rPr>
        <w:t>“m.”</w:t>
      </w:r>
      <w:r>
        <w:rPr>
          <w:rFonts w:ascii="Times New Roman" w:hAnsi="Times New Roman"/>
          <w:b w:val="false"/>
          <w:i w:val="false"/>
          <w:color w:val="000000"/>
          <w:sz w:val="22"/>
        </w:rPr>
        <w:t xml:space="preserve"> The prohibited use of such certifications or professional designation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of a certification or professional designation by a person who has not actually earned or is otherwise ineligible to use such certification or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a nonexistent or self-conferred certification or professional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of a certification or professional designation that indicates or implies a level of occupational qualifications obtained through education, training, or experience that the person using the certification or professional designation does not have;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Use of a certification or professional designation that was obtained from a designating or certifying organization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primarily engaged in the business of instruction in sales or marketing;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have reasonable standards or procedures for ensuring the competency of its designees or certificants;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Does not have reasonable standards or procedures for monitoring and disciplining its designees or certificants for improper or unethical conduct;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Does not have reasonable continuing education requirements for its designees or certificants in order to maintain the designation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50.55(2)</w:t>
      </w:r>
      <w:r>
        <w:rPr>
          <w:rFonts w:ascii="Times New Roman" w:hAnsi="Times New Roman"/>
          <w:b w:val="false"/>
          <w:i w:val="false"/>
          <w:color w:val="000000"/>
          <w:sz w:val="22"/>
        </w:rPr>
        <w:t> </w:t>
      </w:r>
      <w:r>
        <w:rPr>
          <w:rFonts w:ascii="Times New Roman" w:hAnsi="Times New Roman"/>
          <w:b w:val="false"/>
          <w:i w:val="false"/>
          <w:color w:val="000000"/>
          <w:sz w:val="22"/>
        </w:rPr>
        <w:t>There is a rebuttable presumption that a designating or certifying organization is not disqualified solely for purposes of 50.55(1)</w:t>
      </w:r>
      <w:r>
        <w:rPr>
          <w:rFonts w:ascii="Times New Roman" w:hAnsi="Times New Roman"/>
          <w:b w:val="false"/>
          <w:i/>
          <w:color w:val="000000"/>
          <w:sz w:val="22"/>
        </w:rPr>
        <w:t>“d”</w:t>
      </w:r>
      <w:r>
        <w:rPr>
          <w:rFonts w:ascii="Times New Roman" w:hAnsi="Times New Roman"/>
          <w:b w:val="false"/>
          <w:i w:val="false"/>
          <w:color w:val="000000"/>
          <w:sz w:val="22"/>
        </w:rPr>
        <w:t xml:space="preserve"> when the organization has been accredited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American National Standards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National Commission for Certifying Agencies;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organization that is on the United States Department of Education’s list entitled “Accrediting Agencies Recognized for Title IV Purposes” and the designation or credential issued therefrom does not primarily apply to sales or marketing.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50.55(3)</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a combination of words or an acronym standing for a combination of words constitutes a certification or professional designation indicating or implying that a person has special certification or training in advising or servicing senior citizens or retirees, the administrator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of one or more words such as “senior,” “retirement,” “elder,” or similar words combined with one or more words such as “certified,” “registered,” “chartered,” “adviser,” “specialist,” “consultant,” “planner,” or similar words in the name of the certification or professional designation;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manner in which those words are combined.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50.55(4)</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a certification or professional designation does not include a job title within an organization that is licensed or registered by a state or federal financial services regulatory agency, when that job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Indicates seniority or standing within the organization;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Specifies an individual’s area of specialization within the organization.</w:t>
      </w:r>
    </w:p>
    <w:p>
      <w:pPr>
        <w:spacing w:before="0" w:after="0"/>
        <w:ind w:left="120"/>
        <w:jc w:val="both"/>
      </w:pPr>
      <w:r>
        <w:rPr>
          <w:rFonts w:ascii="Times New Roman" w:hAnsi="Times New Roman"/>
          <w:b w:val="false"/>
          <w:i w:val="false"/>
          <w:color w:val="000000"/>
          <w:sz w:val="22"/>
        </w:rPr>
        <w:t>For purposes of this subrule, financial services regulatory agency includes, but is not limited to, an agency that regulates broker-dealers, investment advisers, or investment companies as defined under the Investment Company Act of 1940.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50.55(5)</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limit the administrator’s authority to enforce existing provisions of law.</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3">
        <w:r>
          <w:rPr>
            <w:rStyle w:val="Hyperlink"/>
            <w:rFonts w:ascii="Times New Roman" w:hAnsi="Times New Roman"/>
            <w:b w:val="false"/>
            <w:i w:val="false"/>
            <w:color w:val="000000"/>
            <w:sz w:val="22"/>
          </w:rPr>
          <w:t>502.605(1)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191—50.56</w:t>
      </w:r>
      <w:r>
        <w:rPr>
          <w:rFonts w:ascii="Times New Roman" w:hAnsi="Times New Roman"/>
          <w:b w:val="false"/>
          <w:i w:val="false"/>
          <w:color w:val="000000"/>
          <w:sz w:val="22"/>
        </w:rPr>
        <w:t xml:space="preserve"> to </w:t>
      </w:r>
      <w:r>
        <w:rPr>
          <w:rFonts w:ascii="Times New Roman" w:hAnsi="Times New Roman"/>
          <w:b/>
          <w:i w:val="false"/>
          <w:color w:val="000000"/>
          <w:sz w:val="22"/>
        </w:rPr>
        <w:t>50.59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REGISTRATION OF SECURITIES</w:t>
      </w:r>
    </w:p>
    <w:p>
      <w:pPr>
        <w:spacing w:before="0" w:after="0"/>
        <w:ind w:left="120"/>
        <w:jc w:val="both"/>
      </w:pPr>
      <w:r>
        <w:rPr>
          <w:rFonts w:ascii="Times New Roman" w:hAnsi="Times New Roman"/>
          <w:b/>
          <w:i w:val="false"/>
          <w:color w:val="000000"/>
          <w:sz w:val="22"/>
        </w:rPr>
        <w:t>191—50.60</w:t>
      </w:r>
      <w:r>
        <w:rPr>
          <w:rFonts w:ascii="Times New Roman" w:hAnsi="Times New Roman"/>
          <w:b/>
          <w:i w:val="false"/>
          <w:color w:val="000000"/>
          <w:sz w:val="22"/>
        </w:rPr>
        <w:t xml:space="preserve">(502) </w:t>
      </w:r>
      <w:r>
        <w:rPr>
          <w:rFonts w:ascii="Times New Roman" w:hAnsi="Times New Roman"/>
          <w:b/>
          <w:i w:val="false"/>
          <w:color w:val="000000"/>
          <w:sz w:val="22"/>
        </w:rPr>
        <w:t xml:space="preserve">Notice filings for investment company securities offerings.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50.60(1)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314">
        <w:r>
          <w:rPr>
            <w:rStyle w:val="Hyperlink"/>
            <w:rFonts w:ascii="Times New Roman" w:hAnsi="Times New Roman"/>
            <w:b w:val="false"/>
            <w:i w:val="false"/>
            <w:color w:val="000000"/>
            <w:sz w:val="22"/>
          </w:rPr>
          <w:t>50.60(5)</w:t>
        </w:r>
      </w:hyperlink>
      <w:r>
        <w:rPr>
          <w:rFonts w:ascii="Times New Roman" w:hAnsi="Times New Roman"/>
          <w:b w:val="false"/>
          <w:i w:val="false"/>
          <w:color w:val="000000"/>
          <w:sz w:val="22"/>
        </w:rPr>
        <w:t>, no investment company that is registered under the Investment Company Act of 1940 or that has a currently filed registration statement under the Securities Act of 1933 is required to file with the administrator, either prior to the initial offer or after the initial offer in Iowa of a security which is a covered security under Section 18(b)(2) of the Securities Act of 1933, a copy of any document which is part of a federal registration statement filed with the SEC or is part of an amendment to such federal registration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50.60(2)</w:t>
      </w:r>
      <w:r>
        <w:rPr>
          <w:rFonts w:ascii="Times New Roman" w:hAnsi="Times New Roman"/>
          <w:b w:val="false"/>
          <w:i w:val="false"/>
          <w:color w:val="000000"/>
          <w:sz w:val="22"/>
        </w:rPr>
        <w:t> </w:t>
      </w:r>
      <w:r>
        <w:rPr>
          <w:rFonts w:ascii="Times New Roman" w:hAnsi="Times New Roman"/>
          <w:b w:val="false"/>
          <w:i w:val="false"/>
          <w:color w:val="000000"/>
          <w:sz w:val="22"/>
        </w:rPr>
        <w:t>Prior to the initial offer of a federal covered security in Iowa, an investment company that is registered under the Investment Company Act of 1940 or that has filed a registration statement under the Securities Act of 1933 shall file with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notice of filing on Form NF;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filing fee;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consent to service of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50.60(3)</w:t>
      </w:r>
      <w:r>
        <w:rPr>
          <w:rFonts w:ascii="Times New Roman" w:hAnsi="Times New Roman"/>
          <w:b w:val="false"/>
          <w:i w:val="false"/>
          <w:color w:val="000000"/>
          <w:sz w:val="22"/>
        </w:rPr>
        <w:t> </w:t>
      </w:r>
      <w:r>
        <w:rPr>
          <w:rFonts w:ascii="Times New Roman" w:hAnsi="Times New Roman"/>
          <w:b w:val="false"/>
          <w:i w:val="false"/>
          <w:color w:val="000000"/>
          <w:sz w:val="22"/>
        </w:rPr>
        <w:t>A notice of filing may be renewed prior to expiration by filing the following with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notice of filing on Form NF;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the applicable fee under Iowa Code section </w:t>
      </w:r>
      <w:hyperlink r:id="rId315">
        <w:r>
          <w:rPr>
            <w:rStyle w:val="Hyperlink"/>
            <w:rFonts w:ascii="Times New Roman" w:hAnsi="Times New Roman"/>
            <w:b w:val="false"/>
            <w:i w:val="false"/>
            <w:color w:val="000000"/>
            <w:sz w:val="22"/>
          </w:rPr>
          <w:t>502.302(1)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50.60(4)</w:t>
      </w:r>
      <w:r>
        <w:rPr>
          <w:rFonts w:ascii="Times New Roman" w:hAnsi="Times New Roman"/>
          <w:b w:val="false"/>
          <w:i w:val="false"/>
          <w:color w:val="000000"/>
          <w:sz w:val="22"/>
        </w:rPr>
        <w:t> </w:t>
      </w:r>
      <w:r>
        <w:rPr>
          <w:rFonts w:ascii="Times New Roman" w:hAnsi="Times New Roman"/>
          <w:b w:val="false"/>
          <w:i w:val="false"/>
          <w:color w:val="000000"/>
          <w:sz w:val="22"/>
        </w:rPr>
        <w:t xml:space="preserve">Amendments to notice filings are made on Form NF and are effective upon receipt by the administrator. Withdrawal or termination of a notice filing is made by filing Form NF or providing the administrator with notice of the withdrawal or termination in a similar format. An amendment, withdrawal, or termination is effective upon receipt by the administrator of the required notice and all fees required by Iowa Code section </w:t>
      </w:r>
      <w:hyperlink r:id="rId316">
        <w:r>
          <w:rPr>
            <w:rStyle w:val="Hyperlink"/>
            <w:rFonts w:ascii="Times New Roman" w:hAnsi="Times New Roman"/>
            <w:b w:val="false"/>
            <w:i w:val="false"/>
            <w:color w:val="000000"/>
            <w:sz w:val="22"/>
          </w:rPr>
          <w:t>502.302(1)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17">
        <w:r>
          <w:rPr>
            <w:rStyle w:val="Hyperlink"/>
            <w:rFonts w:ascii="Times New Roman" w:hAnsi="Times New Roman"/>
            <w:b w:val="false"/>
            <w:i w:val="false"/>
            <w:color w:val="000000"/>
            <w:sz w:val="22"/>
          </w:rPr>
          <w:t>502.302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50.60(5)</w:t>
      </w:r>
      <w:r>
        <w:rPr>
          <w:rFonts w:ascii="Times New Roman" w:hAnsi="Times New Roman"/>
          <w:b w:val="false"/>
          <w:i w:val="false"/>
          <w:color w:val="000000"/>
          <w:sz w:val="22"/>
        </w:rPr>
        <w:t> </w:t>
      </w:r>
      <w:r>
        <w:rPr>
          <w:rFonts w:ascii="Times New Roman" w:hAnsi="Times New Roman"/>
          <w:b w:val="false"/>
          <w:i w:val="false"/>
          <w:color w:val="000000"/>
          <w:sz w:val="22"/>
        </w:rPr>
        <w:t>An investment company that is registered under the Investment Company Act of 1940 or that has filed a registration statement under the Securities Act of 1933 shall file, upon written request of the administrator and within the time period set forth in the request, a copy of any document identified in the request that is part of the federal registration statement filed with the SEC or part of an amendment to such federal registration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50.60(6)</w:t>
      </w:r>
      <w:r>
        <w:rPr>
          <w:rFonts w:ascii="Times New Roman" w:hAnsi="Times New Roman"/>
          <w:b w:val="false"/>
          <w:i w:val="false"/>
          <w:color w:val="000000"/>
          <w:sz w:val="22"/>
        </w:rPr>
        <w:t> </w:t>
      </w:r>
      <w:r>
        <w:rPr>
          <w:rFonts w:ascii="Times New Roman" w:hAnsi="Times New Roman"/>
          <w:b w:val="false"/>
          <w:i w:val="false"/>
          <w:color w:val="000000"/>
          <w:sz w:val="22"/>
        </w:rPr>
        <w:t xml:space="preserve">An investment company that makes a notice filing under subrule </w:t>
      </w:r>
      <w:hyperlink r:id="rId318">
        <w:r>
          <w:rPr>
            <w:rStyle w:val="Hyperlink"/>
            <w:rFonts w:ascii="Times New Roman" w:hAnsi="Times New Roman"/>
            <w:b w:val="false"/>
            <w:i w:val="false"/>
            <w:color w:val="000000"/>
            <w:sz w:val="22"/>
          </w:rPr>
          <w:t>50.60(2)</w:t>
        </w:r>
      </w:hyperlink>
      <w:r>
        <w:rPr>
          <w:rFonts w:ascii="Times New Roman" w:hAnsi="Times New Roman"/>
          <w:b w:val="false"/>
          <w:i w:val="false"/>
          <w:color w:val="000000"/>
          <w:sz w:val="22"/>
        </w:rPr>
        <w:t xml:space="preserve"> and that pays an initial $400 filing fee under Iowa Code section </w:t>
      </w:r>
      <w:hyperlink r:id="rId319">
        <w:r>
          <w:rPr>
            <w:rStyle w:val="Hyperlink"/>
            <w:rFonts w:ascii="Times New Roman" w:hAnsi="Times New Roman"/>
            <w:b w:val="false"/>
            <w:i w:val="false"/>
            <w:color w:val="000000"/>
            <w:sz w:val="22"/>
          </w:rPr>
          <w:t>502.302(1)</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pay a $400 renewal fee prior to the notice filing’s annual renewal date. Notice filings that are not renewed by the annual renewal date shall expire.</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20">
        <w:r>
          <w:rPr>
            <w:rStyle w:val="Hyperlink"/>
            <w:rFonts w:ascii="Times New Roman" w:hAnsi="Times New Roman"/>
            <w:b w:val="false"/>
            <w:i w:val="false"/>
            <w:color w:val="000000"/>
            <w:sz w:val="22"/>
          </w:rPr>
          <w:t>502.302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50.60(7)</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January 1, 2019, when notice filings of the records and fees are required by this rule for the offer or sale of unit investment trusts (as defined in the Investment Company Act of 1940 (15 U.S.C. Section 80a-4(2)), the filings shall be submitted electronically through NASAA’s electronic filing depository system at </w:t>
      </w:r>
      <w:hyperlink r:id="rId321">
        <w:r>
          <w:rPr>
            <w:rStyle w:val="Hyperlink"/>
            <w:rFonts w:ascii="Times New Roman" w:hAnsi="Times New Roman"/>
            <w:b w:val="false"/>
            <w:i w:val="false"/>
            <w:color w:val="000000"/>
            <w:sz w:val="22"/>
            <w:u w:val="single"/>
          </w:rPr>
          <w:t>efdnasaa.org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2">
        <w:r>
          <w:rPr>
            <w:rStyle w:val="Hyperlink"/>
            <w:rFonts w:ascii="Times New Roman" w:hAnsi="Times New Roman"/>
            <w:b w:val="false"/>
            <w:i w:val="false"/>
            <w:color w:val="000000"/>
            <w:sz w:val="22"/>
          </w:rPr>
          <w:t>502.302(1)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2175C</w:t>
      </w:r>
      <w:r>
        <w:rPr>
          <w:rFonts w:ascii="Times New Roman" w:hAnsi="Times New Roman"/>
          <w:b w:val="false"/>
          <w:i w:val="false"/>
          <w:color w:val="000000"/>
          <w:sz w:val="16"/>
        </w:rPr>
        <w:t>, IAB 9/30/15,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2731C</w:t>
      </w:r>
      <w:r>
        <w:rPr>
          <w:rFonts w:ascii="Times New Roman" w:hAnsi="Times New Roman"/>
          <w:b w:val="false"/>
          <w:i w:val="false"/>
          <w:color w:val="000000"/>
          <w:sz w:val="16"/>
        </w:rPr>
        <w:t>, IAB 9/28/16, effective 11/2/16</w:t>
      </w:r>
      <w:r>
        <w:rPr>
          <w:rFonts w:ascii="Times New Roman" w:hAnsi="Times New Roman"/>
          <w:b w:val="false"/>
          <w:i w:val="false"/>
          <w:color w:val="000000"/>
          <w:sz w:val="16"/>
        </w:rPr>
        <w:t xml:space="preserve">; </w:t>
      </w:r>
      <w:r>
        <w:rPr>
          <w:rFonts w:ascii="Times New Roman" w:hAnsi="Times New Roman"/>
          <w:b/>
          <w:i w:val="false"/>
          <w:color w:val="000000"/>
          <w:sz w:val="16"/>
        </w:rPr>
        <w:t>ARC 3741C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191—50.61</w:t>
      </w:r>
      <w:r>
        <w:rPr>
          <w:rFonts w:ascii="Times New Roman" w:hAnsi="Times New Roman"/>
          <w:b/>
          <w:i w:val="false"/>
          <w:color w:val="000000"/>
          <w:sz w:val="22"/>
        </w:rPr>
        <w:t xml:space="preserve">(502) </w:t>
      </w:r>
      <w:r>
        <w:rPr>
          <w:rFonts w:ascii="Times New Roman" w:hAnsi="Times New Roman"/>
          <w:b/>
          <w:i w:val="false"/>
          <w:color w:val="000000"/>
          <w:sz w:val="22"/>
        </w:rPr>
        <w:t xml:space="preserve">Registration of small corporate offerings.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50.61(1)</w:t>
      </w:r>
      <w:r>
        <w:rPr>
          <w:rFonts w:ascii="Times New Roman" w:hAnsi="Times New Roman"/>
          <w:b w:val="false"/>
          <w:i w:val="false"/>
          <w:color w:val="000000"/>
          <w:sz w:val="22"/>
        </w:rPr>
        <w:t> </w:t>
      </w:r>
      <w:r>
        <w:rPr>
          <w:rFonts w:ascii="Times New Roman" w:hAnsi="Times New Roman"/>
          <w:b w:val="false"/>
          <w:i w:val="false"/>
          <w:color w:val="000000"/>
          <w:sz w:val="22"/>
        </w:rPr>
        <w:t xml:space="preserve">Form U-7 may be obtained from the NASAA website at </w:t>
      </w:r>
      <w:hyperlink r:id="rId323">
        <w:r>
          <w:rPr>
            <w:rStyle w:val="Hyperlink"/>
            <w:rFonts w:ascii="Times New Roman" w:hAnsi="Times New Roman"/>
            <w:b w:val="false"/>
            <w:i w:val="false"/>
            <w:color w:val="000000"/>
            <w:sz w:val="22"/>
            <w:u w:val="single"/>
          </w:rPr>
          <w:t>www.nasaa.org</w:t>
        </w:r>
      </w:hyperlink>
      <w:r>
        <w:rPr>
          <w:rFonts w:ascii="Times New Roman" w:hAnsi="Times New Roman"/>
          <w:b w:val="false"/>
          <w:i w:val="false"/>
          <w:color w:val="000000"/>
          <w:sz w:val="22"/>
        </w:rPr>
        <w:t>. Form U-7 has been developed under the Small Business Investment Incentive Act of 1980 which prescribes state and federal cooperation in furthering the policies of the Act: diminishing the burden of raising investment capital and minimizing interference with the business of capital 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50.61(2)</w:t>
      </w:r>
      <w:r>
        <w:rPr>
          <w:rFonts w:ascii="Times New Roman" w:hAnsi="Times New Roman"/>
          <w:b w:val="false"/>
          <w:i w:val="false"/>
          <w:color w:val="000000"/>
          <w:sz w:val="22"/>
        </w:rPr>
        <w:t> </w:t>
      </w:r>
      <w:r>
        <w:rPr>
          <w:rFonts w:ascii="Times New Roman" w:hAnsi="Times New Roman"/>
          <w:b w:val="false"/>
          <w:i w:val="false"/>
          <w:color w:val="000000"/>
          <w:sz w:val="22"/>
        </w:rPr>
        <w:t>To be eligible to use Form U-7, the issuer shall comply with each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issuer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 corporation or limited liability company organized under the laws of the United States or Canada, or any state, province, or territory or possession thereof, or the District of Columbia and have its principal place of business in one of the foregoing;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 be subject to the reporting requirements of Section 13 or 15(d) of the Securities Exchange Act of 1934;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be an investment company registered or required to be registered under the Investment Company Act of 1940;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 be engaged in or propose to be engaged in petroleum exploration and production, mining, or other extractive industries;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 be a development stage company that either has no specific business plan or purpose or has indicated that its business plan is to engage in a merger or acquisition with an unidentified company or companies or other entity or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Not be disqualified under subrule </w:t>
      </w:r>
      <w:hyperlink r:id="rId324">
        <w:r>
          <w:rPr>
            <w:rStyle w:val="Hyperlink"/>
            <w:rFonts w:ascii="Times New Roman" w:hAnsi="Times New Roman"/>
            <w:b w:val="false"/>
            <w:i w:val="false"/>
            <w:color w:val="000000"/>
            <w:sz w:val="22"/>
          </w:rPr>
          <w:t>50.61(3)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offering price for common stock or common ownership interests (hereinafter, collectively referred to as “common stock”), the exercise price for options, warrants, or rights to common stock, or the conversion price for securities convertible into common stock must be greater than or equal to U.S. $1 per share or unit of interest. The issuer must agree with the administrator that the issuer will not split its common stock, or declare a stock dividend for two years after the effective date of the registration if such action has the effect of lowering the price below U.S.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Commissions, fees or other remuneration for soliciting any prospective purchaser in connection with the offering in the state are only paid to persons who, if required to be registered or licensed, the issuer believes, and has reason to believe, are appropriately registered or licensed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Financial statements shall be prepared in accordance with either U.S. or Canadian generally accepted accounting principles. If appropriate, a reconciliation note should be provided. If the company has not conducted significant operations, statements of receipts and disbursements shall be included in lieu of statements of income. Interim financial statements may be unaudited. All other financial statements shall be audited by independent certified public accountants, provided, however, that if each of the following four conditions are met, such financial statements in lieu of being audited may be reviewed by independent certified public accountants in accordance with the Accounting and Review Service Standards promulgated by the American Institute of Certified Public Accountants or the Canadian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company shall not have previously sold securities through an offering involving the general solicitation of prospective investors by means of advertising, mass mailings, public meetings, “cold call” telephone solicitation, or any other method directed toward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company has not been previously required under federal, state, provincial or territorial securities laws to provide audited financial statements in connection with any sale of its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aggregate amount of all previous sales of securities by the company (exclusive of debt financing with banks and similar commercial lenders) shall not exceed U.S. $1 million;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offering is a Rule 504 offering, the amount of the present offering does not exceed U.S. $1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offering shall be made in compliance with Rule 504 of Regulation D, Regulation A, or Section 3(a)(11) of the Securities Act of 1933.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issuer shall comply with the General Instructions to SCOR in Part I of the NASAA SCOR Issuer’s Manual.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50.61(3)</w:t>
      </w:r>
      <w:r>
        <w:rPr>
          <w:rFonts w:ascii="Times New Roman" w:hAnsi="Times New Roman"/>
          <w:b w:val="false"/>
          <w:i w:val="false"/>
          <w:color w:val="000000"/>
          <w:sz w:val="22"/>
        </w:rPr>
        <w:t> </w:t>
      </w:r>
      <w:r>
        <w:rPr>
          <w:rFonts w:ascii="Times New Roman" w:hAnsi="Times New Roman"/>
          <w:b w:val="false"/>
          <w:i w:val="false"/>
          <w:color w:val="000000"/>
          <w:sz w:val="22"/>
        </w:rPr>
        <w:t>Disqualifications.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the administrator determines that it is not necessary under the circumstances that the disqualification under this subrule be applied, application for registration referred to in subrule </w:t>
      </w:r>
      <w:hyperlink r:id="rId325">
        <w:r>
          <w:rPr>
            <w:rStyle w:val="Hyperlink"/>
            <w:rFonts w:ascii="Times New Roman" w:hAnsi="Times New Roman"/>
            <w:b w:val="false"/>
            <w:i w:val="false"/>
            <w:color w:val="000000"/>
            <w:sz w:val="22"/>
          </w:rPr>
          <w:t>50.61(2)</w:t>
        </w:r>
      </w:hyperlink>
      <w:r>
        <w:rPr>
          <w:rFonts w:ascii="Times New Roman" w:hAnsi="Times New Roman"/>
          <w:b w:val="false"/>
          <w:i w:val="false"/>
          <w:color w:val="000000"/>
          <w:sz w:val="22"/>
        </w:rPr>
        <w:t xml:space="preserve"> shall be denied if the issuer, any of its officers, directors, stockholders who own 10 percent or greater of the issuer, promoters, or selling agents, or any officer, director or partner of any selling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filed a registration statement which is subject to a currently effective stop order entered pursuant to any state or provincial securities laws within five years prior to the filing of the registration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been convicted, within five years prior to the filing of the registration statement, of any felony or misdemeanor in connection with the offer, purchase, or sale of securities, or of any felony involving fraud or deceit including, but not limited to, forgery, embezzlement, obtaining money under false pretenses, larceny, or conspiracy to defraud;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currently subject to any state or provincial administrative enforcement order or judgment entered by that state’s or province’s securities administrator within five years prior to the filing of the registration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subject to any state or provincial administrative enforcement order or judgment in which fraud or deceit including, but not limited to, making untrue statements of material facts and omitting to state material facts, was found, and the order or judgment was entered within five years prior to the filing of the current application for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 subject to any state or provincial administrative enforcement order or judgment which prohibits, denies, or revokes the use of any exemption from registration in connection with the offer, purchase or sale of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Is currently subject to any order, judgment, or decree of any court of competent jurisdiction that temporarily, preliminarily, or permanently restrains or enjoins such party from engaging in or continuing any conduct or practice in connection with the purchase or sale of any security, or involving the making of any false filing with the state, entered within five years prior to the filing of the registration statement;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Has violated the law of a foreign jurisdiction governing or regulating any aspect of the business of securities or banking or, within the past five years, has been the subject of an action of a securities regulator of a foreign jurisdiction denying, revoking or suspending the right to engage in the business of securities as a broker-dealer, agent or investment adviser or is the subject of an action of any securities exchange or self-regulatory organization operating under the authority of the securities regulator of a foreign jurisdiction suspending or expelling such person from membership in such exchange or self-regulatory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prohibitions of subparagraphs (1) to (3) and (5) of paragraph </w:t>
      </w:r>
      <w:hyperlink r:id="rId326">
        <w:r>
          <w:rPr>
            <w:rStyle w:val="Hyperlink"/>
            <w:rFonts w:ascii="Times New Roman" w:hAnsi="Times New Roman"/>
            <w:b w:val="false"/>
            <w:i w:val="false"/>
            <w:color w:val="000000"/>
            <w:sz w:val="22"/>
          </w:rPr>
          <w:t>50.61(3)</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not apply if the person subject to the disqualification is duly registered or licensed to conduct securities-related business in the state or province in which the administrative order or judgment was entered against such person, or if the broker-dealer employing such person is registered or licensed in the state and the Form BD filed in the state discloses the order, conviction, judgment or decree relating to such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person disqualified shall act in any capacity other than the capacity for which the person is registered or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Disqualification is automatically waived if the jurisdiction which created the basis for disqualification determines upon a showing of good cause that it is not necessary under the circumstances that registration be denied.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7">
        <w:r>
          <w:rPr>
            <w:rStyle w:val="Hyperlink"/>
            <w:rFonts w:ascii="Times New Roman" w:hAnsi="Times New Roman"/>
            <w:b w:val="false"/>
            <w:i w:val="false"/>
            <w:color w:val="000000"/>
            <w:sz w:val="22"/>
          </w:rPr>
          <w:t>502.304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2175C</w:t>
      </w:r>
      <w:r>
        <w:rPr>
          <w:rFonts w:ascii="Times New Roman" w:hAnsi="Times New Roman"/>
          <w:b w:val="false"/>
          <w:i w:val="false"/>
          <w:color w:val="000000"/>
          <w:sz w:val="16"/>
        </w:rPr>
        <w:t>, IAB 9/30/15,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191—50.62</w:t>
      </w:r>
      <w:r>
        <w:rPr>
          <w:rFonts w:ascii="Times New Roman" w:hAnsi="Times New Roman"/>
          <w:b/>
          <w:i w:val="false"/>
          <w:color w:val="000000"/>
          <w:sz w:val="22"/>
        </w:rPr>
        <w:t xml:space="preserve">(502) </w:t>
      </w:r>
      <w:r>
        <w:rPr>
          <w:rFonts w:ascii="Times New Roman" w:hAnsi="Times New Roman"/>
          <w:b/>
          <w:i w:val="false"/>
          <w:color w:val="000000"/>
          <w:sz w:val="22"/>
        </w:rPr>
        <w:t xml:space="preserve">Streamlined registration for certain equity securities.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w:t>
      </w:r>
      <w:r>
        <w:rPr>
          <w:rFonts w:ascii="Times New Roman" w:hAnsi="Times New Roman"/>
          <w:b w:val="false"/>
          <w:i w:val="false"/>
          <w:color w:val="000000"/>
          <w:sz w:val="22"/>
        </w:rPr>
        <w:t> </w:t>
      </w:r>
      <w:r>
        <w:rPr>
          <w:rFonts w:ascii="Times New Roman" w:hAnsi="Times New Roman"/>
          <w:b w:val="false"/>
          <w:i w:val="false"/>
          <w:color w:val="000000"/>
          <w:sz w:val="22"/>
        </w:rPr>
        <w:t xml:space="preserve">An equity security meeting the conditions of this rule may be registered pursuant to Iowa Code section </w:t>
      </w:r>
      <w:hyperlink r:id="rId328">
        <w:r>
          <w:rPr>
            <w:rStyle w:val="Hyperlink"/>
            <w:rFonts w:ascii="Times New Roman" w:hAnsi="Times New Roman"/>
            <w:b w:val="false"/>
            <w:i w:val="false"/>
            <w:color w:val="000000"/>
            <w:sz w:val="22"/>
          </w:rPr>
          <w:t>502.303</w:t>
        </w:r>
      </w:hyperlink>
      <w:r>
        <w:rPr>
          <w:rFonts w:ascii="Times New Roman" w:hAnsi="Times New Roman"/>
          <w:b w:val="false"/>
          <w:i w:val="false"/>
          <w:color w:val="000000"/>
          <w:sz w:val="22"/>
        </w:rPr>
        <w:t xml:space="preserve"> if all of the following conditions are satisfied, unless waived by the administrator, and except as provided by subrule </w:t>
      </w:r>
      <w:hyperlink r:id="rId329">
        <w:r>
          <w:rPr>
            <w:rStyle w:val="Hyperlink"/>
            <w:rFonts w:ascii="Times New Roman" w:hAnsi="Times New Roman"/>
            <w:b w:val="false"/>
            <w:i w:val="false"/>
            <w:color w:val="000000"/>
            <w:sz w:val="22"/>
          </w:rPr>
          <w:t>50.62(2)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issuer must be a corporation organized under the laws of one of the states or possessions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offering price for common stock, the exercise price if the securities are options, warrants, or rights for common stock, or the conversion price if the securities are convertible into common stock must be equal to or greater than $5 per share;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issuer of the security has (or will have upon completion of the offering) total assets exceeding $10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security will be offered under a firm underwriting;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security is the subject of a registration statement filed on Form S-1 or Form SB-2 with the SEC;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registration statement filed with the administrator contains audited financial statements for each of the two most recently concluded fiscal years of its operations, and the audit for the most recent fiscal year does not include an auditor’s report expressing substantial doubt about the issuer’s ability to continue as a going concern.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w:t>
      </w:r>
      <w:r>
        <w:rPr>
          <w:rFonts w:ascii="Times New Roman" w:hAnsi="Times New Roman"/>
          <w:b w:val="false"/>
          <w:i w:val="false"/>
          <w:color w:val="000000"/>
          <w:sz w:val="22"/>
        </w:rPr>
        <w:t> </w:t>
      </w:r>
      <w:r>
        <w:rPr>
          <w:rFonts w:ascii="Times New Roman" w:hAnsi="Times New Roman"/>
          <w:b w:val="false"/>
          <w:i w:val="false"/>
          <w:color w:val="000000"/>
          <w:sz w:val="22"/>
        </w:rPr>
        <w:t>Registration pursuant to this rule is not available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issuer is a blind pool or other offering for which the specific business or properties cannot now be described;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issuer, a principal officer or a principal shareholder thereof, or a broker-dealer offering or selling the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subject to statutory disqualification, as defined by subparagraphs (A), (B), (C), or (D) of Section 3(a)(39) of the Securities Exchange Act of 1934;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been convicted of any felony under federal or state law regarding the offer, purchase, or sale of any security, or any felony under federal or state law involving fraud or deceit in the ten years prior to the date of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currently named in and subject to any order, judgment, or decree of any court of competent jurisdiction acting under federal or state law temporarily or permanently restraining or enjoining the person from engaging in or continuing any conduct or practice in connection with the offer, purchase, or sale of a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filed a registration statement which is currently the subject of a stop order entered pursuant to any state’s securities law within five years prior to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 currently subject to any state administrative enforcement order or judgment entered by that state’s securities administrator within five years prior to the offering, or is currently subject to any state’s administrative enforcement order or judgment in which fraud or deceit was found within five years prior to the offering;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Is currently subject to any state’s administrative order or judgment prohibiting, denying, or revoking the use of any exemption from registration regarding the offer, sale, or purchase of any security, or involving the making of a false filing with the state within five years of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unavailability of streamlined registration pursuant to this rule as a result of the disqualification of a party pursuant to paragraph </w:t>
      </w:r>
      <w:hyperlink r:id="rId330">
        <w:r>
          <w:rPr>
            <w:rStyle w:val="Hyperlink"/>
            <w:rFonts w:ascii="Times New Roman" w:hAnsi="Times New Roman"/>
            <w:b w:val="false"/>
            <w:i w:val="false"/>
            <w:color w:val="000000"/>
            <w:sz w:val="22"/>
          </w:rPr>
          <w:t>50.62(2)</w:t>
        </w:r>
        <w:r>
          <w:rPr>
            <w:rFonts w:ascii="Times New Roman" w:hAnsi="Times New Roman"/>
            <w:b w:val="false"/>
            <w:i/>
            <w:color w:val="000000"/>
            <w:sz w:val="22"/>
          </w:rPr>
          <w:t>“b”</w:t>
        </w:r>
      </w:hyperlink>
      <w:r>
        <w:rPr>
          <w:rFonts w:ascii="Times New Roman" w:hAnsi="Times New Roman"/>
          <w:b w:val="false"/>
          <w:i w:val="false"/>
          <w:color w:val="000000"/>
          <w:sz w:val="22"/>
        </w:rPr>
        <w:t xml:space="preserve"> may be waived by the administrator if the order, conviction, judgment or decree relating to the party’s disqualification was disclosed in writing to the administrator and the administrator determines, based upon good cause shown, that the public interest no longer requires the party to be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50.62(4)</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review a filing made pursuant to this rule within ten business days of receipt. Registration shall be effective upon review, or earlier if the administrator permits a shorter time frame, or comments explaining noncompliance will be promptly sent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shall not deny the effectiveness of a registration made pursuant to this rule based on subrule </w:t>
      </w:r>
      <w:hyperlink r:id="rId331">
        <w:r>
          <w:rPr>
            <w:rStyle w:val="Hyperlink"/>
            <w:rFonts w:ascii="Times New Roman" w:hAnsi="Times New Roman"/>
            <w:b w:val="false"/>
            <w:i w:val="false"/>
            <w:color w:val="000000"/>
            <w:sz w:val="22"/>
          </w:rPr>
          <w:t>50.66(13)</w:t>
        </w:r>
      </w:hyperlink>
      <w:r>
        <w:rPr>
          <w:rFonts w:ascii="Times New Roman" w:hAnsi="Times New Roman"/>
          <w:b w:val="false"/>
          <w:i w:val="false"/>
          <w:color w:val="000000"/>
          <w:sz w:val="22"/>
        </w:rPr>
        <w:t xml:space="preserve"> or </w:t>
      </w:r>
      <w:hyperlink r:id="rId332">
        <w:r>
          <w:rPr>
            <w:rStyle w:val="Hyperlink"/>
            <w:rFonts w:ascii="Times New Roman" w:hAnsi="Times New Roman"/>
            <w:b w:val="false"/>
            <w:i w:val="false"/>
            <w:color w:val="000000"/>
            <w:sz w:val="22"/>
          </w:rPr>
          <w:t>50.66(15)</w:t>
        </w:r>
      </w:hyperlink>
      <w:r>
        <w:rPr>
          <w:rFonts w:ascii="Times New Roman" w:hAnsi="Times New Roman"/>
          <w:b w:val="false"/>
          <w:i w:val="false"/>
          <w:color w:val="000000"/>
          <w:sz w:val="22"/>
        </w:rPr>
        <w:t xml:space="preserve">, or based upon the financial condition of the issuer under Iowa Code section </w:t>
      </w:r>
      <w:hyperlink r:id="rId333">
        <w:r>
          <w:rPr>
            <w:rStyle w:val="Hyperlink"/>
            <w:rFonts w:ascii="Times New Roman" w:hAnsi="Times New Roman"/>
            <w:b w:val="false"/>
            <w:i w:val="false"/>
            <w:color w:val="000000"/>
            <w:sz w:val="22"/>
          </w:rPr>
          <w:t>502.306(1)</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50.62(6)</w:t>
      </w:r>
      <w:r>
        <w:rPr>
          <w:rFonts w:ascii="Times New Roman" w:hAnsi="Times New Roman"/>
          <w:b w:val="false"/>
          <w:i w:val="false"/>
          <w:color w:val="000000"/>
          <w:sz w:val="22"/>
        </w:rPr>
        <w:t> </w:t>
      </w:r>
      <w:r>
        <w:rPr>
          <w:rFonts w:ascii="Times New Roman" w:hAnsi="Times New Roman"/>
          <w:b w:val="false"/>
          <w:i w:val="false"/>
          <w:color w:val="000000"/>
          <w:sz w:val="22"/>
        </w:rPr>
        <w:t>The following securities shall be the subject of a lockup with the managing underwriter for no less than 180 days, or a longer period if requested by the managing underwriter of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security issued to a promoter within three years immediately preceding the offering or to be issued to a promoter for consideration substantially less than the offering price;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security issued to a promoter for a consideration other than cash, unless the registrant demonstrates that the value of the noncash consideration received in exchange for the security is substantially equal to the offering price for the security. A copy of the lockup agreement shall be filed with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50.62(7)</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a “promoter”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who, acting alone or in concert with one or more other persons, founds or organizes the business or enterprise of the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officer or director owning securities of the issuer, or a person who owns, beneficially or of record, 10 percent or more of a class of securities of the issuer if the officer, director, or person acquires any of those securities in a non-arm’s-length transaction within the three years prior to the filing of the registration statement pursuant to this rule;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of the immediate family of a person described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of subrule </w:t>
      </w:r>
      <w:hyperlink r:id="rId334">
        <w:r>
          <w:rPr>
            <w:rStyle w:val="Hyperlink"/>
            <w:rFonts w:ascii="Times New Roman" w:hAnsi="Times New Roman"/>
            <w:b w:val="false"/>
            <w:i w:val="false"/>
            <w:color w:val="000000"/>
            <w:sz w:val="22"/>
          </w:rPr>
          <w:t>50.62(7)</w:t>
        </w:r>
      </w:hyperlink>
      <w:r>
        <w:rPr>
          <w:rFonts w:ascii="Times New Roman" w:hAnsi="Times New Roman"/>
          <w:b w:val="false"/>
          <w:i w:val="false"/>
          <w:color w:val="000000"/>
          <w:sz w:val="22"/>
        </w:rPr>
        <w:t xml:space="preserve"> if the family member receives securities of the issuer from that person in a non-arm’s-length transaction within the three years prior to the filing of the registration statement pursuant to this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5">
        <w:r>
          <w:rPr>
            <w:rStyle w:val="Hyperlink"/>
            <w:rFonts w:ascii="Times New Roman" w:hAnsi="Times New Roman"/>
            <w:b w:val="false"/>
            <w:i w:val="false"/>
            <w:color w:val="000000"/>
            <w:sz w:val="22"/>
          </w:rPr>
          <w:t>502.303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191—50.63</w:t>
      </w:r>
      <w:r>
        <w:rPr>
          <w:rFonts w:ascii="Times New Roman" w:hAnsi="Times New Roman"/>
          <w:b/>
          <w:i w:val="false"/>
          <w:color w:val="000000"/>
          <w:sz w:val="22"/>
        </w:rPr>
        <w:t xml:space="preserve">(502) </w:t>
      </w:r>
      <w:r>
        <w:rPr>
          <w:rFonts w:ascii="Times New Roman" w:hAnsi="Times New Roman"/>
          <w:b/>
          <w:i w:val="false"/>
          <w:color w:val="000000"/>
          <w:sz w:val="22"/>
        </w:rPr>
        <w:t xml:space="preserve">Registration of multijurisdictional offerings.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336">
        <w:r>
          <w:rPr>
            <w:rStyle w:val="Hyperlink"/>
            <w:rFonts w:ascii="Times New Roman" w:hAnsi="Times New Roman"/>
            <w:b w:val="false"/>
            <w:i w:val="false"/>
            <w:color w:val="000000"/>
            <w:sz w:val="22"/>
          </w:rPr>
          <w:t>502.303(2)</w:t>
        </w:r>
      </w:hyperlink>
      <w:r>
        <w:rPr>
          <w:rFonts w:ascii="Times New Roman" w:hAnsi="Times New Roman"/>
          <w:b w:val="false"/>
          <w:i w:val="false"/>
          <w:color w:val="000000"/>
          <w:sz w:val="22"/>
        </w:rPr>
        <w:t>, offerings filed on SEC Form F-7, Form F-8, Form F-9 or Form F-10 shall become effective the later of three days after filing, or the effective date with the SEC.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50.63(2)</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337">
        <w:r>
          <w:rPr>
            <w:rStyle w:val="Hyperlink"/>
            <w:rFonts w:ascii="Times New Roman" w:hAnsi="Times New Roman"/>
            <w:b w:val="false"/>
            <w:i w:val="false"/>
            <w:color w:val="000000"/>
            <w:sz w:val="22"/>
          </w:rPr>
          <w:t>502.605(3)</w:t>
        </w:r>
      </w:hyperlink>
      <w:r>
        <w:rPr>
          <w:rFonts w:ascii="Times New Roman" w:hAnsi="Times New Roman"/>
          <w:b w:val="false"/>
          <w:i w:val="false"/>
          <w:color w:val="000000"/>
          <w:sz w:val="22"/>
        </w:rPr>
        <w:t xml:space="preserve">, financial statements and financial information for offerings filed under subrule </w:t>
      </w:r>
      <w:hyperlink r:id="rId338">
        <w:r>
          <w:rPr>
            <w:rStyle w:val="Hyperlink"/>
            <w:rFonts w:ascii="Times New Roman" w:hAnsi="Times New Roman"/>
            <w:b w:val="false"/>
            <w:i w:val="false"/>
            <w:color w:val="000000"/>
            <w:sz w:val="22"/>
          </w:rPr>
          <w:t>50.63(1)</w:t>
        </w:r>
      </w:hyperlink>
      <w:r>
        <w:rPr>
          <w:rFonts w:ascii="Times New Roman" w:hAnsi="Times New Roman"/>
          <w:b w:val="false"/>
          <w:i w:val="false"/>
          <w:color w:val="000000"/>
          <w:sz w:val="22"/>
        </w:rPr>
        <w:t xml:space="preserve"> shall comply with instructions provided with SEC Form F-7, Form F-8, Form F-9 or Form F-10.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50.63(3)</w:t>
      </w:r>
      <w:r>
        <w:rPr>
          <w:rFonts w:ascii="Times New Roman" w:hAnsi="Times New Roman"/>
          <w:b w:val="false"/>
          <w:i w:val="false"/>
          <w:color w:val="000000"/>
          <w:sz w:val="22"/>
        </w:rPr>
        <w:t> </w:t>
      </w:r>
      <w:r>
        <w:rPr>
          <w:rFonts w:ascii="Times New Roman" w:hAnsi="Times New Roman"/>
          <w:b w:val="false"/>
          <w:i w:val="false"/>
          <w:color w:val="000000"/>
          <w:sz w:val="22"/>
        </w:rPr>
        <w:t>In a Rights Offering, SEC Form F-7 will be accepted in lieu of any state form required to claim an exemption for any transaction pursuant to an offer to existing securities holders.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50.63(4)</w:t>
      </w:r>
      <w:r>
        <w:rPr>
          <w:rFonts w:ascii="Times New Roman" w:hAnsi="Times New Roman"/>
          <w:b w:val="false"/>
          <w:i w:val="false"/>
          <w:color w:val="000000"/>
          <w:sz w:val="22"/>
        </w:rPr>
        <w:t> </w:t>
      </w:r>
      <w:r>
        <w:rPr>
          <w:rFonts w:ascii="Times New Roman" w:hAnsi="Times New Roman"/>
          <w:b w:val="false"/>
          <w:i w:val="false"/>
          <w:color w:val="000000"/>
          <w:sz w:val="22"/>
        </w:rPr>
        <w:t>After the SEC has declared effective an issuer’s Form F-8, Form F-9 or Form F-10 registration statement, a nonissuer transaction in any class of the issuer’s securities is exempt from registration, whether or not the transaction is effected through a broker-dealer.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39">
        <w:r>
          <w:rPr>
            <w:rStyle w:val="Hyperlink"/>
            <w:rFonts w:ascii="Times New Roman" w:hAnsi="Times New Roman"/>
            <w:b w:val="false"/>
            <w:i w:val="false"/>
            <w:color w:val="000000"/>
            <w:sz w:val="22"/>
          </w:rPr>
          <w:t>502.303(2)</w:t>
        </w:r>
      </w:hyperlink>
      <w:r>
        <w:rPr>
          <w:rFonts w:ascii="Times New Roman" w:hAnsi="Times New Roman"/>
          <w:b w:val="false"/>
          <w:i w:val="false"/>
          <w:color w:val="000000"/>
          <w:sz w:val="22"/>
        </w:rPr>
        <w:t xml:space="preserve"> and </w:t>
      </w:r>
      <w:hyperlink r:id="rId340">
        <w:r>
          <w:rPr>
            <w:rStyle w:val="Hyperlink"/>
            <w:rFonts w:ascii="Times New Roman" w:hAnsi="Times New Roman"/>
            <w:b w:val="false"/>
            <w:i w:val="false"/>
            <w:color w:val="000000"/>
            <w:sz w:val="22"/>
          </w:rPr>
          <w:t>502.605(3)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191—50.64</w:t>
      </w:r>
      <w:r>
        <w:rPr>
          <w:rFonts w:ascii="Times New Roman" w:hAnsi="Times New Roman"/>
          <w:b/>
          <w:i w:val="false"/>
          <w:color w:val="000000"/>
          <w:sz w:val="22"/>
        </w:rPr>
        <w:t xml:space="preserve">(502) </w:t>
      </w:r>
      <w:r>
        <w:rPr>
          <w:rFonts w:ascii="Times New Roman" w:hAnsi="Times New Roman"/>
          <w:b/>
          <w:i w:val="false"/>
          <w:color w:val="000000"/>
          <w:sz w:val="22"/>
        </w:rPr>
        <w:t xml:space="preserve">Form of financial statements.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50.64(1)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provided by this rule, the balance sheet, statement of cash flows, and statement of income required by Iowa Code section </w:t>
      </w:r>
      <w:hyperlink r:id="rId341">
        <w:r>
          <w:rPr>
            <w:rStyle w:val="Hyperlink"/>
            <w:rFonts w:ascii="Times New Roman" w:hAnsi="Times New Roman"/>
            <w:b w:val="false"/>
            <w:i w:val="false"/>
            <w:color w:val="000000"/>
            <w:sz w:val="22"/>
          </w:rPr>
          <w:t>502.304(2)</w:t>
        </w:r>
      </w:hyperlink>
      <w:r>
        <w:rPr>
          <w:rFonts w:ascii="Times New Roman" w:hAnsi="Times New Roman"/>
          <w:b w:val="false"/>
          <w:i/>
          <w:color w:val="000000"/>
          <w:sz w:val="22"/>
        </w:rPr>
        <w:t>“q”</w:t>
      </w:r>
      <w:r>
        <w:rPr>
          <w:rFonts w:ascii="Times New Roman" w:hAnsi="Times New Roman"/>
          <w:b w:val="false"/>
          <w:i w:val="false"/>
          <w:color w:val="000000"/>
          <w:sz w:val="22"/>
        </w:rPr>
        <w:t xml:space="preserve"> shall be certified by an independent certified public accountant who shall also issue an opinion on the financial statements. The audit and opinion requirements may be waived by the administrator upon written application and for good cause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balance sheet, statement of cash flows, and statement of income provided for compliance with the four-month requirement of Iowa Code section </w:t>
      </w:r>
      <w:hyperlink r:id="rId342">
        <w:r>
          <w:rPr>
            <w:rStyle w:val="Hyperlink"/>
            <w:rFonts w:ascii="Times New Roman" w:hAnsi="Times New Roman"/>
            <w:b w:val="false"/>
            <w:i w:val="false"/>
            <w:color w:val="000000"/>
            <w:sz w:val="22"/>
          </w:rPr>
          <w:t>502.304(2)</w:t>
        </w:r>
      </w:hyperlink>
      <w:r>
        <w:rPr>
          <w:rFonts w:ascii="Times New Roman" w:hAnsi="Times New Roman"/>
          <w:b w:val="false"/>
          <w:i/>
          <w:color w:val="000000"/>
          <w:sz w:val="22"/>
        </w:rPr>
        <w:t>“q”</w:t>
      </w:r>
      <w:r>
        <w:rPr>
          <w:rFonts w:ascii="Times New Roman" w:hAnsi="Times New Roman"/>
          <w:b w:val="false"/>
          <w:i w:val="false"/>
          <w:color w:val="000000"/>
          <w:sz w:val="22"/>
        </w:rPr>
        <w:t xml:space="preserve"> need not be certified in accordance with subrule </w:t>
      </w:r>
      <w:hyperlink r:id="rId343">
        <w:r>
          <w:rPr>
            <w:rStyle w:val="Hyperlink"/>
            <w:rFonts w:ascii="Times New Roman" w:hAnsi="Times New Roman"/>
            <w:b w:val="false"/>
            <w:i w:val="false"/>
            <w:color w:val="000000"/>
            <w:sz w:val="22"/>
          </w:rPr>
          <w:t>50.64(1)</w:t>
        </w:r>
      </w:hyperlink>
      <w:r>
        <w:rPr>
          <w:rFonts w:ascii="Times New Roman" w:hAnsi="Times New Roman"/>
          <w:b w:val="false"/>
          <w:i w:val="false"/>
          <w:color w:val="000000"/>
          <w:sz w:val="22"/>
        </w:rPr>
        <w:t xml:space="preserve"> if such certification was submitted for the last fiscal year prior to the application and the date of the financial statements subject to certification is not more than 12 months prior to the registration date.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4">
        <w:r>
          <w:rPr>
            <w:rStyle w:val="Hyperlink"/>
            <w:rFonts w:ascii="Times New Roman" w:hAnsi="Times New Roman"/>
            <w:b w:val="false"/>
            <w:i w:val="false"/>
            <w:color w:val="000000"/>
            <w:sz w:val="22"/>
          </w:rPr>
          <w:t>502.304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191—50.65</w:t>
      </w:r>
      <w:r>
        <w:rPr>
          <w:rFonts w:ascii="Times New Roman" w:hAnsi="Times New Roman"/>
          <w:b/>
          <w:i w:val="false"/>
          <w:color w:val="000000"/>
          <w:sz w:val="22"/>
        </w:rPr>
        <w:t xml:space="preserve">(502) </w:t>
      </w:r>
      <w:r>
        <w:rPr>
          <w:rFonts w:ascii="Times New Roman" w:hAnsi="Times New Roman"/>
          <w:b/>
          <w:i w:val="false"/>
          <w:color w:val="000000"/>
          <w:sz w:val="22"/>
        </w:rPr>
        <w:t xml:space="preserve">Reports contingent to registration by qualification. </w:t>
      </w:r>
      <w:r>
        <w:rPr>
          <w:rFonts w:ascii="Times New Roman" w:hAnsi="Times New Roman"/>
          <w:b w:val="false"/>
          <w:i w:val="false"/>
          <w:color w:val="000000"/>
          <w:sz w:val="22"/>
        </w:rPr>
        <w:t xml:space="preserve">In the administrator’s discretion, a registration by qualification statement filed pursuant to Iowa Code section </w:t>
      </w:r>
      <w:hyperlink r:id="rId345">
        <w:r>
          <w:rPr>
            <w:rStyle w:val="Hyperlink"/>
            <w:rFonts w:ascii="Times New Roman" w:hAnsi="Times New Roman"/>
            <w:b w:val="false"/>
            <w:i w:val="false"/>
            <w:color w:val="000000"/>
            <w:sz w:val="22"/>
          </w:rPr>
          <w:t>502.304</w:t>
        </w:r>
      </w:hyperlink>
      <w:r>
        <w:rPr>
          <w:rFonts w:ascii="Times New Roman" w:hAnsi="Times New Roman"/>
          <w:b w:val="false"/>
          <w:i w:val="false"/>
          <w:color w:val="000000"/>
          <w:sz w:val="22"/>
        </w:rPr>
        <w:t xml:space="preserve"> may not become effective until one or both of the following are filed: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 the value, after its purchase, of certain property does or will constitute a material portion of the assets of the issuer or any other person whose financial condition is significant to the registration, the report of any appraiser or engineer;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When the ownership of any such property is material to the registration, a signed opinion of legal counsel regarding ownership of any property.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6">
        <w:r>
          <w:rPr>
            <w:rStyle w:val="Hyperlink"/>
            <w:rFonts w:ascii="Times New Roman" w:hAnsi="Times New Roman"/>
            <w:b w:val="false"/>
            <w:i w:val="false"/>
            <w:color w:val="000000"/>
            <w:sz w:val="22"/>
          </w:rPr>
          <w:t>502.304</w:t>
        </w:r>
      </w:hyperlink>
      <w:r>
        <w:rPr>
          <w:rFonts w:ascii="Times New Roman" w:hAnsi="Times New Roman"/>
          <w:b w:val="false"/>
          <w:i w:val="false"/>
          <w:color w:val="000000"/>
          <w:sz w:val="22"/>
        </w:rPr>
        <w:t>(2A).</w:t>
      </w:r>
    </w:p>
    <w:p>
      <w:pPr>
        <w:spacing w:before="0" w:after="0"/>
        <w:ind w:left="120"/>
        <w:jc w:val="both"/>
      </w:pPr>
      <w:r>
        <w:rPr>
          <w:rFonts w:ascii="Times New Roman" w:hAnsi="Times New Roman"/>
          <w:b/>
          <w:i w:val="false"/>
          <w:color w:val="000000"/>
          <w:sz w:val="22"/>
        </w:rPr>
        <w:t>191—50.66</w:t>
      </w:r>
      <w:r>
        <w:rPr>
          <w:rFonts w:ascii="Times New Roman" w:hAnsi="Times New Roman"/>
          <w:b/>
          <w:i w:val="false"/>
          <w:color w:val="000000"/>
          <w:sz w:val="22"/>
        </w:rPr>
        <w:t xml:space="preserve">(502) </w:t>
      </w:r>
      <w:r>
        <w:rPr>
          <w:rFonts w:ascii="Times New Roman" w:hAnsi="Times New Roman"/>
          <w:b/>
          <w:i w:val="false"/>
          <w:color w:val="000000"/>
          <w:sz w:val="22"/>
        </w:rPr>
        <w:t xml:space="preserve">NASAA guidelines and statements of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50.66(1)</w:t>
      </w:r>
      <w:r>
        <w:rPr>
          <w:rFonts w:ascii="Times New Roman" w:hAnsi="Times New Roman"/>
          <w:b w:val="false"/>
          <w:i w:val="false"/>
          <w:color w:val="000000"/>
          <w:sz w:val="22"/>
        </w:rPr>
        <w:t> </w:t>
      </w:r>
      <w:r>
        <w:rPr>
          <w:rFonts w:ascii="Times New Roman" w:hAnsi="Times New Roman"/>
          <w:b w:val="false"/>
          <w:i/>
          <w:color w:val="000000"/>
          <w:sz w:val="22"/>
        </w:rPr>
        <w:t xml:space="preserve">Overview of national models. </w:t>
      </w:r>
      <w:r>
        <w:rPr>
          <w:rFonts w:ascii="Times New Roman" w:hAnsi="Times New Roman"/>
          <w:b w:val="false"/>
          <w:i w:val="false"/>
          <w:color w:val="000000"/>
          <w:sz w:val="22"/>
        </w:rPr>
        <w:t xml:space="preserve">In cooperation with the securities administrators of other states and with a view to effectuating a policy to achieve maximum uniformity of regulations regarding the registration of securities, registration and business practices of securities industry and investment advisory registrants, and enforcement of antifraud laws, and in the interest of streamlining the rules contained in Chapter </w:t>
      </w:r>
      <w:hyperlink r:id="rId347">
        <w:r>
          <w:rPr>
            <w:rStyle w:val="Hyperlink"/>
            <w:rFonts w:ascii="Times New Roman" w:hAnsi="Times New Roman"/>
            <w:b w:val="false"/>
            <w:i w:val="false"/>
            <w:color w:val="000000"/>
            <w:sz w:val="22"/>
          </w:rPr>
          <w:t>50</w:t>
        </w:r>
      </w:hyperlink>
      <w:r>
        <w:rPr>
          <w:rFonts w:ascii="Times New Roman" w:hAnsi="Times New Roman"/>
          <w:b w:val="false"/>
          <w:i w:val="false"/>
          <w:color w:val="000000"/>
          <w:sz w:val="22"/>
        </w:rPr>
        <w:t>, the administrator incorporates by reference the following guidelines and statements of policy promulgated by NASAA. This rule does not include any later amendments or editions of the incorporated matter.</w:t>
      </w:r>
    </w:p>
    <w:p>
      <w:pPr>
        <w:spacing w:before="0" w:after="0"/>
        <w:ind w:left="120"/>
        <w:jc w:val="both"/>
      </w:pPr>
      <w:r>
        <w:rPr>
          <w:rFonts w:ascii="Times New Roman" w:hAnsi="Times New Roman"/>
          <w:b w:val="false"/>
          <w:i w:val="false"/>
          <w:color w:val="000000"/>
          <w:sz w:val="22"/>
        </w:rPr>
        <w:t xml:space="preserve">The NASAA website allows access to statements of policy, comment letters, model rules, NASAA proposals published for comment, and state rule proposals and may be found at </w:t>
      </w:r>
      <w:hyperlink r:id="rId348">
        <w:r>
          <w:rPr>
            <w:rStyle w:val="Hyperlink"/>
            <w:rFonts w:ascii="Times New Roman" w:hAnsi="Times New Roman"/>
            <w:b w:val="false"/>
            <w:i w:val="false"/>
            <w:color w:val="000000"/>
            <w:sz w:val="22"/>
            <w:u w:val="single"/>
          </w:rPr>
          <w:t>www.nasaa.org</w:t>
        </w:r>
      </w:hyperlink>
      <w:r>
        <w:rPr>
          <w:rFonts w:ascii="Times New Roman" w:hAnsi="Times New Roman"/>
          <w:b w:val="false"/>
          <w:i w:val="false"/>
          <w:color w:val="000000"/>
          <w:sz w:val="22"/>
        </w:rPr>
        <w:t>, under “regulatory &amp; legal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50.66(2)</w:t>
      </w:r>
      <w:r>
        <w:rPr>
          <w:rFonts w:ascii="Times New Roman" w:hAnsi="Times New Roman"/>
          <w:b w:val="false"/>
          <w:i w:val="false"/>
          <w:color w:val="000000"/>
          <w:sz w:val="22"/>
        </w:rPr>
        <w:t> </w:t>
      </w:r>
      <w:r>
        <w:rPr>
          <w:rFonts w:ascii="Times New Roman" w:hAnsi="Times New Roman"/>
          <w:b w:val="false"/>
          <w:i/>
          <w:color w:val="000000"/>
          <w:sz w:val="22"/>
        </w:rPr>
        <w:t xml:space="preserve">Registration of oil and gas programs. </w:t>
      </w:r>
      <w:r>
        <w:rPr>
          <w:rFonts w:ascii="Times New Roman" w:hAnsi="Times New Roman"/>
          <w:b w:val="false"/>
          <w:i w:val="false"/>
          <w:color w:val="000000"/>
          <w:sz w:val="22"/>
        </w:rPr>
        <w:t>All oil and gas programs filing for registration by coordination or qualification shall substantially comply, as determined by the administrator, with the NASAA Guidelines for Registration of Oil and Gas Programs, which were initially adopted by the NASAA membership on September 22, 1976, as amended on October 12, 1977; October 31, 1979; April 23, 1983; July 1, 1984; September 3, 1987; September 14, 1989; October 24, 1991; May 7, 2007; and May 6, 2012; and published in CCH NASAA Reports at paragraph 2621.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50.66(3)</w:t>
      </w:r>
      <w:r>
        <w:rPr>
          <w:rFonts w:ascii="Times New Roman" w:hAnsi="Times New Roman"/>
          <w:b w:val="false"/>
          <w:i w:val="false"/>
          <w:color w:val="000000"/>
          <w:sz w:val="22"/>
        </w:rPr>
        <w:t> </w:t>
      </w:r>
      <w:r>
        <w:rPr>
          <w:rFonts w:ascii="Times New Roman" w:hAnsi="Times New Roman"/>
          <w:b w:val="false"/>
          <w:i/>
          <w:color w:val="000000"/>
          <w:sz w:val="22"/>
        </w:rPr>
        <w:t xml:space="preserve">Uniform disclosure guidelines—legend. </w:t>
      </w:r>
      <w:r>
        <w:rPr>
          <w:rFonts w:ascii="Times New Roman" w:hAnsi="Times New Roman"/>
          <w:b w:val="false"/>
          <w:i w:val="false"/>
          <w:color w:val="000000"/>
          <w:sz w:val="22"/>
        </w:rPr>
        <w:t>All registrations of securities filing for registration by coordination or qualification shall substantially comply, as determined by the administrator, with the NASAA Guidelines for Cover Legends as adopted by the NASAA membership on October 2, 2004, and published in CCH NASAA Reports at paragraph 1351.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50.66(4)</w:t>
      </w:r>
      <w:r>
        <w:rPr>
          <w:rFonts w:ascii="Times New Roman" w:hAnsi="Times New Roman"/>
          <w:b w:val="false"/>
          <w:i w:val="false"/>
          <w:color w:val="000000"/>
          <w:sz w:val="22"/>
        </w:rPr>
        <w:t> </w:t>
      </w:r>
      <w:r>
        <w:rPr>
          <w:rFonts w:ascii="Times New Roman" w:hAnsi="Times New Roman"/>
          <w:b w:val="false"/>
          <w:i/>
          <w:color w:val="000000"/>
          <w:sz w:val="22"/>
        </w:rPr>
        <w:t xml:space="preserve">Omnibus guidelines. </w:t>
      </w:r>
      <w:r>
        <w:rPr>
          <w:rFonts w:ascii="Times New Roman" w:hAnsi="Times New Roman"/>
          <w:b w:val="false"/>
          <w:i w:val="false"/>
          <w:color w:val="000000"/>
          <w:sz w:val="22"/>
        </w:rPr>
        <w:t>All registrations of limited or general partnerships, joint ventures, unincorporated associations, or similar organizations, other than a corporation formed and operated for the primary purpose of investment in and the operation of or gain from and interest in the assets to be acquired by such entity for which statements of policy have not been adopted by the NASAA membership, filing for registration by coordination or qualification shall substantially comply, as determined by the administrator, with the NASAA Omnibus Guidelines as adopted by the NASAA membership on March 29, 1992, as amended on May 7, 2007; and published in CCH NASAA Reports at paragraph 2321.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50.66(5)</w:t>
      </w:r>
      <w:r>
        <w:rPr>
          <w:rFonts w:ascii="Times New Roman" w:hAnsi="Times New Roman"/>
          <w:b w:val="false"/>
          <w:i w:val="false"/>
          <w:color w:val="000000"/>
          <w:sz w:val="22"/>
        </w:rPr>
        <w:t> </w:t>
      </w:r>
      <w:r>
        <w:rPr>
          <w:rFonts w:ascii="Times New Roman" w:hAnsi="Times New Roman"/>
          <w:b w:val="false"/>
          <w:i/>
          <w:color w:val="000000"/>
          <w:sz w:val="22"/>
        </w:rPr>
        <w:t xml:space="preserve">Registration of commodity pool programs. </w:t>
      </w:r>
      <w:r>
        <w:rPr>
          <w:rFonts w:ascii="Times New Roman" w:hAnsi="Times New Roman"/>
          <w:b w:val="false"/>
          <w:i w:val="false"/>
          <w:color w:val="000000"/>
          <w:sz w:val="22"/>
        </w:rPr>
        <w:t>All registrations of securities filing for registration by coordination or qualification shall substantially comply, as determined by the administrator, with the NASAA Guidelines for Registration of Commodity Pool Programs as adopted by the NASAA membership on September 21, 1983, effective January 1, 1984, amended August 30, 1990, amended May 7, 2007, amended May 6, 2012, and published in CCH NASAA Reports at paragraph 1201.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50.66(6)</w:t>
      </w:r>
      <w:r>
        <w:rPr>
          <w:rFonts w:ascii="Times New Roman" w:hAnsi="Times New Roman"/>
          <w:b w:val="false"/>
          <w:i w:val="false"/>
          <w:color w:val="000000"/>
          <w:sz w:val="22"/>
        </w:rPr>
        <w:t> </w:t>
      </w:r>
      <w:r>
        <w:rPr>
          <w:rFonts w:ascii="Times New Roman" w:hAnsi="Times New Roman"/>
          <w:b w:val="false"/>
          <w:i/>
          <w:color w:val="000000"/>
          <w:sz w:val="22"/>
        </w:rPr>
        <w:t xml:space="preserve">Registration of equipment programs. </w:t>
      </w:r>
      <w:r>
        <w:rPr>
          <w:rFonts w:ascii="Times New Roman" w:hAnsi="Times New Roman"/>
          <w:b w:val="false"/>
          <w:i w:val="false"/>
          <w:color w:val="000000"/>
          <w:sz w:val="22"/>
        </w:rPr>
        <w:t>All registrations of securities filing for registration by coordination or qualification shall substantially comply, as determined by the administrator, with the NASAA Guidelines for Equipment Programs as adopted by the NASAA membership on November 20, 1986, effective January 1, 1987, amended April 22, 1988, October 24, 1991, May 7, 2007, and May 6, 2012, and published in CCH NASAA Reports at paragraph 1601.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50.66(7)</w:t>
      </w:r>
      <w:r>
        <w:rPr>
          <w:rFonts w:ascii="Times New Roman" w:hAnsi="Times New Roman"/>
          <w:b w:val="false"/>
          <w:i w:val="false"/>
          <w:color w:val="000000"/>
          <w:sz w:val="22"/>
        </w:rPr>
        <w:t> </w:t>
      </w:r>
      <w:r>
        <w:rPr>
          <w:rFonts w:ascii="Times New Roman" w:hAnsi="Times New Roman"/>
          <w:b w:val="false"/>
          <w:i/>
          <w:color w:val="000000"/>
          <w:sz w:val="22"/>
        </w:rPr>
        <w:t xml:space="preserve">Registration of real estate programs. </w:t>
      </w:r>
      <w:r>
        <w:rPr>
          <w:rFonts w:ascii="Times New Roman" w:hAnsi="Times New Roman"/>
          <w:b w:val="false"/>
          <w:i w:val="false"/>
          <w:color w:val="000000"/>
          <w:sz w:val="22"/>
        </w:rPr>
        <w:t>All registrations of securities filing for registration by coordination or qualification shall substantially comply, as determined by the administrator, with the NASAA Guidelines for Real Estate Programs as adopted by the NASAA membership on September 29, 1993, last revised, May 7, 2007, and published in CCH NASAA Reports at paragraph 3601.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50.66(8)</w:t>
      </w:r>
      <w:r>
        <w:rPr>
          <w:rFonts w:ascii="Times New Roman" w:hAnsi="Times New Roman"/>
          <w:b w:val="false"/>
          <w:i w:val="false"/>
          <w:color w:val="000000"/>
          <w:sz w:val="22"/>
        </w:rPr>
        <w:t> </w:t>
      </w:r>
      <w:r>
        <w:rPr>
          <w:rFonts w:ascii="Times New Roman" w:hAnsi="Times New Roman"/>
          <w:b w:val="false"/>
          <w:i/>
          <w:color w:val="000000"/>
          <w:sz w:val="22"/>
        </w:rPr>
        <w:t xml:space="preserve">Registration of mortgage programs. </w:t>
      </w:r>
      <w:r>
        <w:rPr>
          <w:rFonts w:ascii="Times New Roman" w:hAnsi="Times New Roman"/>
          <w:b w:val="false"/>
          <w:i w:val="false"/>
          <w:color w:val="000000"/>
          <w:sz w:val="22"/>
        </w:rPr>
        <w:t>All registrations of securities filing for registration by coordination or qualification shall substantially comply, as determined by the administrator, with the NASAA Guidelines for Mortgage Programs as adopted by the NASAA membership on September 10, 1996, amended May 2007, and published in CCH NASAA Reports, paragraph 701.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50.66(9)</w:t>
      </w:r>
      <w:r>
        <w:rPr>
          <w:rFonts w:ascii="Times New Roman" w:hAnsi="Times New Roman"/>
          <w:b w:val="false"/>
          <w:i w:val="false"/>
          <w:color w:val="000000"/>
          <w:sz w:val="22"/>
        </w:rPr>
        <w:t> </w:t>
      </w:r>
      <w:r>
        <w:rPr>
          <w:rFonts w:ascii="Times New Roman" w:hAnsi="Times New Roman"/>
          <w:b w:val="false"/>
          <w:i/>
          <w:color w:val="000000"/>
          <w:sz w:val="22"/>
        </w:rPr>
        <w:t xml:space="preserve">Real estate investment trusts. </w:t>
      </w:r>
      <w:r>
        <w:rPr>
          <w:rFonts w:ascii="Times New Roman" w:hAnsi="Times New Roman"/>
          <w:b w:val="false"/>
          <w:i w:val="false"/>
          <w:color w:val="000000"/>
          <w:sz w:val="22"/>
        </w:rPr>
        <w:t>The registration of a real estate investment trust may be disallowed if it does not substantially comply, as determined by the administrator, with the NASAA Statement of Policy Regarding Real Estate Investment Trusts as revised and adopted by the NASAA membership on September 29, 1993, as revised on May 7, 2007, and published in CCH NASAA Reports at paragraph 3401.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50.66(10)</w:t>
      </w:r>
      <w:r>
        <w:rPr>
          <w:rFonts w:ascii="Times New Roman" w:hAnsi="Times New Roman"/>
          <w:b w:val="false"/>
          <w:i w:val="false"/>
          <w:color w:val="000000"/>
          <w:sz w:val="22"/>
        </w:rPr>
        <w:t> </w:t>
      </w:r>
      <w:r>
        <w:rPr>
          <w:rFonts w:ascii="Times New Roman" w:hAnsi="Times New Roman"/>
          <w:b w:val="false"/>
          <w:i/>
          <w:color w:val="000000"/>
          <w:sz w:val="22"/>
        </w:rPr>
        <w:t xml:space="preserve">Corporate securities definitions. </w:t>
      </w:r>
      <w:r>
        <w:rPr>
          <w:rFonts w:ascii="Times New Roman" w:hAnsi="Times New Roman"/>
          <w:b w:val="false"/>
          <w:i w:val="false"/>
          <w:color w:val="000000"/>
          <w:sz w:val="22"/>
        </w:rPr>
        <w:t>For securities registration purposes, the administrator adopts the various definitions set out in the NASAA Statement of Policy Regarding Corporate Securities Definitions as adopted by the NASAA membership on April 27, 1997, and as amended September 28, 1999, and March 31, 2008, and published in CCH NASAA Reports at paragraph 3812.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50.66(11)</w:t>
      </w:r>
      <w:r>
        <w:rPr>
          <w:rFonts w:ascii="Times New Roman" w:hAnsi="Times New Roman"/>
          <w:b w:val="false"/>
          <w:i w:val="false"/>
          <w:color w:val="000000"/>
          <w:sz w:val="22"/>
        </w:rPr>
        <w:t> </w:t>
      </w:r>
      <w:r>
        <w:rPr>
          <w:rFonts w:ascii="Times New Roman" w:hAnsi="Times New Roman"/>
          <w:b w:val="false"/>
          <w:i/>
          <w:color w:val="000000"/>
          <w:sz w:val="22"/>
        </w:rPr>
        <w:t xml:space="preserve">Impoundment of proceeds. </w:t>
      </w:r>
      <w:r>
        <w:rPr>
          <w:rFonts w:ascii="Times New Roman" w:hAnsi="Times New Roman"/>
          <w:b w:val="false"/>
          <w:i w:val="false"/>
          <w:color w:val="000000"/>
          <w:sz w:val="22"/>
        </w:rPr>
        <w:t>When an impoundment of proceeds is necessary, it shall substantially comply, as determined by the administrator, with the NASAA Statement of Policy Regarding the Impoundment of Proceeds as adopted by the NASAA membership on April 27, 1997, and as amended September 28, 1999, and March 31, 2008, and published in CCH NASAA Reports at paragraph 2151.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50.66(12)</w:t>
      </w:r>
      <w:r>
        <w:rPr>
          <w:rFonts w:ascii="Times New Roman" w:hAnsi="Times New Roman"/>
          <w:b w:val="false"/>
          <w:i w:val="false"/>
          <w:color w:val="000000"/>
          <w:sz w:val="22"/>
        </w:rPr>
        <w:t> </w:t>
      </w:r>
      <w:r>
        <w:rPr>
          <w:rFonts w:ascii="Times New Roman" w:hAnsi="Times New Roman"/>
          <w:b w:val="false"/>
          <w:i/>
          <w:color w:val="000000"/>
          <w:sz w:val="22"/>
        </w:rPr>
        <w:t xml:space="preserve">Loans and other material affiliated transactions. </w:t>
      </w:r>
      <w:r>
        <w:rPr>
          <w:rFonts w:ascii="Times New Roman" w:hAnsi="Times New Roman"/>
          <w:b w:val="false"/>
          <w:i w:val="false"/>
          <w:color w:val="000000"/>
          <w:sz w:val="22"/>
        </w:rPr>
        <w:t>When there have been or will be loans or other material affiliated transactions, the transactions shall substantially comply, as determined by the administrator, with the NASAA Statement of Policy Regarding Loans and Other Material Affiliated Transactions as amended by the NASAA membership on April 27, 1997, and March 31, 2008, and published in CCH NASAA Reports at paragraph 374.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50.66(13)</w:t>
      </w:r>
      <w:r>
        <w:rPr>
          <w:rFonts w:ascii="Times New Roman" w:hAnsi="Times New Roman"/>
          <w:b w:val="false"/>
          <w:i w:val="false"/>
          <w:color w:val="000000"/>
          <w:sz w:val="22"/>
        </w:rPr>
        <w:t> </w:t>
      </w:r>
      <w:r>
        <w:rPr>
          <w:rFonts w:ascii="Times New Roman" w:hAnsi="Times New Roman"/>
          <w:b w:val="false"/>
          <w:i/>
          <w:color w:val="000000"/>
          <w:sz w:val="22"/>
        </w:rPr>
        <w:t xml:space="preserve">Options and warrants. </w:t>
      </w:r>
      <w:r>
        <w:rPr>
          <w:rFonts w:ascii="Times New Roman" w:hAnsi="Times New Roman"/>
          <w:b w:val="false"/>
          <w:i w:val="false"/>
          <w:color w:val="000000"/>
          <w:sz w:val="22"/>
        </w:rPr>
        <w:t>The issuance of options and warrants may be allowed by the administrator if the issuance is in substantial compliance, as determined by the administrator, with the NASAA Statement of Policy Regarding Options and Warrants as adopted by the NASAA membership on November 17, 1997, and as amended September 28, 1999, and as amended March 31, 2008, and published in CCH NASAA Reports at paragraph 2801.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50.66(14)</w:t>
      </w:r>
      <w:r>
        <w:rPr>
          <w:rFonts w:ascii="Times New Roman" w:hAnsi="Times New Roman"/>
          <w:b w:val="false"/>
          <w:i w:val="false"/>
          <w:color w:val="000000"/>
          <w:sz w:val="22"/>
        </w:rPr>
        <w:t> </w:t>
      </w:r>
      <w:r>
        <w:rPr>
          <w:rFonts w:ascii="Times New Roman" w:hAnsi="Times New Roman"/>
          <w:b w:val="false"/>
          <w:i/>
          <w:color w:val="000000"/>
          <w:sz w:val="22"/>
        </w:rPr>
        <w:t xml:space="preserve">Preferred stock. </w:t>
      </w:r>
      <w:r>
        <w:rPr>
          <w:rFonts w:ascii="Times New Roman" w:hAnsi="Times New Roman"/>
          <w:b w:val="false"/>
          <w:i w:val="false"/>
          <w:color w:val="000000"/>
          <w:sz w:val="22"/>
        </w:rPr>
        <w:t>A public offering of preferred stock may be allowed by the administrator if the administrator determines that the offering substantially complies with the NASAA Statement of Policy Regarding Preferred Stock as adopted by the NASAA membership on April 27, 1997, and as amended March 31, 2008, and September 11, 2016 (</w:t>
      </w:r>
      <w:hyperlink r:id="rId349">
        <w:r>
          <w:rPr>
            <w:rStyle w:val="Hyperlink"/>
            <w:rFonts w:ascii="Times New Roman" w:hAnsi="Times New Roman"/>
            <w:b w:val="false"/>
            <w:i w:val="false"/>
            <w:color w:val="000000"/>
            <w:sz w:val="22"/>
            <w:u w:val="single"/>
          </w:rPr>
          <w:t>nasaa.cdn.s3.amazonaws.com/wp-content/uploads/2011/07/SOP-Regarding-Preferred-Stock-Amended0916.pdf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50.66(15)</w:t>
      </w:r>
      <w:r>
        <w:rPr>
          <w:rFonts w:ascii="Times New Roman" w:hAnsi="Times New Roman"/>
          <w:b w:val="false"/>
          <w:i w:val="false"/>
          <w:color w:val="000000"/>
          <w:sz w:val="22"/>
        </w:rPr>
        <w:t> </w:t>
      </w:r>
      <w:r>
        <w:rPr>
          <w:rFonts w:ascii="Times New Roman" w:hAnsi="Times New Roman"/>
          <w:b w:val="false"/>
          <w:i/>
          <w:color w:val="000000"/>
          <w:sz w:val="22"/>
        </w:rPr>
        <w:t xml:space="preserve">Promotional shares. </w:t>
      </w:r>
      <w:r>
        <w:rPr>
          <w:rFonts w:ascii="Times New Roman" w:hAnsi="Times New Roman"/>
          <w:b w:val="false"/>
          <w:i w:val="false"/>
          <w:color w:val="000000"/>
          <w:sz w:val="22"/>
        </w:rPr>
        <w:t>The registration of a security may include promotional shares if it substantially complies, as determined by the administrator, with the NASAA Statement of Policy Regarding Promotional Shares as adopted by the NASAA membership on April 27, 1997, and as amended September 28, 1999, and March 31, 2008, and published in CCH NASAA Reports at paragraph 3201.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50.66(16)</w:t>
      </w:r>
      <w:r>
        <w:rPr>
          <w:rFonts w:ascii="Times New Roman" w:hAnsi="Times New Roman"/>
          <w:b w:val="false"/>
          <w:i w:val="false"/>
          <w:color w:val="000000"/>
          <w:sz w:val="22"/>
        </w:rPr>
        <w:t> </w:t>
      </w:r>
      <w:r>
        <w:rPr>
          <w:rFonts w:ascii="Times New Roman" w:hAnsi="Times New Roman"/>
          <w:b w:val="false"/>
          <w:i/>
          <w:color w:val="000000"/>
          <w:sz w:val="22"/>
        </w:rPr>
        <w:t xml:space="preserve">Risk disclosure. </w:t>
      </w:r>
      <w:r>
        <w:rPr>
          <w:rFonts w:ascii="Times New Roman" w:hAnsi="Times New Roman"/>
          <w:b w:val="false"/>
          <w:i w:val="false"/>
          <w:color w:val="000000"/>
          <w:sz w:val="22"/>
        </w:rPr>
        <w:t>All registrations of securities filing for registration by coordination or qualification shall substantially comply, as determined by the administrator, with the NASAA Guidelines for Risk Disclosure as adopted by the NASAA membership on September 8, 2001, and published in CCH NASAA Reports at paragraph 1362.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50.66(17)</w:t>
      </w:r>
      <w:r>
        <w:rPr>
          <w:rFonts w:ascii="Times New Roman" w:hAnsi="Times New Roman"/>
          <w:b w:val="false"/>
          <w:i w:val="false"/>
          <w:color w:val="000000"/>
          <w:sz w:val="22"/>
        </w:rPr>
        <w:t> </w:t>
      </w:r>
      <w:r>
        <w:rPr>
          <w:rFonts w:ascii="Times New Roman" w:hAnsi="Times New Roman"/>
          <w:b w:val="false"/>
          <w:i/>
          <w:color w:val="000000"/>
          <w:sz w:val="22"/>
        </w:rPr>
        <w:t xml:space="preserve">Unsound financial condition. </w:t>
      </w:r>
      <w:r>
        <w:rPr>
          <w:rFonts w:ascii="Times New Roman" w:hAnsi="Times New Roman"/>
          <w:b w:val="false"/>
          <w:i w:val="false"/>
          <w:color w:val="000000"/>
          <w:sz w:val="22"/>
        </w:rPr>
        <w:t>An issuer may be deemed to be in an unsound financial condition if it substantially meets, as determined by the administrator, the conditions provided within the NASAA Statement of Policy Regarding Unsound Financial Condition as adopted by the NASAA membership on April 27, 1997, and as amended September 28, 1999, and March 31, 2008, and published in CCH NASAA Reports at paragraph 3821.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50.66(18)</w:t>
      </w:r>
      <w:r>
        <w:rPr>
          <w:rFonts w:ascii="Times New Roman" w:hAnsi="Times New Roman"/>
          <w:b w:val="false"/>
          <w:i w:val="false"/>
          <w:color w:val="000000"/>
          <w:sz w:val="22"/>
        </w:rPr>
        <w:t> </w:t>
      </w:r>
      <w:r>
        <w:rPr>
          <w:rFonts w:ascii="Times New Roman" w:hAnsi="Times New Roman"/>
          <w:b w:val="false"/>
          <w:i/>
          <w:color w:val="000000"/>
          <w:sz w:val="22"/>
        </w:rPr>
        <w:t xml:space="preserve">Use of proceeds. </w:t>
      </w:r>
      <w:r>
        <w:rPr>
          <w:rFonts w:ascii="Times New Roman" w:hAnsi="Times New Roman"/>
          <w:b w:val="false"/>
          <w:i w:val="false"/>
          <w:color w:val="000000"/>
          <w:sz w:val="22"/>
        </w:rPr>
        <w:t>The registration of a security may be disallowed if the administrator determines that the registration does not substantially comply with the NASAA Statement of Policy Regarding Specificity in Use of Proceeds as amended by the NASAA membership on April 27, 1997, September 28, 1999, March 31, 2008, and September 11, 2016 (</w:t>
      </w:r>
      <w:hyperlink r:id="rId350">
        <w:r>
          <w:rPr>
            <w:rStyle w:val="Hyperlink"/>
            <w:rFonts w:ascii="Times New Roman" w:hAnsi="Times New Roman"/>
            <w:b w:val="false"/>
            <w:i w:val="false"/>
            <w:color w:val="000000"/>
            <w:sz w:val="22"/>
            <w:u w:val="single"/>
          </w:rPr>
          <w:t>nasaa.cdn.s3.amazonaws.com/wp-content/uploads/2011/07/SPECIFICITY_IN_USE_OF_PROCEEDS-Amended0916.pdf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50.66(19)</w:t>
      </w:r>
      <w:r>
        <w:rPr>
          <w:rFonts w:ascii="Times New Roman" w:hAnsi="Times New Roman"/>
          <w:b w:val="false"/>
          <w:i w:val="false"/>
          <w:color w:val="000000"/>
          <w:sz w:val="22"/>
        </w:rPr>
        <w:t> </w:t>
      </w:r>
      <w:r>
        <w:rPr>
          <w:rFonts w:ascii="Times New Roman" w:hAnsi="Times New Roman"/>
          <w:b w:val="false"/>
          <w:i/>
          <w:color w:val="000000"/>
          <w:sz w:val="22"/>
        </w:rPr>
        <w:t xml:space="preserve">Registration of asset-backed securities. </w:t>
      </w:r>
      <w:r>
        <w:rPr>
          <w:rFonts w:ascii="Times New Roman" w:hAnsi="Times New Roman"/>
          <w:b w:val="false"/>
          <w:i w:val="false"/>
          <w:color w:val="000000"/>
          <w:sz w:val="22"/>
        </w:rPr>
        <w:t>All registrations of securities filing for registration by coordination or qualification shall substantially comply, as determined by the administrator, with the NASAA Guidelines for Registration of Asset-Backed Securities as adopted by the NASAA membership on October 25, 1995, amended May 7, 2007, and May 6, 2012, and published in CCH NASAA Reports at paragraph 501.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50.66(20)</w:t>
      </w:r>
      <w:r>
        <w:rPr>
          <w:rFonts w:ascii="Times New Roman" w:hAnsi="Times New Roman"/>
          <w:b w:val="false"/>
          <w:i w:val="false"/>
          <w:color w:val="000000"/>
          <w:sz w:val="22"/>
        </w:rPr>
        <w:t> </w:t>
      </w:r>
      <w:r>
        <w:rPr>
          <w:rFonts w:ascii="Times New Roman" w:hAnsi="Times New Roman"/>
          <w:b w:val="false"/>
          <w:i/>
          <w:color w:val="000000"/>
          <w:sz w:val="22"/>
        </w:rPr>
        <w:t xml:space="preserve">Promoters’ equity investment. </w:t>
      </w:r>
      <w:r>
        <w:rPr>
          <w:rFonts w:ascii="Times New Roman" w:hAnsi="Times New Roman"/>
          <w:b w:val="false"/>
          <w:i w:val="false"/>
          <w:color w:val="000000"/>
          <w:sz w:val="22"/>
        </w:rPr>
        <w:t>The registration of a security may be disallowed by the administrator if the administrator determines that the registration does not substantially comply with the NASAA Statement of Policy Regarding Promoters’ Equity Investment as amended by the NASAA membership on April 27, 1997, March 31, 2008, and September 11, 2016 (</w:t>
      </w:r>
      <w:hyperlink r:id="rId351">
        <w:r>
          <w:rPr>
            <w:rStyle w:val="Hyperlink"/>
            <w:rFonts w:ascii="Times New Roman" w:hAnsi="Times New Roman"/>
            <w:b w:val="false"/>
            <w:i w:val="false"/>
            <w:color w:val="000000"/>
            <w:sz w:val="22"/>
            <w:u w:val="single"/>
          </w:rPr>
          <w:t>nasaa.cdn.s3.amazonaws.com/wp-content/uploads/2011/07/PROMOTERS_EQUITY_INVESTMENT-revised0916.pdf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50.66(21)</w:t>
      </w:r>
      <w:r>
        <w:rPr>
          <w:rFonts w:ascii="Times New Roman" w:hAnsi="Times New Roman"/>
          <w:b w:val="false"/>
          <w:i w:val="false"/>
          <w:color w:val="000000"/>
          <w:sz w:val="22"/>
        </w:rPr>
        <w:t> </w:t>
      </w:r>
      <w:r>
        <w:rPr>
          <w:rFonts w:ascii="Times New Roman" w:hAnsi="Times New Roman"/>
          <w:b w:val="false"/>
          <w:i/>
          <w:color w:val="000000"/>
          <w:sz w:val="22"/>
        </w:rPr>
        <w:t xml:space="preserve">Unequal voting rights. </w:t>
      </w:r>
      <w:r>
        <w:rPr>
          <w:rFonts w:ascii="Times New Roman" w:hAnsi="Times New Roman"/>
          <w:b w:val="false"/>
          <w:i w:val="false"/>
          <w:color w:val="000000"/>
          <w:sz w:val="22"/>
        </w:rPr>
        <w:t>The registration of a security may be disallowed by the administrator if the administrator determines that the registration does not substantially comply with the NASAA Statement of Policy Regarding Unequal Voting Rights as adopted by the NASAA membership on October 24, 1991, and as amended March 31, 2008, and September 11, 2016 (</w:t>
      </w:r>
      <w:hyperlink r:id="rId352">
        <w:r>
          <w:rPr>
            <w:rStyle w:val="Hyperlink"/>
            <w:rFonts w:ascii="Times New Roman" w:hAnsi="Times New Roman"/>
            <w:b w:val="false"/>
            <w:i w:val="false"/>
            <w:color w:val="000000"/>
            <w:sz w:val="22"/>
            <w:u w:val="single"/>
          </w:rPr>
          <w:t>nasaa.cdn.s3.amazonaws.com/wp-content/uploads/2011/07/SOP_Unequal_Voting_Rights-Amended0916.pdf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50.66(22)</w:t>
      </w:r>
      <w:r>
        <w:rPr>
          <w:rFonts w:ascii="Times New Roman" w:hAnsi="Times New Roman"/>
          <w:b w:val="false"/>
          <w:i w:val="false"/>
          <w:color w:val="000000"/>
          <w:sz w:val="22"/>
        </w:rPr>
        <w:t> </w:t>
      </w:r>
      <w:r>
        <w:rPr>
          <w:rFonts w:ascii="Times New Roman" w:hAnsi="Times New Roman"/>
          <w:b w:val="false"/>
          <w:i/>
          <w:color w:val="000000"/>
          <w:sz w:val="22"/>
        </w:rPr>
        <w:t xml:space="preserve">Use of electronic offering documents and electronic signatures.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subrule,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“Offering documents” </w:t>
      </w:r>
      <w:r>
        <w:rPr>
          <w:rFonts w:ascii="Times New Roman" w:hAnsi="Times New Roman"/>
          <w:b w:val="false"/>
          <w:i w:val="false"/>
          <w:color w:val="000000"/>
          <w:sz w:val="22"/>
        </w:rPr>
        <w:t>means documents that include, but are not limited to, the registration statement, prospectus, applicable agreements, charter, bylaws, opinion of counsel and other opinions, specimen, indenture, consent to service of process and associated resolution, sales materials, subscription agreement, and applicable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“Sales materials” </w:t>
      </w:r>
      <w:r>
        <w:rPr>
          <w:rFonts w:ascii="Times New Roman" w:hAnsi="Times New Roman"/>
          <w:b w:val="false"/>
          <w:i w:val="false"/>
          <w:color w:val="000000"/>
          <w:sz w:val="22"/>
        </w:rPr>
        <w:t>means materials that include only those materials to be used in connection with the solicitation of purchasers of the securities approved as sales literature or other related materials by the SEC, FINRA, and the states,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“Security breach” </w:t>
      </w:r>
      <w:r>
        <w:rPr>
          <w:rFonts w:ascii="Times New Roman" w:hAnsi="Times New Roman"/>
          <w:b w:val="false"/>
          <w:i w:val="false"/>
          <w:color w:val="000000"/>
          <w:sz w:val="22"/>
        </w:rPr>
        <w:t>means the unauthorized accessing, acquisition, or disclosure of any data that compromises the security or confidentiality of confidential personal information maintained by the person or business; provided, however, that for this purpose a “security breach” shall relate only to a system, technology, or process that is used in connection with or is introduced into a securities offering in order to implement the use of electronic offering documents or electronic signatures.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Use of electronic offering documents and subscription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issuer of securities or agent acting on behalf of the issuer may deliver offering documents over the Internet or by other electronic means, or in machine-readable format, provided all of the following requirements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Each offering document: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prepared, updated, and delivered in a manner consistent and in compliance with state and federal securities laws;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Satisfies the formatting requirements applicable to printed documents, such as font size and typeface, and is identical in content to the printed version (other than electronic instructions or procedures as may be displayed and nonsubstantive updates to daily net asset value which can be updated more efficiently in the electronic version);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delivered as a single, integrated document or file; when delivering multiple offering documents, the documents must be delivered together as a single package or list;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Where the offering documents include a hyperlink to external documents or content, provides notice to investors or prospective investors that the document or content being accessed by the hyperlink is provided by an external source;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delivered in an electronic format that intrinsically enables the recipient to store, retrieve, and print the documents;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issuer or agent acting on behalf of the issuer: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Obtains informed consent from the investor or prospective investor to receive offering documents electronically;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Ensures that the investor or prospective investor receives timely, adequate, and direct notice when an electronic offering document has been delivered;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Employs safeguards to ensure that delivery of offering documents occurred at or before the time required by law in relation to the time of sale;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Maintains evidence of delivery by keeping records of its electronic delivery of offering documents and makes those records available on demand by the securities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Subscription agreements may be provided electronically by an issuer or agent acting on behalf of the issuer for the prospective investor to review and complete, provided the subscription process is administered in a manner that is similar to the administration of subscription agreements in paper form, as follows: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Before completion of any subscription agreement, the issuer or agent acting on behalf of the issuer shall review with the prospective investor all appropriate documentation related to the prospective investment including documents and instructions on how to complete the subscription agreement;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Mechanisms shall be established to ensure a prospective investor reviews all required disclosures and scrolls through the document in its entirety prior to initialing or signing;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Unless otherwise allowed by the securities administrator, a single subscription agreement shall be used to subscribe a prospective investor in no more than one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Security breach.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the event of discovery of a security breach at any time in any jurisdiction, the issuer or its agents, as appropriate, shall take prompt action to do all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Identify and locate the breach.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Secure the affected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Suspend the use of the particular device or technology that has been compromised until information security has been restored.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Provide notice of the security breach to any investor whose confidential personal information has been improperly accessed in connection with the security breach and to the securities administrator of each state in which an affected investor resides.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Compliance with </w:t>
      </w:r>
      <w:hyperlink r:id="rId353">
        <w:r>
          <w:rPr>
            <w:rStyle w:val="Hyperlink"/>
            <w:rFonts w:ascii="Times New Roman" w:hAnsi="Times New Roman"/>
            <w:b w:val="false"/>
            <w:i w:val="false"/>
            <w:color w:val="000000"/>
            <w:sz w:val="22"/>
          </w:rPr>
          <w:t>subparagraph 50.66(22)</w:t>
        </w:r>
      </w:hyperlink>
      <w:r>
        <w:rPr>
          <w:rFonts w:ascii="Times New Roman" w:hAnsi="Times New Roman"/>
          <w:b w:val="false"/>
          <w:i/>
          <w:color w:val="000000"/>
          <w:sz w:val="22"/>
        </w:rPr>
        <w:t>“b”</w:t>
      </w:r>
      <w:r>
        <w:rPr>
          <w:rFonts w:ascii="Times New Roman" w:hAnsi="Times New Roman"/>
          <w:b w:val="false"/>
          <w:i w:val="false"/>
          <w:color w:val="000000"/>
          <w:sz w:val="22"/>
        </w:rPr>
        <w:t>(3) after the discovery of a security breach or any other breach of personal information shall not substitute or in any way affect other requirements or obligations, including notification, imposed on an issuer or its agents pursuant to applicable laws, regulations, or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Delivery requires that the offering documents be conveyed to and received by the investor or prospective investor, or that the storage media in which the offering documents are stored be physically delivered to the investor or prospective investor in accordance with numbered </w:t>
      </w:r>
      <w:hyperlink r:id="rId354">
        <w:r>
          <w:rPr>
            <w:rStyle w:val="Hyperlink"/>
            <w:rFonts w:ascii="Times New Roman" w:hAnsi="Times New Roman"/>
            <w:b w:val="false"/>
            <w:i w:val="false"/>
            <w:color w:val="000000"/>
            <w:sz w:val="22"/>
          </w:rPr>
          <w:t>paragraph 50.66(22)</w:t>
        </w:r>
      </w:hyperlink>
      <w:r>
        <w:rPr>
          <w:rFonts w:ascii="Times New Roman" w:hAnsi="Times New Roman"/>
          <w:b w:val="false"/>
          <w:i/>
          <w:color w:val="000000"/>
          <w:sz w:val="22"/>
        </w:rPr>
        <w:t>“b”</w:t>
      </w:r>
      <w:r>
        <w:rPr>
          <w:rFonts w:ascii="Times New Roman" w:hAnsi="Times New Roman"/>
          <w:b w:val="false"/>
          <w:i w:val="false"/>
          <w:color w:val="000000"/>
          <w:sz w:val="22"/>
        </w:rPr>
        <w:t>(1)“1.”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Each electronic document shall be preceded by or presented concurrently with the following notice: </w:t>
      </w:r>
      <w:r>
        <w:rPr>
          <w:rFonts w:ascii="Times New Roman" w:hAnsi="Times New Roman"/>
          <w:b/>
          <w:i w:val="false"/>
          <w:color w:val="000000"/>
          <w:sz w:val="22"/>
        </w:rPr>
        <w:t>“Clarity of text in this document may be affected by the size of the screen on which it is displayed.”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Informed consent to receive offering documents electronically pursuant to the first bulleted paragraph of numbered </w:t>
      </w:r>
      <w:hyperlink r:id="rId355">
        <w:r>
          <w:rPr>
            <w:rStyle w:val="Hyperlink"/>
            <w:rFonts w:ascii="Times New Roman" w:hAnsi="Times New Roman"/>
            <w:b w:val="false"/>
            <w:i w:val="false"/>
            <w:color w:val="000000"/>
            <w:sz w:val="22"/>
          </w:rPr>
          <w:t>paragraph 50.66(22)</w:t>
        </w:r>
      </w:hyperlink>
      <w:r>
        <w:rPr>
          <w:rFonts w:ascii="Times New Roman" w:hAnsi="Times New Roman"/>
          <w:b w:val="false"/>
          <w:i/>
          <w:color w:val="000000"/>
          <w:sz w:val="22"/>
        </w:rPr>
        <w:t>“b”</w:t>
      </w:r>
      <w:r>
        <w:rPr>
          <w:rFonts w:ascii="Times New Roman" w:hAnsi="Times New Roman"/>
          <w:b w:val="false"/>
          <w:i w:val="false"/>
          <w:color w:val="000000"/>
          <w:sz w:val="22"/>
        </w:rPr>
        <w:t>(1)“2” may be obtained in connection with each new offering or globally, either by the issuer or by an agent acting on behalf of the issuer. The investor may revoke this consent at any time by informing the party to whom the consent was given, or, if such party is no longer available, the issuer. Generally, a consent is considered to be informed when an investor is apprised that the document to be provided will be available through a specific electronic medium or source, and that there may be costs associated with delivery. In addition, for a consent to be informed an investor must be apprised of the time and scope parameters of the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Investment opportunities shall not be conditioned on participation in the electronic offering documents and subscription agreements initiative.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Investors or prospective investors who decline to participate in an electronic offering documents and subscription agreements initiative shall not be subjected to higher costs—other than the actual direct cost of printing, mailing, processing, and storing offering documents and subscription agreements—as a result of their lack of participation in the initiative, and no discount shall be given for participating in an electronic offering documents and subscription agreements initiative.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Entities participating in an electronic initiative shall maintain, and shall require participating underwriters, dealer-managers, placement agents, broker-dealers, or other selling agents to maintain, written policies and procedures covering the use of electronic offering documents and subscription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Entities and their contractors and agents having custody and possession of electronic offering documents, including electronic subscription agreements, shall store them in a nonrewriteable and nonerasable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Sub</w:t>
      </w:r>
      <w:hyperlink r:id="rId356">
        <w:r>
          <w:rPr>
            <w:rStyle w:val="Hyperlink"/>
            <w:rFonts w:ascii="Times New Roman" w:hAnsi="Times New Roman"/>
            <w:b w:val="false"/>
            <w:i w:val="false"/>
            <w:color w:val="000000"/>
            <w:sz w:val="22"/>
          </w:rPr>
          <w:t>rule 50.66(22)</w:t>
        </w:r>
      </w:hyperlink>
      <w:r>
        <w:rPr>
          <w:rFonts w:ascii="Times New Roman" w:hAnsi="Times New Roman"/>
          <w:b w:val="false"/>
          <w:i w:val="false"/>
          <w:color w:val="000000"/>
          <w:sz w:val="22"/>
        </w:rPr>
        <w:t xml:space="preserve"> does not change or waive any other requirement of law concerning registration or presale disclosure of securities offerings.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 of electronic signatures.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issuer of securities or agent acting on behalf of the issuer may provide for the use of electronic signatures if all of the following are true: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process by which electronic signatures are obtained: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Shall be implemented in compliance with the Electronic Signatures in Global and National Commerce Act and the Uniform Electronic Transactions Act, and, where applicable, shall include required federal disclosures;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Shall include an appropriate level of security and assurances of accuracy;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Shall employ an authentication process to establish signer credentials;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Shall employ security features that protect signed records from alteration;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Shall provide that either the issuer or agent acting on behalf of the issuer retain, in compliance with applicable laws and regulations, electronically signed documents;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investor or prospective investor shall expressly opt in to the electronic signature initiative, and participation may be terminated at any time;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Investment opportunities shall not be conditioned on participation in the electronic signature initiative.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Entities that participate in an electronic signature initiative shall maintain, and shall require underwriters, dealer-managers, placement agents, broker-dealers, and other selling agents to maintain, written policies and procedures covering the use of electronic signatures.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an investor’s election to participate in an electronic signature initiative by following the requirements of numbered </w:t>
      </w:r>
      <w:hyperlink r:id="rId357">
        <w:r>
          <w:rPr>
            <w:rStyle w:val="Hyperlink"/>
            <w:rFonts w:ascii="Times New Roman" w:hAnsi="Times New Roman"/>
            <w:b w:val="false"/>
            <w:i w:val="false"/>
            <w:color w:val="000000"/>
            <w:sz w:val="22"/>
          </w:rPr>
          <w:t>paragraph 50.66(22)</w:t>
        </w:r>
      </w:hyperlink>
      <w:r>
        <w:rPr>
          <w:rFonts w:ascii="Times New Roman" w:hAnsi="Times New Roman"/>
          <w:b w:val="false"/>
          <w:i/>
          <w:color w:val="000000"/>
          <w:sz w:val="22"/>
        </w:rPr>
        <w:t>“b”</w:t>
      </w:r>
      <w:r>
        <w:rPr>
          <w:rFonts w:ascii="Times New Roman" w:hAnsi="Times New Roman"/>
          <w:b w:val="false"/>
          <w:i w:val="false"/>
          <w:color w:val="000000"/>
          <w:sz w:val="22"/>
        </w:rPr>
        <w:t>(1)“2” may be obtained in connection with each new offering, or by an agent acting on behalf of the issuer. The investor may revoke this consent at any time by informing the party to whom the consent was given, or, if such party is no longer available, the issuer.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58">
        <w:r>
          <w:rPr>
            <w:rStyle w:val="Hyperlink"/>
            <w:rFonts w:ascii="Times New Roman" w:hAnsi="Times New Roman"/>
            <w:b w:val="false"/>
            <w:i w:val="false"/>
            <w:color w:val="000000"/>
            <w:sz w:val="22"/>
          </w:rPr>
          <w:t>502.305(6)</w:t>
        </w:r>
      </w:hyperlink>
      <w:r>
        <w:rPr>
          <w:rFonts w:ascii="Times New Roman" w:hAnsi="Times New Roman"/>
          <w:b w:val="false"/>
          <w:i w:val="false"/>
          <w:color w:val="000000"/>
          <w:sz w:val="22"/>
        </w:rPr>
        <w:t xml:space="preserve"> and </w:t>
      </w:r>
      <w:hyperlink r:id="rId359">
        <w:r>
          <w:rPr>
            <w:rStyle w:val="Hyperlink"/>
            <w:rFonts w:ascii="Times New Roman" w:hAnsi="Times New Roman"/>
            <w:b w:val="false"/>
            <w:i w:val="false"/>
            <w:color w:val="000000"/>
            <w:sz w:val="22"/>
          </w:rPr>
          <w:t>502.306(1)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2175C</w:t>
      </w:r>
      <w:r>
        <w:rPr>
          <w:rFonts w:ascii="Times New Roman" w:hAnsi="Times New Roman"/>
          <w:b w:val="false"/>
          <w:i w:val="false"/>
          <w:color w:val="000000"/>
          <w:sz w:val="16"/>
        </w:rPr>
        <w:t>, IAB 9/30/15,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3391C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191—50.67</w:t>
      </w:r>
      <w:r>
        <w:rPr>
          <w:rFonts w:ascii="Times New Roman" w:hAnsi="Times New Roman"/>
          <w:b/>
          <w:i w:val="false"/>
          <w:color w:val="000000"/>
          <w:sz w:val="22"/>
        </w:rPr>
        <w:t xml:space="preserve">(502) </w:t>
      </w:r>
      <w:r>
        <w:rPr>
          <w:rFonts w:ascii="Times New Roman" w:hAnsi="Times New Roman"/>
          <w:b/>
          <w:i w:val="false"/>
          <w:color w:val="000000"/>
          <w:sz w:val="22"/>
        </w:rPr>
        <w:t xml:space="preserve">Amendments to registration by qualification. </w:t>
      </w:r>
      <w:r>
        <w:rPr>
          <w:rFonts w:ascii="Times New Roman" w:hAnsi="Times New Roman"/>
          <w:b w:val="false"/>
          <w:i w:val="false"/>
          <w:color w:val="000000"/>
          <w:sz w:val="22"/>
        </w:rPr>
        <w:t xml:space="preserve">A registration statement registered by qualification pursuant to Iowa Code section </w:t>
      </w:r>
      <w:hyperlink r:id="rId360">
        <w:r>
          <w:rPr>
            <w:rStyle w:val="Hyperlink"/>
            <w:rFonts w:ascii="Times New Roman" w:hAnsi="Times New Roman"/>
            <w:b w:val="false"/>
            <w:i w:val="false"/>
            <w:color w:val="000000"/>
            <w:sz w:val="22"/>
          </w:rPr>
          <w:t>502.304</w:t>
        </w:r>
      </w:hyperlink>
      <w:r>
        <w:rPr>
          <w:rFonts w:ascii="Times New Roman" w:hAnsi="Times New Roman"/>
          <w:b w:val="false"/>
          <w:i w:val="false"/>
          <w:color w:val="000000"/>
          <w:sz w:val="22"/>
        </w:rPr>
        <w:t xml:space="preserve"> is presumed to be reasonably current for purposes of Iowa Code section </w:t>
      </w:r>
      <w:hyperlink r:id="rId361">
        <w:r>
          <w:rPr>
            <w:rStyle w:val="Hyperlink"/>
            <w:rFonts w:ascii="Times New Roman" w:hAnsi="Times New Roman"/>
            <w:b w:val="false"/>
            <w:i w:val="false"/>
            <w:color w:val="000000"/>
            <w:sz w:val="22"/>
          </w:rPr>
          <w:t>502.305(9)</w:t>
        </w:r>
      </w:hyperlink>
      <w:r>
        <w:rPr>
          <w:rFonts w:ascii="Times New Roman" w:hAnsi="Times New Roman"/>
          <w:b w:val="false"/>
          <w:i w:val="false"/>
          <w:color w:val="000000"/>
          <w:sz w:val="22"/>
        </w:rPr>
        <w:t xml:space="preserve">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issuer notifies the administrator in writing of any change in a material fact contained in the registration statement no later than 7 days after the issuer learns of the change;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issuer notifies the administrator in writing of the results of an annual audit or semiannual report no later than 14 days after receiving such audit results or semiannual report unless the results constitute a change in material fact subject to the provisions of paragraph “1.”</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2">
        <w:r>
          <w:rPr>
            <w:rStyle w:val="Hyperlink"/>
            <w:rFonts w:ascii="Times New Roman" w:hAnsi="Times New Roman"/>
            <w:b w:val="false"/>
            <w:i w:val="false"/>
            <w:color w:val="000000"/>
            <w:sz w:val="22"/>
          </w:rPr>
          <w:t>502.305(9)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191—50.68</w:t>
      </w:r>
      <w:r>
        <w:rPr>
          <w:rFonts w:ascii="Times New Roman" w:hAnsi="Times New Roman"/>
          <w:b/>
          <w:i w:val="false"/>
          <w:color w:val="000000"/>
          <w:sz w:val="22"/>
        </w:rPr>
        <w:t xml:space="preserve">(502) </w:t>
      </w:r>
      <w:r>
        <w:rPr>
          <w:rFonts w:ascii="Times New Roman" w:hAnsi="Times New Roman"/>
          <w:b/>
          <w:i w:val="false"/>
          <w:color w:val="000000"/>
          <w:sz w:val="22"/>
        </w:rPr>
        <w:t xml:space="preserve">Delivery of prospectus. </w:t>
      </w:r>
      <w:r>
        <w:rPr>
          <w:rFonts w:ascii="Times New Roman" w:hAnsi="Times New Roman"/>
          <w:b w:val="false"/>
          <w:i w:val="false"/>
          <w:color w:val="000000"/>
          <w:sz w:val="22"/>
        </w:rPr>
        <w:t xml:space="preserve">As a condition to registration by qualification pursuant to Iowa Code section </w:t>
      </w:r>
      <w:hyperlink r:id="rId363">
        <w:r>
          <w:rPr>
            <w:rStyle w:val="Hyperlink"/>
            <w:rFonts w:ascii="Times New Roman" w:hAnsi="Times New Roman"/>
            <w:b w:val="false"/>
            <w:i w:val="false"/>
            <w:color w:val="000000"/>
            <w:sz w:val="22"/>
          </w:rPr>
          <w:t>502.304</w:t>
        </w:r>
      </w:hyperlink>
      <w:r>
        <w:rPr>
          <w:rFonts w:ascii="Times New Roman" w:hAnsi="Times New Roman"/>
          <w:b w:val="false"/>
          <w:i w:val="false"/>
          <w:color w:val="000000"/>
          <w:sz w:val="22"/>
        </w:rPr>
        <w:t xml:space="preserve">, a prospectus containing the information required by Iowa Code section </w:t>
      </w:r>
      <w:hyperlink r:id="rId364">
        <w:r>
          <w:rPr>
            <w:rStyle w:val="Hyperlink"/>
            <w:rFonts w:ascii="Times New Roman" w:hAnsi="Times New Roman"/>
            <w:b w:val="false"/>
            <w:i w:val="false"/>
            <w:color w:val="000000"/>
            <w:sz w:val="22"/>
          </w:rPr>
          <w:t>502.304(2)</w:t>
        </w:r>
      </w:hyperlink>
      <w:r>
        <w:rPr>
          <w:rFonts w:ascii="Times New Roman" w:hAnsi="Times New Roman"/>
          <w:b w:val="false"/>
          <w:i w:val="false"/>
          <w:color w:val="000000"/>
          <w:sz w:val="22"/>
        </w:rPr>
        <w:t xml:space="preserve"> shall be delivered to each person to which an offer is made, before or concurrently with the earliest of the following events: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first offer made in a record to each person otherwise than by means of a public advertisement, by or for the account of the issuer or any other person on whose behalf the offering is made, or by any underwriter or broker-dealer offering part of an unsold allotment or subscription taken as a participant in the distribution;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confirmation of any sale made by or for the account of the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payment pursuant to any such sale;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delivery of the security pursuant to any such sale.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5">
        <w:r>
          <w:rPr>
            <w:rStyle w:val="Hyperlink"/>
            <w:rFonts w:ascii="Times New Roman" w:hAnsi="Times New Roman"/>
            <w:b w:val="false"/>
            <w:i w:val="false"/>
            <w:color w:val="000000"/>
            <w:sz w:val="22"/>
          </w:rPr>
          <w:t>502.304(5)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191—50.69</w:t>
      </w:r>
      <w:r>
        <w:rPr>
          <w:rFonts w:ascii="Times New Roman" w:hAnsi="Times New Roman"/>
          <w:b/>
          <w:i w:val="false"/>
          <w:color w:val="000000"/>
          <w:sz w:val="22"/>
        </w:rPr>
        <w:t xml:space="preserve">(502) </w:t>
      </w:r>
      <w:r>
        <w:rPr>
          <w:rFonts w:ascii="Times New Roman" w:hAnsi="Times New Roman"/>
          <w:b/>
          <w:i w:val="false"/>
          <w:color w:val="000000"/>
          <w:sz w:val="22"/>
        </w:rPr>
        <w:t xml:space="preserve">Advertisements.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advertising regarding the offer, sale or purchase of any security in Iowa is exempt from the filing requirements of Iowa Code section </w:t>
      </w:r>
      <w:hyperlink r:id="rId366">
        <w:r>
          <w:rPr>
            <w:rStyle w:val="Hyperlink"/>
            <w:rFonts w:ascii="Times New Roman" w:hAnsi="Times New Roman"/>
            <w:b w:val="false"/>
            <w:i w:val="false"/>
            <w:color w:val="000000"/>
            <w:sz w:val="22"/>
          </w:rPr>
          <w:t>502.504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prospectus published or circulated regarding an offering of a security registered pursuant to Iowa Code section </w:t>
      </w:r>
      <w:hyperlink r:id="rId367">
        <w:r>
          <w:rPr>
            <w:rStyle w:val="Hyperlink"/>
            <w:rFonts w:ascii="Times New Roman" w:hAnsi="Times New Roman"/>
            <w:b w:val="false"/>
            <w:i w:val="false"/>
            <w:color w:val="000000"/>
            <w:sz w:val="22"/>
          </w:rPr>
          <w:t>502.303</w:t>
        </w:r>
      </w:hyperlink>
      <w:r>
        <w:rPr>
          <w:rFonts w:ascii="Times New Roman" w:hAnsi="Times New Roman"/>
          <w:b w:val="false"/>
          <w:i w:val="false"/>
          <w:color w:val="000000"/>
          <w:sz w:val="22"/>
        </w:rPr>
        <w:t xml:space="preserve"> or </w:t>
      </w:r>
      <w:hyperlink r:id="rId368">
        <w:r>
          <w:rPr>
            <w:rStyle w:val="Hyperlink"/>
            <w:rFonts w:ascii="Times New Roman" w:hAnsi="Times New Roman"/>
            <w:b w:val="false"/>
            <w:i w:val="false"/>
            <w:color w:val="000000"/>
            <w:sz w:val="22"/>
          </w:rPr>
          <w:t>502.304</w:t>
        </w:r>
      </w:hyperlink>
      <w:r>
        <w:rPr>
          <w:rFonts w:ascii="Times New Roman" w:hAnsi="Times New Roman"/>
          <w:b w:val="false"/>
          <w:i w:val="false"/>
          <w:color w:val="000000"/>
          <w:sz w:val="22"/>
        </w:rPr>
        <w:t xml:space="preserve"> that is not yet effective, or an offering of a security for which a notice or application for exemption, including the prospectus, has been filed pursuant to Iowa Code section </w:t>
      </w:r>
      <w:hyperlink r:id="rId369">
        <w:r>
          <w:rPr>
            <w:rStyle w:val="Hyperlink"/>
            <w:rFonts w:ascii="Times New Roman" w:hAnsi="Times New Roman"/>
            <w:b w:val="false"/>
            <w:i w:val="false"/>
            <w:color w:val="000000"/>
            <w:sz w:val="22"/>
          </w:rPr>
          <w:t>502.201</w:t>
        </w:r>
      </w:hyperlink>
      <w:r>
        <w:rPr>
          <w:rFonts w:ascii="Times New Roman" w:hAnsi="Times New Roman"/>
          <w:b w:val="false"/>
          <w:i w:val="false"/>
          <w:color w:val="000000"/>
          <w:sz w:val="22"/>
        </w:rPr>
        <w:t xml:space="preserve"> or </w:t>
      </w:r>
      <w:hyperlink r:id="rId370">
        <w:r>
          <w:rPr>
            <w:rStyle w:val="Hyperlink"/>
            <w:rFonts w:ascii="Times New Roman" w:hAnsi="Times New Roman"/>
            <w:b w:val="false"/>
            <w:i w:val="false"/>
            <w:color w:val="000000"/>
            <w:sz w:val="22"/>
          </w:rPr>
          <w:t>502.202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Advertising which provides information regarding only from whom a prospectus may be obtained, a description of the security offered for sale, the price of the security, or the names of broker-dealers having an interest in its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Advertising published by a registered broker-dealer or investment adviser concerning the qualifications or business of the registrant, the general advisability of investing in securities or market quotations or other factual information relating to particular securities or issuers, provided the advertising contains no recommendation concerning the purchase or sale of a particular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specifically requested by the administrator, advertising filed with FINRA or that satisfies the requirements of Securities Act of 1933 Rules 230.135a, 230.156, or 230.482;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advertising the administrator may specify by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50.69(2)</w:t>
      </w:r>
      <w:r>
        <w:rPr>
          <w:rFonts w:ascii="Times New Roman" w:hAnsi="Times New Roman"/>
          <w:b w:val="false"/>
          <w:i w:val="false"/>
          <w:color w:val="000000"/>
          <w:sz w:val="22"/>
        </w:rPr>
        <w:t> </w:t>
      </w:r>
      <w:r>
        <w:rPr>
          <w:rFonts w:ascii="Times New Roman" w:hAnsi="Times New Roman"/>
          <w:b w:val="false"/>
          <w:i w:val="false"/>
          <w:color w:val="000000"/>
          <w:sz w:val="22"/>
        </w:rPr>
        <w:t>All advertising required to be filed with the administrator by a registrant shall be filed prior to the date of use. All advertising required to be filed by a person other than a registrant shall be filed at least ten days prior to the date of use, or a shorter period if provided by the administrator. The advertising shall not be used in Iowa until the registrant receives approval from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50.69(3)</w:t>
      </w:r>
      <w:r>
        <w:rPr>
          <w:rFonts w:ascii="Times New Roman" w:hAnsi="Times New Roman"/>
          <w:b w:val="false"/>
          <w:i w:val="false"/>
          <w:color w:val="000000"/>
          <w:sz w:val="22"/>
        </w:rPr>
        <w:t> </w:t>
      </w:r>
      <w:r>
        <w:rPr>
          <w:rFonts w:ascii="Times New Roman" w:hAnsi="Times New Roman"/>
          <w:b w:val="false"/>
          <w:i w:val="false"/>
          <w:color w:val="000000"/>
          <w:sz w:val="22"/>
        </w:rPr>
        <w:t xml:space="preserve">Sales literature of an investment company registered pursuant to the Investment Company Act of 1940 which is materially misleading within the meaning of rules or a statement of policy of the SEC constitutes false or misleading advertising as prohibited by Iowa Code section </w:t>
      </w:r>
      <w:hyperlink r:id="rId371">
        <w:r>
          <w:rPr>
            <w:rStyle w:val="Hyperlink"/>
            <w:rFonts w:ascii="Times New Roman" w:hAnsi="Times New Roman"/>
            <w:b w:val="false"/>
            <w:i w:val="false"/>
            <w:color w:val="000000"/>
            <w:sz w:val="22"/>
          </w:rPr>
          <w:t>502.504</w:t>
        </w:r>
      </w:hyperlink>
      <w:r>
        <w:rPr>
          <w:rFonts w:ascii="Times New Roman" w:hAnsi="Times New Roman"/>
          <w:b w:val="false"/>
          <w:i w:val="false"/>
          <w:color w:val="000000"/>
          <w:sz w:val="22"/>
        </w:rPr>
        <w:t>(2A).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50.69(4)</w:t>
      </w:r>
      <w:r>
        <w:rPr>
          <w:rFonts w:ascii="Times New Roman" w:hAnsi="Times New Roman"/>
          <w:b w:val="false"/>
          <w:i w:val="false"/>
          <w:color w:val="000000"/>
          <w:sz w:val="22"/>
        </w:rPr>
        <w:t> </w:t>
      </w:r>
      <w:r>
        <w:rPr>
          <w:rFonts w:ascii="Times New Roman" w:hAnsi="Times New Roman"/>
          <w:b w:val="false"/>
          <w:i w:val="false"/>
          <w:color w:val="000000"/>
          <w:sz w:val="22"/>
        </w:rPr>
        <w:t xml:space="preserve">False or misleading advertisements prohibited by Iowa Code section </w:t>
      </w:r>
      <w:hyperlink r:id="rId372">
        <w:r>
          <w:rPr>
            <w:rStyle w:val="Hyperlink"/>
            <w:rFonts w:ascii="Times New Roman" w:hAnsi="Times New Roman"/>
            <w:b w:val="false"/>
            <w:i w:val="false"/>
            <w:color w:val="000000"/>
            <w:sz w:val="22"/>
          </w:rPr>
          <w:t>502.504</w:t>
        </w:r>
      </w:hyperlink>
      <w:r>
        <w:rPr>
          <w:rFonts w:ascii="Times New Roman" w:hAnsi="Times New Roman"/>
          <w:b w:val="false"/>
          <w:i w:val="false"/>
          <w:color w:val="000000"/>
          <w:sz w:val="22"/>
        </w:rPr>
        <w:t>(2A)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Comparison charts or graphs showing a distorted, unfair, or unrealistic relationship between the issuer’s past performance, progress, or success and that of another company, business, industry, or investment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Layout or format omitting information necessary to make the entire advertisement a fair and truthful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Statements or representations without accreditation predicting future profit, success, appreciation, or performance, or otherwise addressing the merit or potential of the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Generalizations, generalized conclusions, opinions, representations, and general statements based upon a particular set of facts and circumstances unless those facts and circumstances are stated and modified or explained by additional facts or circumstances as are necessary to make the entire advertisement a full, fair, and truthful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Sales kits or film clips, displays or exposures, which alone or by sequence and progressive compilation present a misleading impression of guaranteed or exaggerated potential, profit, safety, or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Distribution of any nonfactual or inaccurate data or material by words, pictures, charts, or graphs, or otherwise based upon conjectural, unfounded, extravagant, or flamboyant claims, assertions, or predictions, or upon excessive optimism;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package or bonus deal, prize, gimmick, or similar inducement regarding the offer or sale of a security that is combined with or dependent upon the sale of some other product, contract, or service unless the combination has been fully disclosed and specifically described and identified in the advertisement.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50.69(5)</w:t>
      </w:r>
      <w:r>
        <w:rPr>
          <w:rFonts w:ascii="Times New Roman" w:hAnsi="Times New Roman"/>
          <w:b w:val="false"/>
          <w:i w:val="false"/>
          <w:color w:val="000000"/>
          <w:sz w:val="22"/>
        </w:rPr>
        <w:t> </w:t>
      </w:r>
      <w:r>
        <w:rPr>
          <w:rFonts w:ascii="Times New Roman" w:hAnsi="Times New Roman"/>
          <w:b w:val="false"/>
          <w:i w:val="false"/>
          <w:color w:val="000000"/>
          <w:sz w:val="22"/>
        </w:rPr>
        <w:t>Any business card or other advertisement containing the name of an agent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Clearly designate the agent as a securities agent or registered representative of the broker-dealer, as applicable, and indicate clearly that the broker-dealer is a broker-dealer;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 no advertising other than agent name, office address, broker-dealer name, and broker-dealer logo or trademark on the business 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the office address and telephone number of the location where the agent conducts securities business;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Clearly state the business of that entity and the relationship of the agent to that entity if the name, logo or trademark of any business entity other than that of the broker-dealer appears on the business card or in an advertisement.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50.69(6)</w:t>
      </w:r>
      <w:r>
        <w:rPr>
          <w:rFonts w:ascii="Times New Roman" w:hAnsi="Times New Roman"/>
          <w:b w:val="false"/>
          <w:i w:val="false"/>
          <w:color w:val="000000"/>
          <w:sz w:val="22"/>
        </w:rPr>
        <w:t> </w:t>
      </w:r>
      <w:r>
        <w:rPr>
          <w:rFonts w:ascii="Times New Roman" w:hAnsi="Times New Roman"/>
          <w:b w:val="false"/>
          <w:i w:val="false"/>
          <w:color w:val="000000"/>
          <w:sz w:val="22"/>
        </w:rPr>
        <w:t>A firm employing a sales agent who is offering securities on its behalf is responsible for ensuring that the name of the broker-dealer is displayed on the agent’s business cards as prominently as the individual’s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50.69(7)</w:t>
      </w:r>
      <w:r>
        <w:rPr>
          <w:rFonts w:ascii="Times New Roman" w:hAnsi="Times New Roman"/>
          <w:b w:val="false"/>
          <w:i w:val="false"/>
          <w:color w:val="000000"/>
          <w:sz w:val="22"/>
        </w:rPr>
        <w:t> </w:t>
      </w:r>
      <w:r>
        <w:rPr>
          <w:rFonts w:ascii="Times New Roman" w:hAnsi="Times New Roman"/>
          <w:b w:val="false"/>
          <w:i w:val="false"/>
          <w:color w:val="000000"/>
          <w:sz w:val="22"/>
        </w:rPr>
        <w:t>For the purpose of this rule, “advertisement” means any written or printed communication or any communication by means of recorded telephone messages or transmitted on radio, television, or other electronic communications media, published regarding the offer, sale, or purchase of a security.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3">
        <w:r>
          <w:rPr>
            <w:rStyle w:val="Hyperlink"/>
            <w:rFonts w:ascii="Times New Roman" w:hAnsi="Times New Roman"/>
            <w:b w:val="false"/>
            <w:i w:val="false"/>
            <w:color w:val="000000"/>
            <w:sz w:val="22"/>
          </w:rPr>
          <w:t>502.504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9169B</w:t>
      </w:r>
      <w:r>
        <w:rPr>
          <w:rFonts w:ascii="Times New Roman" w:hAnsi="Times New Roman"/>
          <w:b w:val="false"/>
          <w:i w:val="false"/>
          <w:color w:val="000000"/>
          <w:sz w:val="16"/>
        </w:rPr>
        <w:t>, IAB 10/20/10, effective 11/24/10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191—50.70</w:t>
      </w:r>
      <w:r>
        <w:rPr>
          <w:rFonts w:ascii="Times New Roman" w:hAnsi="Times New Roman"/>
          <w:b/>
          <w:i w:val="false"/>
          <w:color w:val="000000"/>
          <w:sz w:val="22"/>
        </w:rPr>
        <w:t xml:space="preserve">(502) </w:t>
      </w:r>
      <w:r>
        <w:rPr>
          <w:rFonts w:ascii="Times New Roman" w:hAnsi="Times New Roman"/>
          <w:b/>
          <w:i w:val="false"/>
          <w:color w:val="000000"/>
          <w:sz w:val="22"/>
        </w:rPr>
        <w:t xml:space="preserve">Fee for securities registration filings under Iowa Code section </w:t>
      </w:r>
      <w:hyperlink r:id="rId374">
        <w:r>
          <w:rPr>
            <w:rStyle w:val="Hyperlink"/>
            <w:rFonts w:ascii="Times New Roman" w:hAnsi="Times New Roman"/>
            <w:b/>
            <w:i w:val="false"/>
            <w:color w:val="000000"/>
            <w:sz w:val="22"/>
          </w:rPr>
          <w:t>502.305</w:t>
        </w:r>
      </w:hyperlink>
      <w:r>
        <w:rPr>
          <w:rFonts w:ascii="Times New Roman" w:hAnsi="Times New Roman"/>
          <w:b/>
          <w:i w:val="false"/>
          <w:color w:val="000000"/>
          <w:sz w:val="22"/>
        </w:rPr>
        <w:t xml:space="preserve">. </w:t>
      </w:r>
      <w:r>
        <w:rPr>
          <w:rFonts w:ascii="Times New Roman" w:hAnsi="Times New Roman"/>
          <w:b w:val="false"/>
          <w:i w:val="false"/>
          <w:color w:val="000000"/>
          <w:sz w:val="22"/>
        </w:rPr>
        <w:t xml:space="preserve">Except as provided in Iowa Code sections </w:t>
      </w:r>
      <w:hyperlink r:id="rId375">
        <w:r>
          <w:rPr>
            <w:rStyle w:val="Hyperlink"/>
            <w:rFonts w:ascii="Times New Roman" w:hAnsi="Times New Roman"/>
            <w:b w:val="false"/>
            <w:i w:val="false"/>
            <w:color w:val="000000"/>
            <w:sz w:val="22"/>
          </w:rPr>
          <w:t>502.302(3)</w:t>
        </w:r>
      </w:hyperlink>
      <w:r>
        <w:rPr>
          <w:rFonts w:ascii="Times New Roman" w:hAnsi="Times New Roman"/>
          <w:b w:val="false"/>
          <w:i w:val="false"/>
          <w:color w:val="000000"/>
          <w:sz w:val="22"/>
        </w:rPr>
        <w:t xml:space="preserve"> and </w:t>
      </w:r>
      <w:hyperlink r:id="rId376">
        <w:r>
          <w:rPr>
            <w:rStyle w:val="Hyperlink"/>
            <w:rFonts w:ascii="Times New Roman" w:hAnsi="Times New Roman"/>
            <w:b w:val="false"/>
            <w:i w:val="false"/>
            <w:color w:val="000000"/>
            <w:sz w:val="22"/>
          </w:rPr>
          <w:t>502.304A(3)</w:t>
        </w:r>
        <w:r>
          <w:rPr>
            <w:rFonts w:ascii="Times New Roman" w:hAnsi="Times New Roman"/>
            <w:b w:val="false"/>
            <w:i/>
            <w:color w:val="000000"/>
            <w:sz w:val="22"/>
          </w:rPr>
          <w:t>“g,”</w:t>
        </w:r>
      </w:hyperlink>
      <w:r>
        <w:rPr>
          <w:rFonts w:ascii="Times New Roman" w:hAnsi="Times New Roman"/>
          <w:b w:val="false"/>
          <w:i w:val="false"/>
          <w:color w:val="000000"/>
          <w:sz w:val="22"/>
        </w:rPr>
        <w:t xml:space="preserve"> a person who files a registration statement or a notice filing pursuant to Iowa Code section </w:t>
      </w:r>
      <w:hyperlink r:id="rId377">
        <w:r>
          <w:rPr>
            <w:rStyle w:val="Hyperlink"/>
            <w:rFonts w:ascii="Times New Roman" w:hAnsi="Times New Roman"/>
            <w:b w:val="false"/>
            <w:i w:val="false"/>
            <w:color w:val="000000"/>
            <w:sz w:val="22"/>
          </w:rPr>
          <w:t>502.305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2394, section 2</w:t>
      </w:r>
      <w:r>
        <w:rPr>
          <w:rFonts w:ascii="Times New Roman" w:hAnsi="Times New Roman"/>
          <w:b w:val="false"/>
          <w:i w:val="false"/>
          <w:color w:val="000000"/>
          <w:sz w:val="22"/>
        </w:rPr>
        <w:t>, shall pay the following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50.70(1)</w:t>
      </w:r>
      <w:r>
        <w:rPr>
          <w:rFonts w:ascii="Times New Roman" w:hAnsi="Times New Roman"/>
          <w:b w:val="false"/>
          <w:i w:val="false"/>
          <w:color w:val="000000"/>
          <w:sz w:val="22"/>
        </w:rPr>
        <w:t> </w:t>
      </w:r>
      <w:r>
        <w:rPr>
          <w:rFonts w:ascii="Times New Roman" w:hAnsi="Times New Roman"/>
          <w:b w:val="false"/>
          <w:i w:val="false"/>
          <w:color w:val="000000"/>
          <w:sz w:val="22"/>
        </w:rPr>
        <w:t>For the initial filing, $400 for one year;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50.70(2)</w:t>
      </w:r>
      <w:r>
        <w:rPr>
          <w:rFonts w:ascii="Times New Roman" w:hAnsi="Times New Roman"/>
          <w:b w:val="false"/>
          <w:i w:val="false"/>
          <w:color w:val="000000"/>
          <w:sz w:val="22"/>
        </w:rPr>
        <w:t> </w:t>
      </w:r>
      <w:r>
        <w:rPr>
          <w:rFonts w:ascii="Times New Roman" w:hAnsi="Times New Roman"/>
          <w:b w:val="false"/>
          <w:i w:val="false"/>
          <w:color w:val="000000"/>
          <w:sz w:val="22"/>
        </w:rPr>
        <w:t>On each anniversary date of the initial filing, an annual renewal fee of $400.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8">
        <w:r>
          <w:rPr>
            <w:rStyle w:val="Hyperlink"/>
            <w:rFonts w:ascii="Times New Roman" w:hAnsi="Times New Roman"/>
            <w:b w:val="false"/>
            <w:i w:val="false"/>
            <w:color w:val="000000"/>
            <w:sz w:val="22"/>
          </w:rPr>
          <w:t>502.305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2731C</w:t>
      </w:r>
      <w:r>
        <w:rPr>
          <w:rFonts w:ascii="Times New Roman" w:hAnsi="Times New Roman"/>
          <w:b w:val="false"/>
          <w:i w:val="false"/>
          <w:color w:val="000000"/>
          <w:sz w:val="16"/>
        </w:rPr>
        <w:t>, IAB 9/28/16, effective 11/2/16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191—50.71</w:t>
      </w:r>
      <w:r>
        <w:rPr>
          <w:rFonts w:ascii="Times New Roman" w:hAnsi="Times New Roman"/>
          <w:b w:val="false"/>
          <w:i w:val="false"/>
          <w:color w:val="000000"/>
          <w:sz w:val="22"/>
        </w:rPr>
        <w:t xml:space="preserve"> to </w:t>
      </w:r>
      <w:r>
        <w:rPr>
          <w:rFonts w:ascii="Times New Roman" w:hAnsi="Times New Roman"/>
          <w:b/>
          <w:i w:val="false"/>
          <w:color w:val="000000"/>
          <w:sz w:val="22"/>
        </w:rPr>
        <w:t>50.79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EXEMPTIONS</w:t>
      </w:r>
    </w:p>
    <w:p>
      <w:pPr>
        <w:spacing w:before="210" w:after="0"/>
        <w:ind w:left="120"/>
        <w:jc w:val="both"/>
      </w:pPr>
      <w:r>
        <w:rPr>
          <w:rFonts w:ascii="Times New Roman" w:hAnsi="Times New Roman"/>
          <w:b/>
          <w:i w:val="false"/>
          <w:color w:val="000000"/>
          <w:sz w:val="22"/>
        </w:rPr>
        <w:t>191—50.80</w:t>
      </w:r>
      <w:r>
        <w:rPr>
          <w:rFonts w:ascii="Times New Roman" w:hAnsi="Times New Roman"/>
          <w:b/>
          <w:i w:val="false"/>
          <w:color w:val="000000"/>
          <w:sz w:val="22"/>
        </w:rPr>
        <w:t xml:space="preserve">(502) </w:t>
      </w:r>
      <w:r>
        <w:rPr>
          <w:rFonts w:ascii="Times New Roman" w:hAnsi="Times New Roman"/>
          <w:b/>
          <w:i w:val="false"/>
          <w:color w:val="000000"/>
          <w:sz w:val="22"/>
        </w:rPr>
        <w:t xml:space="preserve">Uniform limited offering exemption.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3741C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4/11/18</w:t>
      </w:r>
      <w:r>
        <w:rPr>
          <w:rFonts w:ascii="Times New Roman" w:hAnsi="Times New Roman"/>
          <w:b w:val="false"/>
          <w:i w:val="false"/>
          <w:color w:val="000000"/>
          <w:sz w:val="22"/>
        </w:rPr>
        <w:t xml:space="preserve">, effective 5/16/18. </w:t>
      </w:r>
    </w:p>
    <w:p>
      <w:pPr>
        <w:spacing w:before="0" w:after="0"/>
        <w:ind w:left="120"/>
        <w:jc w:val="both"/>
      </w:pPr>
      <w:r>
        <w:rPr>
          <w:rFonts w:ascii="Times New Roman" w:hAnsi="Times New Roman"/>
          <w:b/>
          <w:i w:val="false"/>
          <w:color w:val="000000"/>
          <w:sz w:val="22"/>
        </w:rPr>
        <w:t>191—50.81</w:t>
      </w:r>
      <w:r>
        <w:rPr>
          <w:rFonts w:ascii="Times New Roman" w:hAnsi="Times New Roman"/>
          <w:b/>
          <w:i w:val="false"/>
          <w:color w:val="000000"/>
          <w:sz w:val="22"/>
        </w:rPr>
        <w:t xml:space="preserve">(502) </w:t>
      </w:r>
      <w:r>
        <w:rPr>
          <w:rFonts w:ascii="Times New Roman" w:hAnsi="Times New Roman"/>
          <w:b/>
          <w:i w:val="false"/>
          <w:color w:val="000000"/>
          <w:sz w:val="22"/>
        </w:rPr>
        <w:t xml:space="preserve">Notice filings for Rule 506 offerings. </w:t>
      </w:r>
      <w:r>
        <w:rPr>
          <w:rFonts w:ascii="Times New Roman" w:hAnsi="Times New Roman"/>
          <w:b w:val="false"/>
          <w:i w:val="false"/>
          <w:color w:val="000000"/>
          <w:sz w:val="22"/>
        </w:rPr>
        <w:t xml:space="preserve">An issuer offering a security that is a covered security pursuant to Section 18(b)(4)(F) of the Securities Act of 1933 shall submit no later than 15 days after the first sale of such federal covered security in Iowa an electronic filing and fees through </w:t>
      </w:r>
      <w:hyperlink r:id="rId379">
        <w:r>
          <w:rPr>
            <w:rStyle w:val="Hyperlink"/>
            <w:rFonts w:ascii="Times New Roman" w:hAnsi="Times New Roman"/>
            <w:b w:val="false"/>
            <w:i w:val="false"/>
            <w:color w:val="000000"/>
            <w:sz w:val="22"/>
            <w:u w:val="single"/>
          </w:rPr>
          <w:t>www.efdnasaa.org</w:t>
        </w:r>
      </w:hyperlink>
      <w:r>
        <w:rPr>
          <w:rFonts w:ascii="Times New Roman" w:hAnsi="Times New Roman"/>
          <w:b w:val="false"/>
          <w:i w:val="false"/>
          <w:color w:val="000000"/>
          <w:sz w:val="22"/>
        </w:rPr>
        <w:t>, under “filers and issuers.”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0">
        <w:r>
          <w:rPr>
            <w:rStyle w:val="Hyperlink"/>
            <w:rFonts w:ascii="Times New Roman" w:hAnsi="Times New Roman"/>
            <w:b w:val="false"/>
            <w:i w:val="false"/>
            <w:color w:val="000000"/>
            <w:sz w:val="22"/>
          </w:rPr>
          <w:t>502.302(3)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2175C</w:t>
      </w:r>
      <w:r>
        <w:rPr>
          <w:rFonts w:ascii="Times New Roman" w:hAnsi="Times New Roman"/>
          <w:b w:val="false"/>
          <w:i w:val="false"/>
          <w:color w:val="000000"/>
          <w:sz w:val="16"/>
        </w:rPr>
        <w:t>, IAB 9/30/15,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2872C</w:t>
      </w:r>
      <w:r>
        <w:rPr>
          <w:rFonts w:ascii="Times New Roman" w:hAnsi="Times New Roman"/>
          <w:b w:val="false"/>
          <w:i w:val="false"/>
          <w:color w:val="000000"/>
          <w:sz w:val="16"/>
        </w:rPr>
        <w:t>, IAB 12/21/16, effective 1/25/17</w:t>
      </w:r>
      <w:r>
        <w:rPr>
          <w:rFonts w:ascii="Times New Roman" w:hAnsi="Times New Roman"/>
          <w:b w:val="false"/>
          <w:i w:val="false"/>
          <w:color w:val="000000"/>
          <w:sz w:val="16"/>
        </w:rPr>
        <w:t xml:space="preserve">; </w:t>
      </w:r>
      <w:r>
        <w:rPr>
          <w:rFonts w:ascii="Times New Roman" w:hAnsi="Times New Roman"/>
          <w:b/>
          <w:i w:val="false"/>
          <w:color w:val="000000"/>
          <w:sz w:val="16"/>
        </w:rPr>
        <w:t>ARC 3741C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191—50.82</w:t>
      </w:r>
      <w:r>
        <w:rPr>
          <w:rFonts w:ascii="Times New Roman" w:hAnsi="Times New Roman"/>
          <w:b/>
          <w:i w:val="false"/>
          <w:color w:val="000000"/>
          <w:sz w:val="22"/>
        </w:rPr>
        <w:t xml:space="preserve">(502) </w:t>
      </w:r>
      <w:r>
        <w:rPr>
          <w:rFonts w:ascii="Times New Roman" w:hAnsi="Times New Roman"/>
          <w:b/>
          <w:i w:val="false"/>
          <w:color w:val="000000"/>
          <w:sz w:val="22"/>
        </w:rPr>
        <w:t xml:space="preserve">Notice filings for agricultural cooperative associations.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50.82(1)</w:t>
      </w:r>
      <w:r>
        <w:rPr>
          <w:rFonts w:ascii="Times New Roman" w:hAnsi="Times New Roman"/>
          <w:b w:val="false"/>
          <w:i w:val="false"/>
          <w:color w:val="000000"/>
          <w:sz w:val="22"/>
        </w:rPr>
        <w:t> </w:t>
      </w:r>
      <w:r>
        <w:rPr>
          <w:rFonts w:ascii="Times New Roman" w:hAnsi="Times New Roman"/>
          <w:b w:val="false"/>
          <w:i w:val="false"/>
          <w:color w:val="000000"/>
          <w:sz w:val="22"/>
        </w:rPr>
        <w:t>An agricultural cooperative association issuing notes or other evidence of indebtedness shall notify the administrator in writing 30 days before the security is initially sold. Notification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issuer, the date of organization of the issuer, and the name of a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class of persons to whom the offer of securities will be made. If the offering is being made to certain persons or within a specified area, a description of such offerees or area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type of security to be offered which includes information regarding interest and interest payment schedules, default, redemption, reinvestment, and other facts regarding the rights of holders that the issuer deems material to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Financial statements of the agricultural cooperative association including a balance sheet as of the end of its most recent fiscal year, prepared under generally accepted accounting principles and accompanied by an independent auditor’s report and any other audited financial statements of the association that are available. However, if the filing by the agricultural cooperative association is made within 90 days of the end of its most recent fiscal year and current audited financial statements are not yet available, the filing may consist of an audited balance sheet and other available audited financial statements for the previous fiscal year, prepared under generally accepted accounting principles and accompanied by an independent auditor’s report. The agricultural cooperative association shall file an audited balance sheet and any other available audited financial statements for the most recent fiscal year end as soon as they become available, but in no event later than 90 days after the end of its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50.82(2)</w:t>
      </w:r>
      <w:r>
        <w:rPr>
          <w:rFonts w:ascii="Times New Roman" w:hAnsi="Times New Roman"/>
          <w:b w:val="false"/>
          <w:i w:val="false"/>
          <w:color w:val="000000"/>
          <w:sz w:val="22"/>
        </w:rPr>
        <w:t> </w:t>
      </w:r>
      <w:r>
        <w:rPr>
          <w:rFonts w:ascii="Times New Roman" w:hAnsi="Times New Roman"/>
          <w:b w:val="false"/>
          <w:i w:val="false"/>
          <w:color w:val="000000"/>
          <w:sz w:val="22"/>
        </w:rPr>
        <w:t>If, after the anniversary date of its initial notice filing, an agricultural cooperative association continues to issue notes or other evidence of indebtedness under its initial notice filing in order to maintain the exemption, the agricultural cooperative association shall on an annual basis file with the administrator an audited balance sheet and any other audited financial statements within 30 days of the anniversary of its initial notice filing. An agricultural cooperative association making its initial filing based upon a previous year’s audited financial statements because of the unavailability of current audited financial statements shall consider its anniversary date to be the date on which the cooperative filed the audited financial statements for the most recent fiscal year. An agricultural cooperative association not issuing notes or other evidence of indebtedness after an anniversary date of its initial filing is not required to make any further filing of financial information as a condition of qualifying for the exemption from registration.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1">
        <w:r>
          <w:rPr>
            <w:rStyle w:val="Hyperlink"/>
            <w:rFonts w:ascii="Times New Roman" w:hAnsi="Times New Roman"/>
            <w:b w:val="false"/>
            <w:i w:val="false"/>
            <w:color w:val="000000"/>
            <w:sz w:val="22"/>
          </w:rPr>
          <w:t>502.201</w:t>
        </w:r>
      </w:hyperlink>
      <w:r>
        <w:rPr>
          <w:rFonts w:ascii="Times New Roman" w:hAnsi="Times New Roman"/>
          <w:b w:val="false"/>
          <w:i w:val="false"/>
          <w:color w:val="000000"/>
          <w:sz w:val="22"/>
        </w:rPr>
        <w:t>(8B)</w:t>
      </w:r>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2175C</w:t>
      </w:r>
      <w:r>
        <w:rPr>
          <w:rFonts w:ascii="Times New Roman" w:hAnsi="Times New Roman"/>
          <w:b w:val="false"/>
          <w:i w:val="false"/>
          <w:color w:val="000000"/>
          <w:sz w:val="16"/>
        </w:rPr>
        <w:t>, IAB 9/30/15,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191—50.83</w:t>
      </w:r>
      <w:r>
        <w:rPr>
          <w:rFonts w:ascii="Times New Roman" w:hAnsi="Times New Roman"/>
          <w:b/>
          <w:i w:val="false"/>
          <w:color w:val="000000"/>
          <w:sz w:val="22"/>
        </w:rPr>
        <w:t xml:space="preserve">(502) </w:t>
      </w:r>
      <w:r>
        <w:rPr>
          <w:rFonts w:ascii="Times New Roman" w:hAnsi="Times New Roman"/>
          <w:b/>
          <w:i w:val="false"/>
          <w:color w:val="000000"/>
          <w:sz w:val="22"/>
        </w:rPr>
        <w:t xml:space="preserve">Unsolicited order 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50.83(1)</w:t>
      </w:r>
      <w:r>
        <w:rPr>
          <w:rFonts w:ascii="Times New Roman" w:hAnsi="Times New Roman"/>
          <w:b w:val="false"/>
          <w:i w:val="false"/>
          <w:color w:val="000000"/>
          <w:sz w:val="22"/>
        </w:rPr>
        <w:t> </w:t>
      </w:r>
      <w:r>
        <w:rPr>
          <w:rFonts w:ascii="Times New Roman" w:hAnsi="Times New Roman"/>
          <w:b w:val="false"/>
          <w:i w:val="false"/>
          <w:color w:val="000000"/>
          <w:sz w:val="22"/>
        </w:rPr>
        <w:t xml:space="preserve">Any unregistered broker-dealer effecting a transaction under an unsolicited order or offer to buy and claiming an exemption from registration based solely upon Iowa Code section </w:t>
      </w:r>
      <w:hyperlink r:id="rId382">
        <w:r>
          <w:rPr>
            <w:rStyle w:val="Hyperlink"/>
            <w:rFonts w:ascii="Times New Roman" w:hAnsi="Times New Roman"/>
            <w:b w:val="false"/>
            <w:i w:val="false"/>
            <w:color w:val="000000"/>
            <w:sz w:val="22"/>
          </w:rPr>
          <w:t>502.202(6)</w:t>
        </w:r>
      </w:hyperlink>
      <w:r>
        <w:rPr>
          <w:rFonts w:ascii="Times New Roman" w:hAnsi="Times New Roman"/>
          <w:b w:val="false"/>
          <w:i w:val="false"/>
          <w:color w:val="000000"/>
          <w:sz w:val="22"/>
        </w:rPr>
        <w:t xml:space="preserve"> shall obtain acknowledgment from the customer on or before the settlement date of the transaction that the transaction is unsolicited.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50.83(2)</w:t>
      </w:r>
      <w:r>
        <w:rPr>
          <w:rFonts w:ascii="Times New Roman" w:hAnsi="Times New Roman"/>
          <w:b w:val="false"/>
          <w:i w:val="false"/>
          <w:color w:val="000000"/>
          <w:sz w:val="22"/>
        </w:rPr>
        <w:t> </w:t>
      </w:r>
      <w:r>
        <w:rPr>
          <w:rFonts w:ascii="Times New Roman" w:hAnsi="Times New Roman"/>
          <w:b w:val="false"/>
          <w:i w:val="false"/>
          <w:color w:val="000000"/>
          <w:sz w:val="22"/>
        </w:rPr>
        <w:t>The acknowledgment shall take one of the following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confirmation statement, as required pursuant to subrule </w:t>
      </w:r>
      <w:hyperlink r:id="rId383">
        <w:r>
          <w:rPr>
            <w:rStyle w:val="Hyperlink"/>
            <w:rFonts w:ascii="Times New Roman" w:hAnsi="Times New Roman"/>
            <w:b w:val="false"/>
            <w:i w:val="false"/>
            <w:color w:val="000000"/>
            <w:sz w:val="22"/>
          </w:rPr>
          <w:t>50.83(1)</w:t>
        </w:r>
      </w:hyperlink>
      <w:r>
        <w:rPr>
          <w:rFonts w:ascii="Times New Roman" w:hAnsi="Times New Roman"/>
          <w:b w:val="false"/>
          <w:i w:val="false"/>
          <w:color w:val="000000"/>
          <w:sz w:val="22"/>
        </w:rPr>
        <w:t>, displaying in bold print on the face of the statement the words “Unsolicited Order, Notify Immediately if Otherwise”;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signed statement from the customer acknowledging that the order was unsolicited and containing the name of the customer, the name of the securities involved, the number of securities involved in the transaction, the purchase price of the securities, the transaction date, and the total dollar amount, including commissions paid, of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50.83(3)</w:t>
      </w:r>
      <w:r>
        <w:rPr>
          <w:rFonts w:ascii="Times New Roman" w:hAnsi="Times New Roman"/>
          <w:b w:val="false"/>
          <w:i w:val="false"/>
          <w:color w:val="000000"/>
          <w:sz w:val="22"/>
        </w:rPr>
        <w:t> </w:t>
      </w:r>
      <w:r>
        <w:rPr>
          <w:rFonts w:ascii="Times New Roman" w:hAnsi="Times New Roman"/>
          <w:b w:val="false"/>
          <w:i w:val="false"/>
          <w:color w:val="000000"/>
          <w:sz w:val="22"/>
        </w:rPr>
        <w:t>The customer will be presumed to have acknowledged that the transaction was unsolicited if the customer does not indicate otherwise on or before the settlement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50.83(4)</w:t>
      </w:r>
      <w:r>
        <w:rPr>
          <w:rFonts w:ascii="Times New Roman" w:hAnsi="Times New Roman"/>
          <w:b w:val="false"/>
          <w:i w:val="false"/>
          <w:color w:val="000000"/>
          <w:sz w:val="22"/>
        </w:rPr>
        <w:t> </w:t>
      </w:r>
      <w:r>
        <w:rPr>
          <w:rFonts w:ascii="Times New Roman" w:hAnsi="Times New Roman"/>
          <w:b w:val="false"/>
          <w:i w:val="false"/>
          <w:color w:val="000000"/>
          <w:sz w:val="22"/>
        </w:rPr>
        <w:t>A broker-dealer shall notify the administrator in writing that it is executing unsolicited orders in a security when both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More than six unsolicited orders or offers to buy such security are received during any three consecutive business days;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broker-dealer is relying solely upon the exemption provided by Iowa Code section </w:t>
      </w:r>
      <w:hyperlink r:id="rId384">
        <w:r>
          <w:rPr>
            <w:rStyle w:val="Hyperlink"/>
            <w:rFonts w:ascii="Times New Roman" w:hAnsi="Times New Roman"/>
            <w:b w:val="false"/>
            <w:i w:val="false"/>
            <w:color w:val="000000"/>
            <w:sz w:val="22"/>
          </w:rPr>
          <w:t>502.202(6)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5">
        <w:r>
          <w:rPr>
            <w:rStyle w:val="Hyperlink"/>
            <w:rFonts w:ascii="Times New Roman" w:hAnsi="Times New Roman"/>
            <w:b w:val="false"/>
            <w:i w:val="false"/>
            <w:color w:val="000000"/>
            <w:sz w:val="22"/>
          </w:rPr>
          <w:t>502.202(6)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191—50.84</w:t>
      </w:r>
      <w:r>
        <w:rPr>
          <w:rFonts w:ascii="Times New Roman" w:hAnsi="Times New Roman"/>
          <w:b/>
          <w:i w:val="false"/>
          <w:color w:val="000000"/>
          <w:sz w:val="22"/>
        </w:rPr>
        <w:t xml:space="preserve">(502) </w:t>
      </w:r>
      <w:r>
        <w:rPr>
          <w:rFonts w:ascii="Times New Roman" w:hAnsi="Times New Roman"/>
          <w:b/>
          <w:i w:val="false"/>
          <w:color w:val="000000"/>
          <w:sz w:val="22"/>
        </w:rPr>
        <w:t xml:space="preserve">Solicitation of interest 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50.84(1)</w:t>
      </w:r>
      <w:r>
        <w:rPr>
          <w:rFonts w:ascii="Times New Roman" w:hAnsi="Times New Roman"/>
          <w:b w:val="false"/>
          <w:i w:val="false"/>
          <w:color w:val="000000"/>
          <w:sz w:val="22"/>
        </w:rPr>
        <w:t> </w:t>
      </w:r>
      <w:r>
        <w:rPr>
          <w:rFonts w:ascii="Times New Roman" w:hAnsi="Times New Roman"/>
          <w:b w:val="false"/>
          <w:i w:val="false"/>
          <w:color w:val="000000"/>
          <w:sz w:val="22"/>
        </w:rPr>
        <w:t xml:space="preserve">An offer, but not a sale, of a security made by or on behalf of an issuer for the sole purpose of soliciting an indication of interest in receiving a prospectus (or its equivalent) for such security is exempt from registration pursuant to Iowa Code section </w:t>
      </w:r>
      <w:hyperlink r:id="rId386">
        <w:r>
          <w:rPr>
            <w:rStyle w:val="Hyperlink"/>
            <w:rFonts w:ascii="Times New Roman" w:hAnsi="Times New Roman"/>
            <w:b w:val="false"/>
            <w:i w:val="false"/>
            <w:color w:val="000000"/>
            <w:sz w:val="22"/>
          </w:rPr>
          <w:t>502.301</w:t>
        </w:r>
      </w:hyperlink>
      <w:r>
        <w:rPr>
          <w:rFonts w:ascii="Times New Roman" w:hAnsi="Times New Roman"/>
          <w:b w:val="false"/>
          <w:i w:val="false"/>
          <w:color w:val="000000"/>
          <w:sz w:val="22"/>
        </w:rPr>
        <w:t xml:space="preserv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issuer is or will be a business entity organized under the laws of one of the states or possessions of the United States or one of the provinces or territories of Canada, is engaged in or proposes to engage in a business other than petroleum exploration or production or mining or other extractive industries, and is not a blind pool offering or other offering for which the specific business or properties cannot now be described.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offerer intends to register the security in Iowa and conduct its offering pursuant to either Regulation A or Rule 504 of Regulation D, as promulgated by the SEC.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offerer files with the administrator a SOIF along with any other materials to be used to conduct solicitations of interest including, but not limited to, the script of any broadcast to be made and a copy of any notice to be published no less than ten business days prior to the initial solicitation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issuer files with the administrator all amendments to any materials filed pursuant to paragraph </w:t>
      </w:r>
      <w:r>
        <w:rPr>
          <w:rFonts w:ascii="Times New Roman" w:hAnsi="Times New Roman"/>
          <w:b w:val="false"/>
          <w:i/>
          <w:color w:val="000000"/>
          <w:sz w:val="22"/>
        </w:rPr>
        <w:t>“c”</w:t>
      </w:r>
      <w:r>
        <w:rPr>
          <w:rFonts w:ascii="Times New Roman" w:hAnsi="Times New Roman"/>
          <w:b w:val="false"/>
          <w:i w:val="false"/>
          <w:color w:val="000000"/>
          <w:sz w:val="22"/>
        </w:rPr>
        <w:t xml:space="preserve"> or additional materials it proposes to use in conducting solicitations of interest, except for materials provided to a particular investor solely pursuant to a request by that investor, no less than five business days prior to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offerer does not use any SOIF, script, advertisement, or other material which the administrator has ordered or notified the offerer may not be used for the purpose of solicitations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Except for scripted broadcasts and except to the extent necessary to obtain information needed to provide a SOIF, the offerer does not orally communicate with any prospective investor about the contemplated offering unless the investor is provided with the most current SOIF at or before the time of the communication or within five days after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offerer does not solicit or accept money or a commitment to purchase securities during the solicitation of interest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offerer does not make a sale until at least seven days after delivery to the purchaser of a final prospectus or delivery of a preliminary prospectus as provided by Iowa Code section </w:t>
      </w:r>
      <w:hyperlink r:id="rId387">
        <w:r>
          <w:rPr>
            <w:rStyle w:val="Hyperlink"/>
            <w:rFonts w:ascii="Times New Roman" w:hAnsi="Times New Roman"/>
            <w:b w:val="false"/>
            <w:i w:val="false"/>
            <w:color w:val="000000"/>
            <w:sz w:val="22"/>
          </w:rPr>
          <w:t>502.202(17)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50.84(2)</w:t>
      </w:r>
      <w:r>
        <w:rPr>
          <w:rFonts w:ascii="Times New Roman" w:hAnsi="Times New Roman"/>
          <w:b w:val="false"/>
          <w:i w:val="false"/>
          <w:color w:val="000000"/>
          <w:sz w:val="22"/>
        </w:rPr>
        <w:t> </w:t>
      </w:r>
      <w:r>
        <w:rPr>
          <w:rFonts w:ascii="Times New Roman" w:hAnsi="Times New Roman"/>
          <w:b w:val="false"/>
          <w:i w:val="false"/>
          <w:color w:val="000000"/>
          <w:sz w:val="22"/>
        </w:rPr>
        <w:t>Unless the offerer does not know, and in the exercise of reasonable care could not know, the exemption under this rule is not available for securities of an offerer, if any of the issuer’s officers, directors, promoters, or 10 percent shareholders: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filed a registration statement which is the subject of a current effective registration stop order entered under any federal or state securities law within five years prior to filing the SOIF.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been convicted within five years prior to filing the SOIF of any felony or misdemeanor regarding the offer, purchase or sale of any security or any felony involving fraud or deceit including, but not limited to, forgery, embezzlement, obtaining money under false pretenses, larceny, or conspiracy to defraud.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Are currently subject to any federal or state administrative enforcement order or judgment entered by any state securities administrator or the SEC within five years prior to filing the SOIF in which fraud or deceit, including, but not limited to, the making of untrue statements of material facts and omitting to state material facts, was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Are subject to any federal or state administrative order or judgment prohibiting, denying, or revoking the use of any exemption from registration regarding the offer, purchase or sale of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Are currently subject to any order, judgment, or decree of any court of competent jurisdiction entered within five years prior to filing the SOIF temporarily, preliminarily, or permanently restraining or enjoining the person or entity from engaging in or continuing any conduct or practice regarding the purchase or sale of any security or the making of any false filing with any state.</w:t>
      </w:r>
    </w:p>
    <w:p>
      <w:pPr>
        <w:spacing w:before="0" w:after="0"/>
        <w:ind w:left="120"/>
        <w:jc w:val="both"/>
      </w:pPr>
      <w:r>
        <w:rPr>
          <w:rFonts w:ascii="Times New Roman" w:hAnsi="Times New Roman"/>
          <w:b w:val="false"/>
          <w:i w:val="false"/>
          <w:color w:val="000000"/>
          <w:sz w:val="22"/>
        </w:rPr>
        <w:t>The disqualifications listed in this subrule shall not apply if the person or entity subject to the disqualification is licensed or registered to conduct securities-related business in the state in which the administrative order or judgment was entered against the person or entity, or if the broker-dealer employing the person or entity is licensed or registered in Iowa and the Form BD filed with the administrator discloses the order, conviction, judgment, or decree. No person disqualified under this subrule may act in a capacity other than that for which the person is licensed or registered. Any disqualification caused by this subrule is automatically waived if the agency creating the disqualification determines for good cause shown that the exemption should not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failure to comply with a term, condition or requirement of this rule shall not result in the loss of the exemption from the requirements of Iowa Code section </w:t>
      </w:r>
      <w:hyperlink r:id="rId388">
        <w:r>
          <w:rPr>
            <w:rStyle w:val="Hyperlink"/>
            <w:rFonts w:ascii="Times New Roman" w:hAnsi="Times New Roman"/>
            <w:b w:val="false"/>
            <w:i w:val="false"/>
            <w:color w:val="000000"/>
            <w:sz w:val="22"/>
          </w:rPr>
          <w:t>502.301</w:t>
        </w:r>
      </w:hyperlink>
      <w:r>
        <w:rPr>
          <w:rFonts w:ascii="Times New Roman" w:hAnsi="Times New Roman"/>
          <w:b w:val="false"/>
          <w:i w:val="false"/>
          <w:color w:val="000000"/>
          <w:sz w:val="22"/>
        </w:rPr>
        <w:t xml:space="preserve"> for an offer to a particular individual or entity if the offerer establishes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failure to comply did not pertain to a term, condition or requirement directly intended to protect that particular individual or entity;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failure to comply was insignificant regarding the offering as a whole;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good-faith and reasonable attempt was made to comply with all applicable terms, conditions and requirements of this rule.</w:t>
      </w:r>
    </w:p>
    <w:p>
      <w:pPr>
        <w:spacing w:before="0" w:after="0"/>
        <w:ind w:left="120"/>
        <w:jc w:val="both"/>
      </w:pPr>
      <w:r>
        <w:rPr>
          <w:rFonts w:ascii="Times New Roman" w:hAnsi="Times New Roman"/>
          <w:b w:val="false"/>
          <w:i w:val="false"/>
          <w:color w:val="000000"/>
          <w:sz w:val="22"/>
        </w:rPr>
        <w:t xml:space="preserve">Where an exemption is established only through reliance upon subrule </w:t>
      </w:r>
      <w:hyperlink r:id="rId389">
        <w:r>
          <w:rPr>
            <w:rStyle w:val="Hyperlink"/>
            <w:rFonts w:ascii="Times New Roman" w:hAnsi="Times New Roman"/>
            <w:b w:val="false"/>
            <w:i w:val="false"/>
            <w:color w:val="000000"/>
            <w:sz w:val="22"/>
          </w:rPr>
          <w:t>50.84(2)</w:t>
        </w:r>
      </w:hyperlink>
      <w:r>
        <w:rPr>
          <w:rFonts w:ascii="Times New Roman" w:hAnsi="Times New Roman"/>
          <w:b w:val="false"/>
          <w:i w:val="false"/>
          <w:color w:val="000000"/>
          <w:sz w:val="22"/>
        </w:rPr>
        <w:t xml:space="preserve">, the failure to comply is still actionable as a violation of the Act by the administrator under Iowa Code section </w:t>
      </w:r>
      <w:hyperlink r:id="rId390">
        <w:r>
          <w:rPr>
            <w:rStyle w:val="Hyperlink"/>
            <w:rFonts w:ascii="Times New Roman" w:hAnsi="Times New Roman"/>
            <w:b w:val="false"/>
            <w:i w:val="false"/>
            <w:color w:val="000000"/>
            <w:sz w:val="22"/>
          </w:rPr>
          <w:t>502.603</w:t>
        </w:r>
      </w:hyperlink>
      <w:r>
        <w:rPr>
          <w:rFonts w:ascii="Times New Roman" w:hAnsi="Times New Roman"/>
          <w:b w:val="false"/>
          <w:i w:val="false"/>
          <w:color w:val="000000"/>
          <w:sz w:val="22"/>
        </w:rPr>
        <w:t xml:space="preserve"> or </w:t>
      </w:r>
      <w:hyperlink r:id="rId391">
        <w:r>
          <w:rPr>
            <w:rStyle w:val="Hyperlink"/>
            <w:rFonts w:ascii="Times New Roman" w:hAnsi="Times New Roman"/>
            <w:b w:val="false"/>
            <w:i w:val="false"/>
            <w:color w:val="000000"/>
            <w:sz w:val="22"/>
          </w:rPr>
          <w:t>502.604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50.84(4)</w:t>
      </w:r>
      <w:r>
        <w:rPr>
          <w:rFonts w:ascii="Times New Roman" w:hAnsi="Times New Roman"/>
          <w:b w:val="false"/>
          <w:i w:val="false"/>
          <w:color w:val="000000"/>
          <w:sz w:val="22"/>
        </w:rPr>
        <w:t> </w:t>
      </w:r>
      <w:r>
        <w:rPr>
          <w:rFonts w:ascii="Times New Roman" w:hAnsi="Times New Roman"/>
          <w:b w:val="false"/>
          <w:i w:val="false"/>
          <w:color w:val="000000"/>
          <w:sz w:val="22"/>
        </w:rPr>
        <w:t>The offerer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published notice or script for broadcast and any printed material delivered apart from the SOIF, unless a SOIF containing the disclosures described below was previously delivered to the person, shall contain, at a minimum, the identity of the chief executive officer of the issuer, a brief and general description of the issuer’s business and products, and the following disclosure printed in capital letters and boldface type at least as large as that used in the body of the printed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14"/>
        </w:rPr>
        <w:t>NO MONEY OR OTHER CONSIDERATION IS BEING SOLICITED AND NONE WILL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14"/>
        </w:rPr>
        <w:t>NO SALES OF SECURITIES WILL BE MADE OR A COMMITMENT TO PURCHASE ACCEPTED UNTIL THE DELIVERY OF AN OFFERING CIRCULAR THAT INCLUDES COMPLETE INFORMATION ABOUT THE ISSUER AND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14"/>
        </w:rPr>
        <w:t>AN INDICATION OF INTEREST MADE BY A PROSPECTIVE INVESTOR INVOLVES NO OBLIGATION OR COMMITMENT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14"/>
        </w:rPr>
        <w:t>THIS OFFER IS BEING MADE PURSUANT TO AN EXEMPTION UNDER FEDERAL AND STATE SECURITIES LAWS. NO SALE MAY BE MADE UNTIL THE OFFERING STATEMENT IS QUALIFIED BY THE U.S. SECURITIES AND EXCHANGE COMMISSION AND IS REGISTERED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communications with prospective investors made in reliance upon this rule shall cease after a registration statement is filed with the administrator, and no sale may be made until at least 20 calendar days after the last communication made in reliance upon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preliminary prospectus may be used with an offering for which indications of interest have been solicited under this rule only if the offering is conducted by a registered broker-dealer.</w:t>
      </w:r>
    </w:p>
    <w:p>
      <w:pPr>
        <w:spacing w:before="0" w:after="0"/>
        <w:ind w:left="120"/>
        <w:jc w:val="both"/>
      </w:pPr>
      <w:r>
        <w:rPr>
          <w:rFonts w:ascii="Times New Roman" w:hAnsi="Times New Roman"/>
          <w:b w:val="false"/>
          <w:i w:val="false"/>
          <w:color w:val="000000"/>
          <w:sz w:val="22"/>
        </w:rPr>
        <w:t xml:space="preserve">Failure to comply with the requirements of this subrule shall not result in losing the exemption from the requirements of Iowa Code section </w:t>
      </w:r>
      <w:hyperlink r:id="rId392">
        <w:r>
          <w:rPr>
            <w:rStyle w:val="Hyperlink"/>
            <w:rFonts w:ascii="Times New Roman" w:hAnsi="Times New Roman"/>
            <w:b w:val="false"/>
            <w:i w:val="false"/>
            <w:color w:val="000000"/>
            <w:sz w:val="22"/>
          </w:rPr>
          <w:t>502.301</w:t>
        </w:r>
      </w:hyperlink>
      <w:r>
        <w:rPr>
          <w:rFonts w:ascii="Times New Roman" w:hAnsi="Times New Roman"/>
          <w:b w:val="false"/>
          <w:i w:val="false"/>
          <w:color w:val="000000"/>
          <w:sz w:val="22"/>
        </w:rPr>
        <w:t xml:space="preserve">, but is a violation of the Act, is actionable by the administrator under Iowa Code section </w:t>
      </w:r>
      <w:hyperlink r:id="rId393">
        <w:r>
          <w:rPr>
            <w:rStyle w:val="Hyperlink"/>
            <w:rFonts w:ascii="Times New Roman" w:hAnsi="Times New Roman"/>
            <w:b w:val="false"/>
            <w:i w:val="false"/>
            <w:color w:val="000000"/>
            <w:sz w:val="22"/>
          </w:rPr>
          <w:t>502.603</w:t>
        </w:r>
      </w:hyperlink>
      <w:r>
        <w:rPr>
          <w:rFonts w:ascii="Times New Roman" w:hAnsi="Times New Roman"/>
          <w:b w:val="false"/>
          <w:i w:val="false"/>
          <w:color w:val="000000"/>
          <w:sz w:val="22"/>
        </w:rPr>
        <w:t xml:space="preserve"> or </w:t>
      </w:r>
      <w:hyperlink r:id="rId394">
        <w:r>
          <w:rPr>
            <w:rStyle w:val="Hyperlink"/>
            <w:rFonts w:ascii="Times New Roman" w:hAnsi="Times New Roman"/>
            <w:b w:val="false"/>
            <w:i w:val="false"/>
            <w:color w:val="000000"/>
            <w:sz w:val="22"/>
          </w:rPr>
          <w:t>502.604</w:t>
        </w:r>
      </w:hyperlink>
      <w:r>
        <w:rPr>
          <w:rFonts w:ascii="Times New Roman" w:hAnsi="Times New Roman"/>
          <w:b w:val="false"/>
          <w:i w:val="false"/>
          <w:color w:val="000000"/>
          <w:sz w:val="22"/>
        </w:rPr>
        <w:t>, and constitutes grounds for denying or revoking the exemption for specific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50.84(5)</w:t>
      </w:r>
      <w:r>
        <w:rPr>
          <w:rFonts w:ascii="Times New Roman" w:hAnsi="Times New Roman"/>
          <w:b w:val="false"/>
          <w:i w:val="false"/>
          <w:color w:val="000000"/>
          <w:sz w:val="22"/>
        </w:rPr>
        <w:t> </w:t>
      </w:r>
      <w:r>
        <w:rPr>
          <w:rFonts w:ascii="Times New Roman" w:hAnsi="Times New Roman"/>
          <w:b w:val="false"/>
          <w:i w:val="false"/>
          <w:color w:val="000000"/>
          <w:sz w:val="22"/>
        </w:rPr>
        <w:t>Upon written application by the offerer and for good cause shown, the administrator may waive any condition of the solicitation of interest exemption. Neither compliance nor attempted compliance with this rule, nor the absence of any objection or order by the administrator regarding an offer of securities made under this rule, constitutes a waiver of any condition of the rule or a confirmation by the administrator of the availability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50.84(6)</w:t>
      </w:r>
      <w:r>
        <w:rPr>
          <w:rFonts w:ascii="Times New Roman" w:hAnsi="Times New Roman"/>
          <w:b w:val="false"/>
          <w:i w:val="false"/>
          <w:color w:val="000000"/>
          <w:sz w:val="22"/>
        </w:rPr>
        <w:t> </w:t>
      </w:r>
      <w:r>
        <w:rPr>
          <w:rFonts w:ascii="Times New Roman" w:hAnsi="Times New Roman"/>
          <w:b w:val="false"/>
          <w:i w:val="false"/>
          <w:color w:val="000000"/>
          <w:sz w:val="22"/>
        </w:rPr>
        <w:t xml:space="preserve">Offers made in reliance upon this rule shall not be integrated with subsequent offers or sales of securities registered in Iowa. Issuers on whose behalf indications of interest are solicited under this rule may not make offers or sales in reliance upon Iowa Code section </w:t>
      </w:r>
      <w:hyperlink r:id="rId395">
        <w:r>
          <w:rPr>
            <w:rStyle w:val="Hyperlink"/>
            <w:rFonts w:ascii="Times New Roman" w:hAnsi="Times New Roman"/>
            <w:b w:val="false"/>
            <w:i w:val="false"/>
            <w:color w:val="000000"/>
            <w:sz w:val="22"/>
          </w:rPr>
          <w:t>502.202(14)</w:t>
        </w:r>
      </w:hyperlink>
      <w:r>
        <w:rPr>
          <w:rFonts w:ascii="Times New Roman" w:hAnsi="Times New Roman"/>
          <w:b w:val="false"/>
          <w:i w:val="false"/>
          <w:color w:val="000000"/>
          <w:sz w:val="22"/>
        </w:rPr>
        <w:t xml:space="preserve"> or rule </w:t>
      </w:r>
      <w:hyperlink r:id="rId396">
        <w:r>
          <w:rPr>
            <w:rStyle w:val="Hyperlink"/>
            <w:rFonts w:ascii="Times New Roman" w:hAnsi="Times New Roman"/>
            <w:b w:val="false"/>
            <w:i w:val="false"/>
            <w:color w:val="000000"/>
            <w:sz w:val="22"/>
          </w:rPr>
          <w:t>191—50.80(502)</w:t>
        </w:r>
      </w:hyperlink>
      <w:r>
        <w:rPr>
          <w:rFonts w:ascii="Times New Roman" w:hAnsi="Times New Roman"/>
          <w:b w:val="false"/>
          <w:i w:val="false"/>
          <w:color w:val="000000"/>
          <w:sz w:val="22"/>
        </w:rPr>
        <w:t xml:space="preserve"> until at least 12 months after the last communication with a prospective investor made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50.84(7)</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limits the application of Iowa Code section </w:t>
      </w:r>
      <w:hyperlink r:id="rId397">
        <w:r>
          <w:rPr>
            <w:rStyle w:val="Hyperlink"/>
            <w:rFonts w:ascii="Times New Roman" w:hAnsi="Times New Roman"/>
            <w:b w:val="false"/>
            <w:i w:val="false"/>
            <w:color w:val="000000"/>
            <w:sz w:val="22"/>
          </w:rPr>
          <w:t>502.401</w:t>
        </w:r>
      </w:hyperlink>
      <w:r>
        <w:rPr>
          <w:rFonts w:ascii="Times New Roman" w:hAnsi="Times New Roman"/>
          <w:b w:val="false"/>
          <w:i w:val="false"/>
          <w:color w:val="000000"/>
          <w:sz w:val="22"/>
        </w:rPr>
        <w:t xml:space="preserve">, </w:t>
      </w:r>
      <w:hyperlink r:id="rId398">
        <w:r>
          <w:rPr>
            <w:rStyle w:val="Hyperlink"/>
            <w:rFonts w:ascii="Times New Roman" w:hAnsi="Times New Roman"/>
            <w:b w:val="false"/>
            <w:i w:val="false"/>
            <w:color w:val="000000"/>
            <w:sz w:val="22"/>
          </w:rPr>
          <w:t>502.402</w:t>
        </w:r>
      </w:hyperlink>
      <w:r>
        <w:rPr>
          <w:rFonts w:ascii="Times New Roman" w:hAnsi="Times New Roman"/>
          <w:b w:val="false"/>
          <w:i w:val="false"/>
          <w:color w:val="000000"/>
          <w:sz w:val="22"/>
        </w:rPr>
        <w:t xml:space="preserve">, </w:t>
      </w:r>
      <w:hyperlink r:id="rId399">
        <w:r>
          <w:rPr>
            <w:rStyle w:val="Hyperlink"/>
            <w:rFonts w:ascii="Times New Roman" w:hAnsi="Times New Roman"/>
            <w:b w:val="false"/>
            <w:i w:val="false"/>
            <w:color w:val="000000"/>
            <w:sz w:val="22"/>
          </w:rPr>
          <w:t>502.501</w:t>
        </w:r>
      </w:hyperlink>
      <w:r>
        <w:rPr>
          <w:rFonts w:ascii="Times New Roman" w:hAnsi="Times New Roman"/>
          <w:b w:val="false"/>
          <w:i w:val="false"/>
          <w:color w:val="000000"/>
          <w:sz w:val="22"/>
        </w:rPr>
        <w:t xml:space="preserve"> or </w:t>
      </w:r>
      <w:hyperlink r:id="rId400">
        <w:r>
          <w:rPr>
            <w:rStyle w:val="Hyperlink"/>
            <w:rFonts w:ascii="Times New Roman" w:hAnsi="Times New Roman"/>
            <w:b w:val="false"/>
            <w:i w:val="false"/>
            <w:color w:val="000000"/>
            <w:sz w:val="22"/>
          </w:rPr>
          <w:t>502.509</w:t>
        </w:r>
      </w:hyperlink>
      <w:r>
        <w:rPr>
          <w:rFonts w:ascii="Times New Roman" w:hAnsi="Times New Roman"/>
          <w:b w:val="false"/>
          <w:i w:val="false"/>
          <w:color w:val="000000"/>
          <w:sz w:val="22"/>
        </w:rPr>
        <w:t xml:space="preserve"> to offers made in reliance upon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50.84(8)</w:t>
      </w:r>
      <w:r>
        <w:rPr>
          <w:rFonts w:ascii="Times New Roman" w:hAnsi="Times New Roman"/>
          <w:b w:val="false"/>
          <w:i w:val="false"/>
          <w:color w:val="000000"/>
          <w:sz w:val="22"/>
        </w:rPr>
        <w:t> </w:t>
      </w:r>
      <w:r>
        <w:rPr>
          <w:rFonts w:ascii="Times New Roman" w:hAnsi="Times New Roman"/>
          <w:b w:val="false"/>
          <w:i w:val="false"/>
          <w:color w:val="000000"/>
          <w:sz w:val="22"/>
        </w:rPr>
        <w:t>The administrator may review the materials filed under this rule. Materials filed, if reviewed, will be judged under antifraud principles. Any discussion in the offering documents of the potential rewards of the investment must be balanced by a discussion of the possible risks.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50.84(9)</w:t>
      </w:r>
      <w:r>
        <w:rPr>
          <w:rFonts w:ascii="Times New Roman" w:hAnsi="Times New Roman"/>
          <w:b w:val="false"/>
          <w:i w:val="false"/>
          <w:color w:val="000000"/>
          <w:sz w:val="22"/>
        </w:rPr>
        <w:t> </w:t>
      </w:r>
      <w:r>
        <w:rPr>
          <w:rFonts w:ascii="Times New Roman" w:hAnsi="Times New Roman"/>
          <w:b w:val="false"/>
          <w:i w:val="false"/>
          <w:color w:val="000000"/>
          <w:sz w:val="22"/>
        </w:rPr>
        <w:t xml:space="preserve">Any offer effected in violation of this rule may constitute an unlawful offer of an unregistered security for which civil liability attaches under Iowa Code section </w:t>
      </w:r>
      <w:hyperlink r:id="rId401">
        <w:r>
          <w:rPr>
            <w:rStyle w:val="Hyperlink"/>
            <w:rFonts w:ascii="Times New Roman" w:hAnsi="Times New Roman"/>
            <w:b w:val="false"/>
            <w:i w:val="false"/>
            <w:color w:val="000000"/>
            <w:sz w:val="22"/>
          </w:rPr>
          <w:t>502.501</w:t>
        </w:r>
      </w:hyperlink>
      <w:r>
        <w:rPr>
          <w:rFonts w:ascii="Times New Roman" w:hAnsi="Times New Roman"/>
          <w:b w:val="false"/>
          <w:i w:val="false"/>
          <w:color w:val="000000"/>
          <w:sz w:val="22"/>
        </w:rPr>
        <w:t xml:space="preserve"> et seq. Any misrepresentation or omission may also give rise to civil liability under the Act. A subsequent registration of the security does not cure the previous unlawful offer. Only a rescission offer made in compliance with the Act can effect a cure.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2">
        <w:r>
          <w:rPr>
            <w:rStyle w:val="Hyperlink"/>
            <w:rFonts w:ascii="Times New Roman" w:hAnsi="Times New Roman"/>
            <w:b w:val="false"/>
            <w:i w:val="false"/>
            <w:color w:val="000000"/>
            <w:sz w:val="22"/>
          </w:rPr>
          <w:t>502.202(17)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191—50.85</w:t>
      </w:r>
      <w:r>
        <w:rPr>
          <w:rFonts w:ascii="Times New Roman" w:hAnsi="Times New Roman"/>
          <w:b/>
          <w:i w:val="false"/>
          <w:color w:val="000000"/>
          <w:sz w:val="22"/>
        </w:rPr>
        <w:t xml:space="preserve">(502) </w:t>
      </w:r>
      <w:r>
        <w:rPr>
          <w:rFonts w:ascii="Times New Roman" w:hAnsi="Times New Roman"/>
          <w:b/>
          <w:i w:val="false"/>
          <w:color w:val="000000"/>
          <w:sz w:val="22"/>
        </w:rPr>
        <w:t xml:space="preserve">Internet offers exemption. </w:t>
      </w:r>
      <w:r>
        <w:rPr>
          <w:rFonts w:ascii="Times New Roman" w:hAnsi="Times New Roman"/>
          <w:b w:val="false"/>
          <w:i w:val="false"/>
          <w:color w:val="000000"/>
          <w:sz w:val="22"/>
        </w:rPr>
        <w:t xml:space="preserve">Offers of securities made by, or on behalf of, issuers on or through the Internet are exempt from registration pursuant to Iowa Code sections </w:t>
      </w:r>
      <w:hyperlink r:id="rId403">
        <w:r>
          <w:rPr>
            <w:rStyle w:val="Hyperlink"/>
            <w:rFonts w:ascii="Times New Roman" w:hAnsi="Times New Roman"/>
            <w:b w:val="false"/>
            <w:i w:val="false"/>
            <w:color w:val="000000"/>
            <w:sz w:val="22"/>
          </w:rPr>
          <w:t>502.301</w:t>
        </w:r>
      </w:hyperlink>
      <w:r>
        <w:rPr>
          <w:rFonts w:ascii="Times New Roman" w:hAnsi="Times New Roman"/>
          <w:b w:val="false"/>
          <w:i w:val="false"/>
          <w:color w:val="000000"/>
          <w:sz w:val="22"/>
        </w:rPr>
        <w:t xml:space="preserve"> and </w:t>
      </w:r>
      <w:hyperlink r:id="rId404">
        <w:r>
          <w:rPr>
            <w:rStyle w:val="Hyperlink"/>
            <w:rFonts w:ascii="Times New Roman" w:hAnsi="Times New Roman"/>
            <w:b w:val="false"/>
            <w:i w:val="false"/>
            <w:color w:val="000000"/>
            <w:sz w:val="22"/>
          </w:rPr>
          <w:t>502.504</w:t>
        </w:r>
      </w:hyperlink>
      <w:r>
        <w:rPr>
          <w:rFonts w:ascii="Times New Roman" w:hAnsi="Times New Roman"/>
          <w:b w:val="false"/>
          <w:i w:val="false"/>
          <w:color w:val="000000"/>
          <w:sz w:val="22"/>
        </w:rPr>
        <w:t xml:space="preserve">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Internet offer states, directly or indirectly, that the securities are not being offered to state residents;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Internet offer is not specifically directed to any person in Iowa by, or on behalf of, the issuer of the securities;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No sales of the issuer’s securities are made in Iowa as a result of the Internet offering until such time as the securities being offered have been registered under Iowa Code sections </w:t>
      </w:r>
      <w:hyperlink r:id="rId405">
        <w:r>
          <w:rPr>
            <w:rStyle w:val="Hyperlink"/>
            <w:rFonts w:ascii="Times New Roman" w:hAnsi="Times New Roman"/>
            <w:b w:val="false"/>
            <w:i w:val="false"/>
            <w:color w:val="000000"/>
            <w:sz w:val="22"/>
          </w:rPr>
          <w:t>502.301</w:t>
        </w:r>
      </w:hyperlink>
      <w:r>
        <w:rPr>
          <w:rFonts w:ascii="Times New Roman" w:hAnsi="Times New Roman"/>
          <w:b w:val="false"/>
          <w:i w:val="false"/>
          <w:color w:val="000000"/>
          <w:sz w:val="22"/>
        </w:rPr>
        <w:t xml:space="preserve"> and </w:t>
      </w:r>
      <w:hyperlink r:id="rId406">
        <w:r>
          <w:rPr>
            <w:rStyle w:val="Hyperlink"/>
            <w:rFonts w:ascii="Times New Roman" w:hAnsi="Times New Roman"/>
            <w:b w:val="false"/>
            <w:i w:val="false"/>
            <w:color w:val="000000"/>
            <w:sz w:val="22"/>
          </w:rPr>
          <w:t>502.504</w:t>
        </w:r>
      </w:hyperlink>
      <w:r>
        <w:rPr>
          <w:rFonts w:ascii="Times New Roman" w:hAnsi="Times New Roman"/>
          <w:b w:val="false"/>
          <w:i w:val="false"/>
          <w:color w:val="000000"/>
          <w:sz w:val="22"/>
        </w:rPr>
        <w:t xml:space="preserve">, and a final prospectus or Form U-7 is delivered to Iowa investors prior to such sales, or the issuer qualifies for the exemption provided in Iowa Code section </w:t>
      </w:r>
      <w:hyperlink r:id="rId407">
        <w:r>
          <w:rPr>
            <w:rStyle w:val="Hyperlink"/>
            <w:rFonts w:ascii="Times New Roman" w:hAnsi="Times New Roman"/>
            <w:b w:val="false"/>
            <w:i w:val="false"/>
            <w:color w:val="000000"/>
            <w:sz w:val="22"/>
          </w:rPr>
          <w:t>502.202(13)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8">
        <w:r>
          <w:rPr>
            <w:rStyle w:val="Hyperlink"/>
            <w:rFonts w:ascii="Times New Roman" w:hAnsi="Times New Roman"/>
            <w:b w:val="false"/>
            <w:i w:val="false"/>
            <w:color w:val="000000"/>
            <w:sz w:val="22"/>
          </w:rPr>
          <w:t>502.203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191—50.86</w:t>
      </w:r>
      <w:r>
        <w:rPr>
          <w:rFonts w:ascii="Times New Roman" w:hAnsi="Times New Roman"/>
          <w:b/>
          <w:i w:val="false"/>
          <w:color w:val="000000"/>
          <w:sz w:val="22"/>
        </w:rPr>
        <w:t xml:space="preserve">(502) </w:t>
      </w:r>
      <w:r>
        <w:rPr>
          <w:rFonts w:ascii="Times New Roman" w:hAnsi="Times New Roman"/>
          <w:b/>
          <w:i w:val="false"/>
          <w:color w:val="000000"/>
          <w:sz w:val="22"/>
        </w:rPr>
        <w:t xml:space="preserve">Denial, suspension, revocation, condition, or limitation of limited offering transaction exemption. </w:t>
      </w:r>
      <w:r>
        <w:rPr>
          <w:rFonts w:ascii="Times New Roman" w:hAnsi="Times New Roman"/>
          <w:b w:val="false"/>
          <w:i w:val="false"/>
          <w:color w:val="000000"/>
          <w:sz w:val="22"/>
        </w:rPr>
        <w:t xml:space="preserve">The administrator shall view the following as reasons for entering an order under Iowa Code section </w:t>
      </w:r>
      <w:hyperlink r:id="rId409">
        <w:r>
          <w:rPr>
            <w:rStyle w:val="Hyperlink"/>
            <w:rFonts w:ascii="Times New Roman" w:hAnsi="Times New Roman"/>
            <w:b w:val="false"/>
            <w:i w:val="false"/>
            <w:color w:val="000000"/>
            <w:sz w:val="22"/>
          </w:rPr>
          <w:t>502.204</w:t>
        </w:r>
      </w:hyperlink>
      <w:r>
        <w:rPr>
          <w:rFonts w:ascii="Times New Roman" w:hAnsi="Times New Roman"/>
          <w:b w:val="false"/>
          <w:i w:val="false"/>
          <w:color w:val="000000"/>
          <w:sz w:val="22"/>
        </w:rPr>
        <w:t xml:space="preserve"> to deny or revoke an exemption provided under Iowa Code section </w:t>
      </w:r>
      <w:hyperlink r:id="rId410">
        <w:r>
          <w:rPr>
            <w:rStyle w:val="Hyperlink"/>
            <w:rFonts w:ascii="Times New Roman" w:hAnsi="Times New Roman"/>
            <w:b w:val="false"/>
            <w:i w:val="false"/>
            <w:color w:val="000000"/>
            <w:sz w:val="22"/>
          </w:rPr>
          <w:t>502.202(14)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public advertisement is used to promote the sale of securities for which such exemption is claimed;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offering is part of a registered offering under the Securities Act of 1933.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1">
        <w:r>
          <w:rPr>
            <w:rStyle w:val="Hyperlink"/>
            <w:rFonts w:ascii="Times New Roman" w:hAnsi="Times New Roman"/>
            <w:b w:val="false"/>
            <w:i w:val="false"/>
            <w:color w:val="000000"/>
            <w:sz w:val="22"/>
          </w:rPr>
          <w:t>502.204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191—50.87</w:t>
      </w:r>
      <w:r>
        <w:rPr>
          <w:rFonts w:ascii="Times New Roman" w:hAnsi="Times New Roman"/>
          <w:b/>
          <w:i w:val="false"/>
          <w:color w:val="000000"/>
          <w:sz w:val="22"/>
        </w:rPr>
        <w:t xml:space="preserve">(502) </w:t>
      </w:r>
      <w:r>
        <w:rPr>
          <w:rFonts w:ascii="Times New Roman" w:hAnsi="Times New Roman"/>
          <w:b/>
          <w:i w:val="false"/>
          <w:color w:val="000000"/>
          <w:sz w:val="22"/>
        </w:rPr>
        <w:t xml:space="preserve">Nonprofit securities 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50.87(1)</w:t>
      </w:r>
      <w:r>
        <w:rPr>
          <w:rFonts w:ascii="Times New Roman" w:hAnsi="Times New Roman"/>
          <w:b w:val="false"/>
          <w:i w:val="false"/>
          <w:color w:val="000000"/>
          <w:sz w:val="22"/>
        </w:rPr>
        <w:t> </w:t>
      </w:r>
      <w:r>
        <w:rPr>
          <w:rFonts w:ascii="Times New Roman" w:hAnsi="Times New Roman"/>
          <w:b w:val="false"/>
          <w:i w:val="false"/>
          <w:color w:val="000000"/>
          <w:sz w:val="22"/>
        </w:rPr>
        <w:t xml:space="preserve">Church extension funds or similar organizations making continuous offerings shall be exempt pursuant to Iowa Code section </w:t>
      </w:r>
      <w:hyperlink r:id="rId412">
        <w:r>
          <w:rPr>
            <w:rStyle w:val="Hyperlink"/>
            <w:rFonts w:ascii="Times New Roman" w:hAnsi="Times New Roman"/>
            <w:b w:val="false"/>
            <w:i w:val="false"/>
            <w:color w:val="000000"/>
            <w:sz w:val="22"/>
          </w:rPr>
          <w:t>502.201(7)</w:t>
        </w:r>
      </w:hyperlink>
      <w:r>
        <w:rPr>
          <w:rFonts w:ascii="Times New Roman" w:hAnsi="Times New Roman"/>
          <w:b w:val="false"/>
          <w:i/>
          <w:color w:val="000000"/>
          <w:sz w:val="22"/>
        </w:rPr>
        <w:t>“b”</w:t>
      </w:r>
      <w:r>
        <w:rPr>
          <w:rFonts w:ascii="Times New Roman" w:hAnsi="Times New Roman"/>
          <w:b w:val="false"/>
          <w:i w:val="false"/>
          <w:color w:val="000000"/>
          <w:sz w:val="22"/>
        </w:rPr>
        <w:t xml:space="preserve"> provided the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Applies for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Files an offering circular and otherwise substantially complies with the NASAA Statement of Policy Regarding Church Extension Funds as adopted by the NASAA membership on April 17, 1994, and amended by the NASAA membership on April 18, 2004, and published in CCH NASAA Reports at paragraph 1951;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Files all sales and advertising literature;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Files a consent to service of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disallowed by the administrator within 15 days after the applicant has filed the items required by paragraphs </w:t>
      </w:r>
      <w:hyperlink r:id="rId413">
        <w:r>
          <w:rPr>
            <w:rStyle w:val="Hyperlink"/>
            <w:rFonts w:ascii="Times New Roman" w:hAnsi="Times New Roman"/>
            <w:b w:val="false"/>
            <w:i w:val="false"/>
            <w:color w:val="000000"/>
            <w:sz w:val="22"/>
          </w:rPr>
          <w:t>50.87(1)</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“d,”</w:t>
        </w:r>
      </w:hyperlink>
      <w:r>
        <w:rPr>
          <w:rFonts w:ascii="Times New Roman" w:hAnsi="Times New Roman"/>
          <w:b w:val="false"/>
          <w:i w:val="false"/>
          <w:color w:val="000000"/>
          <w:sz w:val="22"/>
        </w:rPr>
        <w:t xml:space="preserve"> is authorized beginning 15 days after the filing is received to sell pursuant to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After authorization, may sell securities for a period of 12 months;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expiration of the 12-month period in paragraph </w:t>
      </w:r>
      <w:hyperlink r:id="rId414">
        <w:r>
          <w:rPr>
            <w:rStyle w:val="Hyperlink"/>
            <w:rFonts w:ascii="Times New Roman" w:hAnsi="Times New Roman"/>
            <w:b w:val="false"/>
            <w:i w:val="false"/>
            <w:color w:val="000000"/>
            <w:sz w:val="22"/>
          </w:rPr>
          <w:t>50.87(1)</w:t>
        </w:r>
        <w:r>
          <w:rPr>
            <w:rFonts w:ascii="Times New Roman" w:hAnsi="Times New Roman"/>
            <w:b w:val="false"/>
            <w:i/>
            <w:color w:val="000000"/>
            <w:sz w:val="22"/>
          </w:rPr>
          <w:t>“f,”</w:t>
        </w:r>
      </w:hyperlink>
      <w:r>
        <w:rPr>
          <w:rFonts w:ascii="Times New Roman" w:hAnsi="Times New Roman"/>
          <w:b w:val="false"/>
          <w:i w:val="false"/>
          <w:color w:val="000000"/>
          <w:sz w:val="22"/>
        </w:rPr>
        <w:t xml:space="preserve"> files a renewal application that complies with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50.87(2)</w:t>
      </w:r>
      <w:r>
        <w:rPr>
          <w:rFonts w:ascii="Times New Roman" w:hAnsi="Times New Roman"/>
          <w:b w:val="false"/>
          <w:i w:val="false"/>
          <w:color w:val="000000"/>
          <w:sz w:val="22"/>
        </w:rPr>
        <w:t> </w:t>
      </w:r>
      <w:r>
        <w:rPr>
          <w:rFonts w:ascii="Times New Roman" w:hAnsi="Times New Roman"/>
          <w:b w:val="false"/>
          <w:i w:val="false"/>
          <w:color w:val="000000"/>
          <w:sz w:val="22"/>
        </w:rPr>
        <w:t xml:space="preserve">Church bonds and other one-time offerings for a single specific project shall be exempt pursuant to Iowa Code section </w:t>
      </w:r>
      <w:hyperlink r:id="rId415">
        <w:r>
          <w:rPr>
            <w:rStyle w:val="Hyperlink"/>
            <w:rFonts w:ascii="Times New Roman" w:hAnsi="Times New Roman"/>
            <w:b w:val="false"/>
            <w:i w:val="false"/>
            <w:color w:val="000000"/>
            <w:sz w:val="22"/>
          </w:rPr>
          <w:t>502.201(7)</w:t>
        </w:r>
      </w:hyperlink>
      <w:r>
        <w:rPr>
          <w:rFonts w:ascii="Times New Roman" w:hAnsi="Times New Roman"/>
          <w:b w:val="false"/>
          <w:i/>
          <w:color w:val="000000"/>
          <w:sz w:val="22"/>
        </w:rPr>
        <w:t>“a”</w:t>
      </w:r>
      <w:r>
        <w:rPr>
          <w:rFonts w:ascii="Times New Roman" w:hAnsi="Times New Roman"/>
          <w:b w:val="false"/>
          <w:i w:val="false"/>
          <w:color w:val="000000"/>
          <w:sz w:val="22"/>
        </w:rPr>
        <w:t xml:space="preserve"> provided the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Files a notice specifying the material terms of the offering that comply with the NASAA Statement of Policy Regarding Church Bonds as adopted by the NASAA membership on April 14, 2002, and published in CCH NASAA Reports at paragraph 1001;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Files a consent to service of process.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6">
        <w:r>
          <w:rPr>
            <w:rStyle w:val="Hyperlink"/>
            <w:rFonts w:ascii="Times New Roman" w:hAnsi="Times New Roman"/>
            <w:b w:val="false"/>
            <w:i w:val="false"/>
            <w:color w:val="000000"/>
            <w:sz w:val="22"/>
          </w:rPr>
          <w:t>502.201(7)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191—50.88</w:t>
      </w:r>
      <w:r>
        <w:rPr>
          <w:rFonts w:ascii="Times New Roman" w:hAnsi="Times New Roman"/>
          <w:b/>
          <w:i w:val="false"/>
          <w:color w:val="000000"/>
          <w:sz w:val="22"/>
        </w:rPr>
        <w:t xml:space="preserve">(502) </w:t>
      </w:r>
      <w:r>
        <w:rPr>
          <w:rFonts w:ascii="Times New Roman" w:hAnsi="Times New Roman"/>
          <w:b/>
          <w:i w:val="false"/>
          <w:color w:val="000000"/>
          <w:sz w:val="22"/>
        </w:rPr>
        <w:t xml:space="preserve">Transactions with specified investors. </w:t>
      </w:r>
      <w:r>
        <w:rPr>
          <w:rFonts w:ascii="Times New Roman" w:hAnsi="Times New Roman"/>
          <w:b w:val="false"/>
          <w:i w:val="false"/>
          <w:color w:val="000000"/>
          <w:sz w:val="22"/>
        </w:rPr>
        <w:t>The administrator grants the exemption for transactions with specified investors to the following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50.88(1)</w:t>
      </w:r>
      <w:r>
        <w:rPr>
          <w:rFonts w:ascii="Times New Roman" w:hAnsi="Times New Roman"/>
          <w:b w:val="false"/>
          <w:i w:val="false"/>
          <w:color w:val="000000"/>
          <w:sz w:val="22"/>
        </w:rPr>
        <w:t> </w:t>
      </w:r>
      <w:r>
        <w:rPr>
          <w:rFonts w:ascii="Times New Roman" w:hAnsi="Times New Roman"/>
          <w:b w:val="false"/>
          <w:i w:val="false"/>
          <w:color w:val="000000"/>
          <w:sz w:val="22"/>
        </w:rPr>
        <w:t>Any director, executive officer, or general partner of the issuer of the securities being offered or sold, or any director, executive officer, or general partner of a general partner of that issuer.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50.88(2)</w:t>
      </w:r>
      <w:r>
        <w:rPr>
          <w:rFonts w:ascii="Times New Roman" w:hAnsi="Times New Roman"/>
          <w:b w:val="false"/>
          <w:i w:val="false"/>
          <w:color w:val="000000"/>
          <w:sz w:val="22"/>
        </w:rPr>
        <w:t> </w:t>
      </w:r>
      <w:r>
        <w:rPr>
          <w:rFonts w:ascii="Times New Roman" w:hAnsi="Times New Roman"/>
          <w:b w:val="false"/>
          <w:i w:val="false"/>
          <w:color w:val="000000"/>
          <w:sz w:val="22"/>
        </w:rPr>
        <w:t>Any natural person whose individual net worth, or joint net worth with that person’s spouse, at the time of the purchase exceeds $1 million, excluding the value of the primary residence of the natural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50.88(3)</w:t>
      </w:r>
      <w:r>
        <w:rPr>
          <w:rFonts w:ascii="Times New Roman" w:hAnsi="Times New Roman"/>
          <w:b w:val="false"/>
          <w:i w:val="false"/>
          <w:color w:val="000000"/>
          <w:sz w:val="22"/>
        </w:rPr>
        <w:t> </w:t>
      </w:r>
      <w:r>
        <w:rPr>
          <w:rFonts w:ascii="Times New Roman" w:hAnsi="Times New Roman"/>
          <w:b w:val="false"/>
          <w:i w:val="false"/>
          <w:color w:val="000000"/>
          <w:sz w:val="22"/>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50.88(4)</w:t>
      </w:r>
      <w:r>
        <w:rPr>
          <w:rFonts w:ascii="Times New Roman" w:hAnsi="Times New Roman"/>
          <w:b w:val="false"/>
          <w:i w:val="false"/>
          <w:color w:val="000000"/>
          <w:sz w:val="22"/>
        </w:rPr>
        <w:t> </w:t>
      </w:r>
      <w:r>
        <w:rPr>
          <w:rFonts w:ascii="Times New Roman" w:hAnsi="Times New Roman"/>
          <w:b w:val="false"/>
          <w:i w:val="false"/>
          <w:color w:val="000000"/>
          <w:sz w:val="22"/>
        </w:rPr>
        <w:t>Any venture or seed capital company. For purposes of this subrule, a venture or seed capital company is a corporation, partnership or association that has been in existence for five years or whose net assets exceed $250,000 and whose primary business is investing in developmental stage companies or “eligible small business companies” as that term is defined in the regulations of the Small Business Administration.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7">
        <w:r>
          <w:rPr>
            <w:rStyle w:val="Hyperlink"/>
            <w:rFonts w:ascii="Times New Roman" w:hAnsi="Times New Roman"/>
            <w:b w:val="false"/>
            <w:i w:val="false"/>
            <w:color w:val="000000"/>
            <w:sz w:val="22"/>
          </w:rPr>
          <w:t>502.202(13)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191—50.89</w:t>
      </w:r>
      <w:r>
        <w:rPr>
          <w:rFonts w:ascii="Times New Roman" w:hAnsi="Times New Roman"/>
          <w:b/>
          <w:i w:val="false"/>
          <w:color w:val="000000"/>
          <w:sz w:val="22"/>
        </w:rPr>
        <w:t xml:space="preserve">(502) </w:t>
      </w:r>
      <w:r>
        <w:rPr>
          <w:rFonts w:ascii="Times New Roman" w:hAnsi="Times New Roman"/>
          <w:b/>
          <w:i w:val="false"/>
          <w:color w:val="000000"/>
          <w:sz w:val="22"/>
        </w:rPr>
        <w:t xml:space="preserve">Designated securities manuals. </w:t>
      </w:r>
      <w:r>
        <w:rPr>
          <w:rFonts w:ascii="Times New Roman" w:hAnsi="Times New Roman"/>
          <w:b w:val="false"/>
          <w:i w:val="false"/>
          <w:color w:val="000000"/>
          <w:sz w:val="22"/>
        </w:rPr>
        <w:t xml:space="preserve">Nationally recognized securities manuals for purposes of Iowa Code section </w:t>
      </w:r>
      <w:hyperlink r:id="rId418">
        <w:r>
          <w:rPr>
            <w:rStyle w:val="Hyperlink"/>
            <w:rFonts w:ascii="Times New Roman" w:hAnsi="Times New Roman"/>
            <w:b w:val="false"/>
            <w:i w:val="false"/>
            <w:color w:val="000000"/>
            <w:sz w:val="22"/>
          </w:rPr>
          <w:t>502.202(2)</w:t>
        </w:r>
      </w:hyperlink>
      <w:r>
        <w:rPr>
          <w:rFonts w:ascii="Times New Roman" w:hAnsi="Times New Roman"/>
          <w:b w:val="false"/>
          <w:i/>
          <w:color w:val="000000"/>
          <w:sz w:val="22"/>
        </w:rPr>
        <w:t>“d”</w:t>
      </w:r>
      <w:r>
        <w:rPr>
          <w:rFonts w:ascii="Times New Roman" w:hAnsi="Times New Roman"/>
          <w:b w:val="false"/>
          <w:i w:val="false"/>
          <w:color w:val="000000"/>
          <w:sz w:val="22"/>
        </w:rPr>
        <w:t xml:space="preserve"> include Mergent’s Manuals, S &amp; P Capital IQ Standard Corporation Descriptions, Fitch Investment Services, and Best’s Insurance Reports, Life-Health.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9">
        <w:r>
          <w:rPr>
            <w:rStyle w:val="Hyperlink"/>
            <w:rFonts w:ascii="Times New Roman" w:hAnsi="Times New Roman"/>
            <w:b w:val="false"/>
            <w:i w:val="false"/>
            <w:color w:val="000000"/>
            <w:sz w:val="22"/>
          </w:rPr>
          <w:t>502.202(2)</w:t>
        </w:r>
      </w:hyperlink>
      <w:r>
        <w:rPr>
          <w:rFonts w:ascii="Times New Roman" w:hAnsi="Times New Roman"/>
          <w:b w:val="false"/>
          <w:i/>
          <w:color w:val="000000"/>
          <w:sz w:val="22"/>
        </w:rPr>
        <w:t>“d.”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191—50.90</w:t>
      </w:r>
      <w:r>
        <w:rPr>
          <w:rFonts w:ascii="Times New Roman" w:hAnsi="Times New Roman"/>
          <w:b/>
          <w:i w:val="false"/>
          <w:color w:val="000000"/>
          <w:sz w:val="22"/>
        </w:rPr>
        <w:t xml:space="preserve">(502) </w:t>
      </w:r>
      <w:r>
        <w:rPr>
          <w:rFonts w:ascii="Times New Roman" w:hAnsi="Times New Roman"/>
          <w:b/>
          <w:i w:val="false"/>
          <w:color w:val="000000"/>
          <w:sz w:val="22"/>
        </w:rPr>
        <w:t xml:space="preserve">Intrastate crowdfunding 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purposes of this rule, in addition to the definitions set forth in rule 191—50.1(502), the definitions in Iowa Code section </w:t>
      </w:r>
      <w:hyperlink r:id="rId420">
        <w:r>
          <w:rPr>
            <w:rStyle w:val="Hyperlink"/>
            <w:rFonts w:ascii="Times New Roman" w:hAnsi="Times New Roman"/>
            <w:b w:val="false"/>
            <w:i w:val="false"/>
            <w:color w:val="000000"/>
            <w:sz w:val="22"/>
          </w:rPr>
          <w:t>502.202(24)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the following definitions apply:</w:t>
      </w:r>
    </w:p>
    <w:p>
      <w:pPr>
        <w:spacing w:before="0" w:after="0"/>
        <w:ind w:left="120"/>
        <w:jc w:val="both"/>
      </w:pPr>
      <w:r>
        <w:rPr>
          <w:rFonts w:ascii="Times New Roman" w:hAnsi="Times New Roman"/>
          <w:b w:val="false"/>
          <w:i/>
          <w:color w:val="000000"/>
          <w:sz w:val="22"/>
        </w:rPr>
        <w:t xml:space="preserve">“Administrator’s website” </w:t>
      </w:r>
      <w:r>
        <w:rPr>
          <w:rFonts w:ascii="Times New Roman" w:hAnsi="Times New Roman"/>
          <w:b w:val="false"/>
          <w:i w:val="false"/>
          <w:color w:val="000000"/>
          <w:sz w:val="22"/>
        </w:rPr>
        <w:t xml:space="preserve">means the Internet site of the Iowa insurance division, </w:t>
      </w:r>
      <w:hyperlink r:id="rId421">
        <w:r>
          <w:rPr>
            <w:rStyle w:val="Hyperlink"/>
            <w:rFonts w:ascii="Times New Roman" w:hAnsi="Times New Roman"/>
            <w:b w:val="false"/>
            <w:i w:val="false"/>
            <w:color w:val="000000"/>
            <w:sz w:val="22"/>
            <w:u w:val="single"/>
          </w:rPr>
          <w:t>iid.iowa.gov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“Escrow agent” </w:t>
      </w:r>
      <w:r>
        <w:rPr>
          <w:rFonts w:ascii="Times New Roman" w:hAnsi="Times New Roman"/>
          <w:b w:val="false"/>
          <w:i w:val="false"/>
          <w:color w:val="000000"/>
          <w:sz w:val="22"/>
        </w:rPr>
        <w:t>means a bank, trust company, savings bank, national banking association, building and loan association, mortgage banker, credit union, insurance company, or any other independent escrow agent acceptable to the commissioner.</w:t>
      </w:r>
    </w:p>
    <w:p>
      <w:pPr>
        <w:spacing w:before="0" w:after="0"/>
        <w:ind w:left="120"/>
        <w:jc w:val="both"/>
      </w:pPr>
      <w:r>
        <w:rPr>
          <w:rFonts w:ascii="Times New Roman" w:hAnsi="Times New Roman"/>
          <w:b w:val="false"/>
          <w:i/>
          <w:color w:val="000000"/>
          <w:sz w:val="22"/>
        </w:rPr>
        <w:t xml:space="preserve">“Issuer” </w:t>
      </w:r>
      <w:r>
        <w:rPr>
          <w:rFonts w:ascii="Times New Roman" w:hAnsi="Times New Roman"/>
          <w:b w:val="false"/>
          <w:i w:val="false"/>
          <w:color w:val="000000"/>
          <w:sz w:val="22"/>
        </w:rPr>
        <w:t>means a person that is authorized to do business in Iowa and has been approved by the administrator as a crowdfunding issuer pursuant to subrule 50.90(5).</w:t>
      </w:r>
    </w:p>
    <w:p>
      <w:pPr>
        <w:spacing w:before="0" w:after="0"/>
        <w:ind w:left="120"/>
        <w:jc w:val="both"/>
      </w:pPr>
      <w:r>
        <w:rPr>
          <w:rFonts w:ascii="Times New Roman" w:hAnsi="Times New Roman"/>
          <w:b w:val="false"/>
          <w:i/>
          <w:color w:val="000000"/>
          <w:sz w:val="22"/>
        </w:rPr>
        <w:t xml:space="preserve">“Management” </w:t>
      </w:r>
      <w:r>
        <w:rPr>
          <w:rFonts w:ascii="Times New Roman" w:hAnsi="Times New Roman"/>
          <w:b w:val="false"/>
          <w:i w:val="false"/>
          <w:color w:val="000000"/>
          <w:sz w:val="22"/>
        </w:rPr>
        <w:t>means an issuer’s directors, executive officers, or the individuals who perform such functions for the issuer.</w:t>
      </w:r>
    </w:p>
    <w:p>
      <w:pPr>
        <w:spacing w:before="0" w:after="0"/>
        <w:ind w:left="120"/>
        <w:jc w:val="both"/>
      </w:pPr>
      <w:r>
        <w:rPr>
          <w:rFonts w:ascii="Times New Roman" w:hAnsi="Times New Roman"/>
          <w:b w:val="false"/>
          <w:i/>
          <w:color w:val="000000"/>
          <w:sz w:val="22"/>
        </w:rPr>
        <w:t xml:space="preserve">“Portal website” </w:t>
      </w:r>
      <w:r>
        <w:rPr>
          <w:rFonts w:ascii="Times New Roman" w:hAnsi="Times New Roman"/>
          <w:b w:val="false"/>
          <w:i w:val="false"/>
          <w:color w:val="000000"/>
          <w:sz w:val="22"/>
        </w:rPr>
        <w:t xml:space="preserve">means the Internet site through which a registered Iowa crowdfunding portal conducts offers and sales of exempt securities under Iowa Code section </w:t>
      </w:r>
      <w:hyperlink r:id="rId422">
        <w:r>
          <w:rPr>
            <w:rStyle w:val="Hyperlink"/>
            <w:rFonts w:ascii="Times New Roman" w:hAnsi="Times New Roman"/>
            <w:b w:val="false"/>
            <w:i w:val="false"/>
            <w:color w:val="000000"/>
            <w:sz w:val="22"/>
          </w:rPr>
          <w:t>502.202(24)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“Principal place of business” </w:t>
      </w:r>
      <w:r>
        <w:rPr>
          <w:rFonts w:ascii="Times New Roman" w:hAnsi="Times New Roman"/>
          <w:b w:val="false"/>
          <w:i w:val="false"/>
          <w:color w:val="000000"/>
          <w:sz w:val="22"/>
        </w:rPr>
        <w:t xml:space="preserve">means the state or territory from which the officers, partners, or managers of a corporation, partnership, limited liability company, trust or other form of business primarily direct, control and coordinate the activities of the business. “Principal place of business” is not related to “place of business” as defined in Iowa Code section </w:t>
      </w:r>
      <w:hyperlink r:id="rId423">
        <w:r>
          <w:rPr>
            <w:rStyle w:val="Hyperlink"/>
            <w:rFonts w:ascii="Times New Roman" w:hAnsi="Times New Roman"/>
            <w:b w:val="false"/>
            <w:i w:val="false"/>
            <w:color w:val="000000"/>
            <w:sz w:val="22"/>
          </w:rPr>
          <w:t>502.102(21)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50.90(2)</w:t>
      </w:r>
      <w:r>
        <w:rPr>
          <w:rFonts w:ascii="Times New Roman" w:hAnsi="Times New Roman"/>
          <w:b w:val="false"/>
          <w:i w:val="false"/>
          <w:color w:val="000000"/>
          <w:sz w:val="22"/>
        </w:rPr>
        <w:t> </w:t>
      </w:r>
      <w:r>
        <w:rPr>
          <w:rFonts w:ascii="Times New Roman" w:hAnsi="Times New Roman"/>
          <w:b w:val="false"/>
          <w:i/>
          <w:color w:val="000000"/>
          <w:sz w:val="22"/>
        </w:rPr>
        <w:t xml:space="preserve">Exemption from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the authority delegated to the administrator to promulgate rules in Iowa Code sections </w:t>
      </w:r>
      <w:hyperlink r:id="rId424">
        <w:r>
          <w:rPr>
            <w:rStyle w:val="Hyperlink"/>
            <w:rFonts w:ascii="Times New Roman" w:hAnsi="Times New Roman"/>
            <w:b w:val="false"/>
            <w:i w:val="false"/>
            <w:color w:val="000000"/>
            <w:sz w:val="22"/>
          </w:rPr>
          <w:t>502.203</w:t>
        </w:r>
      </w:hyperlink>
      <w:r>
        <w:rPr>
          <w:rFonts w:ascii="Times New Roman" w:hAnsi="Times New Roman"/>
          <w:b w:val="false"/>
          <w:i w:val="false"/>
          <w:color w:val="000000"/>
          <w:sz w:val="22"/>
        </w:rPr>
        <w:t xml:space="preserve"> and </w:t>
      </w:r>
      <w:hyperlink r:id="rId425">
        <w:r>
          <w:rPr>
            <w:rStyle w:val="Hyperlink"/>
            <w:rFonts w:ascii="Times New Roman" w:hAnsi="Times New Roman"/>
            <w:b w:val="false"/>
            <w:i w:val="false"/>
            <w:color w:val="000000"/>
            <w:sz w:val="22"/>
          </w:rPr>
          <w:t>502.605(1)</w:t>
        </w:r>
      </w:hyperlink>
      <w:r>
        <w:rPr>
          <w:rFonts w:ascii="Times New Roman" w:hAnsi="Times New Roman"/>
          <w:b w:val="false"/>
          <w:i w:val="false"/>
          <w:color w:val="000000"/>
          <w:sz w:val="22"/>
        </w:rPr>
        <w:t>, a transaction is exempt from the registration provisions of the Act if all of the conditions in subparagraphs (1) to (4)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issuer of the securities is at the time of any offers and sales a person that is a resident and doing business within the state of Iowa. The issuer shall be deemed to be a resident of the state of Iowa if it has its principal place of business in Iowa. The issuer shall be deemed to be doing business within Iowa if the issuer satisfies at least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issuer derived at least 80 percent of its consolidated gross revenues from the operation of a business or of real property located in or from the rendering of services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issuer had, at the end of its most recent semiannual fiscal year prior to an initial offer of securities in any offering or subsequent offering pursuant to this rule, at least 80 percent of its assets and those of its subsidiaries on a consolidated basis located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issuer intends to use and uses at least 80 percent of the net proceeds to the issuer from sales made pursuant to this rule in connection with the operation of a business within, the operation of real property within, the purchase of real property located in, or the rendering of services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majority of the issuer’s employees are based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Sales of securities pursuant to this rule are made only to residents of the state of Iowa or to persons who the issuer reasonably believes, at the time of the sale, are residents of the state of Iowa. An individual shall be deemed to be a resident of the state of Iowa if such individual has, at the time of sale, the individual’s principal residence in the state of Iowa. A trust that is not deemed by Iowa law to be a separate legal entity is deemed to be a resident of the state of Iowa only if all of the trust’s trustees are residents of the state of Iowa. For purposes of determining the residence of a purchaser: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corporation, partnership, limited liability company, trust or other form of business organization shall be deemed a resident of the state of Iowa if, at the time of sale to it, it has its principal place of business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corporation, partnership, trust or other form of business organization that is organized for the specific purpose of acquiring securities offered pursuant to this rule shall not be a resident of Iowa unless all of the beneficial owners of such organization are residents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issuer is not, before or as a result of the offering,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investment company registered or required to be registered under the Investment Company Act of 1940 (15 U.S.C. 80a-1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hedge fund, commodity pool, or similar investment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development stage company that either has no specific business plan or purpose or has indicated that the company’s business plan is to engage in a merger or acquisition with an unidentified company or companies, or other entity or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company with a class of securities registered under the federal Securities Exchange Act of 1934.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offering is sold in compliance with the requirements of SEC Rule 147A (17 CFR 230.147A).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offers and sales of securities made in reliance upon this rule shall be made through an intermediary’s Internet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50.90(3)</w:t>
      </w:r>
      <w:r>
        <w:rPr>
          <w:rFonts w:ascii="Times New Roman" w:hAnsi="Times New Roman"/>
          <w:b w:val="false"/>
          <w:i w:val="false"/>
          <w:color w:val="000000"/>
          <w:sz w:val="22"/>
        </w:rPr>
        <w:t> </w:t>
      </w:r>
      <w:r>
        <w:rPr>
          <w:rFonts w:ascii="Times New Roman" w:hAnsi="Times New Roman"/>
          <w:b w:val="false"/>
          <w:i/>
          <w:color w:val="000000"/>
          <w:sz w:val="22"/>
        </w:rPr>
        <w:t xml:space="preserve">Integration.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Offers and sales made in reliance on this rule may be integrated with other offers and sales when the following factors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sales are part of a single plan of financing;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sales involve the issuance of the same class of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sales have been made at or about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same type of consideration is received;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sales are made for the same general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Offers and sales made in reliance on this rule shall not be integrated with offers and sales made more than six months before the start of the offering or more than six months after completion of an offering, so long as during those six-month periods there are no offers or sales of securities by or for the issuer that are of the same class or of a similar class as those offered or sold under these rules, other than those offers or sales of securities under an employee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50.90(4)</w:t>
      </w:r>
      <w:r>
        <w:rPr>
          <w:rFonts w:ascii="Times New Roman" w:hAnsi="Times New Roman"/>
          <w:b w:val="false"/>
          <w:i w:val="false"/>
          <w:color w:val="000000"/>
          <w:sz w:val="22"/>
        </w:rPr>
        <w:t> </w:t>
      </w:r>
      <w:r>
        <w:rPr>
          <w:rFonts w:ascii="Times New Roman" w:hAnsi="Times New Roman"/>
          <w:b w:val="false"/>
          <w:i/>
          <w:color w:val="000000"/>
          <w:sz w:val="22"/>
        </w:rPr>
        <w:t xml:space="preserve">Bad actor 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exemption of 50.90(2) shall not be available if the issuer; any predecessor of the issuer; any affiliated issuer; any director, executive officer, other officer participating in the offering, general partner or managing member of the issuer; any beneficial owner of 20 percent or more of the issuer’s outstanding voting equity securities, calculated on the basis of voting power; any promoter connected with the issuer in any capacity at the time of such offer or sale; any investment manager of an issuer that is a pooled investment fund; any person that has been or will be paid (directly or indirectly) remuneration for solicitation of purchasers in connection with such offer or sale of securities; any general partner or managing member of any such investment manager or solicitor; or any director, executive officer, or other officer participating in the offering of any such investment manager or solicitor or general partner or managing member of such investment manager or solicitor: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been convicted, within ten years before such offer or sale (or five years, in the case of issuers, their predecessors and affiliated issuers), of any felony or misdemeanor that is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connection with the purchase or sale of any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Involving any making of any false filing with the SEC or a state securities commission or agency or state official performing like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Arising out of the conduct of the business of an underwriter, broker, dealer, municipal securities dealer, investment adviser or paid solicitor of purchasers of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subject to any order, judgment or decree of any court of competent jurisdiction, entered within five years before such offer or sale that, at the time of such offer or sale, restrains or enjoins such person from engaging or continuing to engage in any conduct or practice that is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connection with the purchase or sale of any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Involving the making of any false filing with the SEC or a state securities commission or agency or state official performing like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Arising out of the conduct of the business of an underwriter, broker, dealer, municipal securities dealer, investment adviser or paid solicitor of purchaser of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subject to a final order of a state securities commission or agency or state official performing like functions; a state authority that supervises or examines banks, savings associations, or credit unions; a state insurance commission or agency or state official performing like functions; an appropriate federal banking agency; the U.S. Commodity Futures Trading Commission; or the National Credit Union Administration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time of such offer or sale, bars the person from: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Association with an entity regulated by such commission, authority, agency, or officer;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Engaging in the business of securities, insurance or banking;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Engaging in savings association or credit union activities;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Constitutes a final order based on a violation of any law or regulation that prohibits fraudulent, manipulative, or deceptive conduct, including making untrue statements of material facts or omitting to state material facts, entered within ten years before such offer or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subject to an order of the SEC entered pursuant to the Securities Exchange Act of 1934 (15 U.S.C. Section 78o(b) or 78o-4(c)) or the Investment Advisers Act of 1940 (15 U.S.C. Section 80b-3(e) or (f)) that, at the time of such offer or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Suspends or revokes such person’s registration as a broker, dealer, municipal securities dealer or investment adviser;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Places limitations on the activities, functions or operations of such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Bars such person from being associated with any entity or from participating in the offering of any penny 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 subject to any order of the SEC entered within five years before such offer or sale that, at the time of such offer or sale, orders the person to cease and desist from committing or causing a violation or future violations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scienter-based, antifraud provision of the federal securities laws, including without limitation the Securities Act of 1933 (15 U.S.C. Section 77q(a)(1)); the Securities Exchange Act of 1934 (15 U.S.C. Section 78j(b) and 17 CFR 240.10b-5); the Securities Exchange Act of 1934 (15 U.S.C. Section 78o(c)(1)); the Investment Advisers Act of 1940 (15 U.S.C. Section 80b-6(1)); or any other rule or regulation thereunder;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Section 5 of the Securities Act of 1933 (15 U.S.C. 77e);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Is suspended or expelled from membership in, or suspended or barred from association with a member of, a registered national securities exchange or a registered national or affiliated securities association for any act or omission to act constituting conduct inconsistent with just and equitable principles of trade;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Has filed (as a registrant or issuer), or was or was named as an underwriter in, any registration statement or Regulation A offering statement filed with the SEC that, within five years before such offer or sale, was the subject of a refusal order, stop order, or order suspending the Regulation A exemption, or is, at the time of such offer or sale, the subject of an investigation or proceeding to determine whether a stop order or suspension order should be issued;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Is subject to a United States Postal Service false representation order entered within five years before such offer or sale, or is, at the time of such offer or sale, subject to a temporary restraining order or preliminary injunction with respect to conduct alleged by the United States Postal Service to constitute a scheme or device for obtaining money or property through the mail by means of false representations;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Has filed a registration statement which is subject to a final stop order entered under any state’s securities law within five years before such offer or sale;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Is currently subject to any final state administrative enforcement order or judgment entered by a state’s securities administrator within five years prior to such offer or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Paragraph 50.90(4)</w:t>
      </w:r>
      <w:r>
        <w:rPr>
          <w:rFonts w:ascii="Times New Roman" w:hAnsi="Times New Roman"/>
          <w:b w:val="false"/>
          <w:i/>
          <w:color w:val="000000"/>
          <w:sz w:val="22"/>
        </w:rPr>
        <w:t>“a”</w:t>
      </w:r>
      <w:r>
        <w:rPr>
          <w:rFonts w:ascii="Times New Roman" w:hAnsi="Times New Roman"/>
          <w:b w:val="false"/>
          <w:i w:val="false"/>
          <w:color w:val="000000"/>
          <w:sz w:val="22"/>
        </w:rPr>
        <w:t xml:space="preserve"> shall not apply under either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a showing of good cause and without prejudice to any other action by the commissioner, if the commissioner determines that it is not necessary under the circumstances that the exemption be denied;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issuer establishes that it did not know and, in the exercise of reasonable care, could not have known that a disqualification existed under this subrule. An issuer will not be able to establish that it has exercised reasonable care unless it has made, in light of the circumstances, factual inquiry into whether any disqualifications exist. The nature and scope of the factual inquiry will vary based on the facts and circumstances concerning, among other things, the issuer and the other offering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Events relating to any affiliated issuer that occurred before the affiliation arose will be not considered disqualifying if the affiliated entity is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control of the issuer;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 common control with the issuer by a third party that was in control of the affiliated entity at the time of such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50.90(5)</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for issuers.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issuer may declare an offering exempt for a maximum of 12 months and rely on this intrastate sales exemption if the issuer submits at the administrator’s website, and receives approval from the administrator, at least 30 days prior to the offer of any security in reliance upon Iowa Code section </w:t>
      </w:r>
      <w:hyperlink r:id="rId426">
        <w:r>
          <w:rPr>
            <w:rStyle w:val="Hyperlink"/>
            <w:rFonts w:ascii="Times New Roman" w:hAnsi="Times New Roman"/>
            <w:b w:val="false"/>
            <w:i w:val="false"/>
            <w:color w:val="000000"/>
            <w:sz w:val="22"/>
          </w:rPr>
          <w:t>502.202(24)</w:t>
        </w:r>
      </w:hyperlink>
      <w:r>
        <w:rPr>
          <w:rFonts w:ascii="Times New Roman" w:hAnsi="Times New Roman"/>
          <w:b w:val="false"/>
          <w:i w:val="false"/>
          <w:color w:val="000000"/>
          <w:sz w:val="22"/>
        </w:rPr>
        <w:t xml:space="preserve">, all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properly completed Iowa Crowdfunding Notice Filing Form (available at the administrator’s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issuer’s articles of incorporation or other charter documents pursuant to which the issuer is organized.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issuer’s bylaws or operating agreement and all amendments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any resolutions setting forth terms and provisions of the securities being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issuer’s financial statements as of the end of the issuer’s most recent fiscal year, prepared in accordance with generally accepted accounting principles. If the date of the most recent fiscal year end is more than 90 days prior to the date of the filing, the issuer must also submit an unaudited balance sheet and unaudited statement of income or operations, both prepared in accordance with generally accepted accounting principles for the issuer’s most recent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copy of any agreements between the issuer and any intermediary.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copy of any subscription agreement for the purchase of securities in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copy of the escrow agreement between the issuer and an escrow agent for the deposit of offering proceeds.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specimen or copy of the security to be offered, including required legends, if the issuer will issue physical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copy of all advertising and other materials directed to or to be furnished to investors in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copy of all disclosure documents directed to or to be furnished to investors in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reasonably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filing fee of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issuer will make offers and sales of an offering after the exempt offering period declared by the issuer on the Iowa Crowdfunding Notice Filing Form, the issuer must renew the offering exemption by submitting at the administrator’s website, and receiving approval of the administrator, at least 30 days prior to the expiration of the original exempt offering period, all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report of sales as of the most recent practical date that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time period in which the offering was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shares or units sold in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of investors that purchased shares or units in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dollar amount sold in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issuer’s updated Iowa Crowdfunding Notice Filing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issuer’s financial statements as of the end of the issuer’s most recent fiscal year, prepared in accordance with generally accepted accounting principles. If the end date of the most recent fiscal year is more than 90 days prior to the date of renewal, the issuer also shall submit an unaudited balance sheet and an unaudited statement of income or operations, both prepared in accordance with generally accepted accounting principles for the issuer’s most recent fiscal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renewal filing fee of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completion of an offering made in reliance upon this rule, an issuer shall file at the administrator’s website, and receive the administrator’s approval of, a final sales report that includes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time period in which the offering was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shares or units sold in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of investors that purchased shares or units in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total dollar amount sold in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50.90(6)</w:t>
      </w:r>
      <w:r>
        <w:rPr>
          <w:rFonts w:ascii="Times New Roman" w:hAnsi="Times New Roman"/>
          <w:b w:val="false"/>
          <w:i w:val="false"/>
          <w:color w:val="000000"/>
          <w:sz w:val="22"/>
        </w:rPr>
        <w:t> </w:t>
      </w:r>
      <w:r>
        <w:rPr>
          <w:rFonts w:ascii="Times New Roman" w:hAnsi="Times New Roman"/>
          <w:b w:val="false"/>
          <w:i/>
          <w:color w:val="000000"/>
          <w:sz w:val="22"/>
        </w:rPr>
        <w:t xml:space="preserve">Minimum offering amount. </w:t>
      </w:r>
      <w:r>
        <w:rPr>
          <w:rFonts w:ascii="Times New Roman" w:hAnsi="Times New Roman"/>
          <w:b w:val="false"/>
          <w:i w:val="false"/>
          <w:color w:val="000000"/>
          <w:sz w:val="22"/>
        </w:rPr>
        <w:t>The issuer shall establish a minimum offering amount that is sufficient, together with other sources of financing, to implement the business plan of the issuer, as disclosed in the submitted offering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50.90(7)</w:t>
      </w:r>
      <w:r>
        <w:rPr>
          <w:rFonts w:ascii="Times New Roman" w:hAnsi="Times New Roman"/>
          <w:b w:val="false"/>
          <w:i w:val="false"/>
          <w:color w:val="000000"/>
          <w:sz w:val="22"/>
        </w:rPr>
        <w:t> </w:t>
      </w:r>
      <w:r>
        <w:rPr>
          <w:rFonts w:ascii="Times New Roman" w:hAnsi="Times New Roman"/>
          <w:b w:val="false"/>
          <w:i/>
          <w:color w:val="000000"/>
          <w:sz w:val="22"/>
        </w:rPr>
        <w:t xml:space="preserve">Escrow agreement. </w:t>
      </w:r>
      <w:r>
        <w:rPr>
          <w:rFonts w:ascii="Times New Roman" w:hAnsi="Times New Roman"/>
          <w:b w:val="false"/>
          <w:i w:val="false"/>
          <w:color w:val="000000"/>
          <w:sz w:val="22"/>
        </w:rPr>
        <w:t>The issuer must enter into an escrow agreement with an independent escrow agent to hold funds in an escrow account, and the escrow agreement shall include all of the following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offering proceeds shall be maintained in an account controlled by the escrow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offering proceeds will be released to the issuer only when the aggregate capital raised from all purchasers that have signed commitments to invest is equal to or greater than the minimum offering amount disclosed in the offering materials submitted to the administrator with the issuer’s filing of paragraph 50.90(5)</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proceeds do not meet the minimum offering amount disclosed in the offering materials within one year of the earlier of the commencement of the offering or the first posting of the offering on the Internet, the issuer shall return all funds to investors.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None of the following shall have any claim to the escrowed proceeds: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creditor of an escrow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affiliate of an escrow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creditor of the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affiliate of the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creditor of an intermediary engaged by the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affiliate of an intermediary engaged by the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escrow agent agrees to maintain its independence from the issuer, any intermediary or Iowa crowdfunding portal assisting with the offering, and the officers, directors, managing members, and affiliates of the issuer or any Iowa crowdfunding portal assisting with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commissioner may inspect the records of the impound account maintained by the escrow agent at any reasonable time at the location of the records and copy any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escrow agreement must be signed by an officer of the issuer and an authorized representative of the escrow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escrow agent may not be affiliated with the issuer, any Iowa crowdfunding portal assisting with the offering, or any officers, director, managing member, or affiliate of the issuer or any intermediary assisting with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the minimum offering amount is not received by the end of the offering period, the proceeds shall be returned to the purchasers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purchasers shall have the right to withdraw their investments, without deduction of any kind, until such time as offering proceeds totaling at least the minimum offering amount are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50.90(8)</w:t>
      </w:r>
      <w:r>
        <w:rPr>
          <w:rFonts w:ascii="Times New Roman" w:hAnsi="Times New Roman"/>
          <w:b w:val="false"/>
          <w:i w:val="false"/>
          <w:color w:val="000000"/>
          <w:sz w:val="22"/>
        </w:rPr>
        <w:t> </w:t>
      </w:r>
      <w:r>
        <w:rPr>
          <w:rFonts w:ascii="Times New Roman" w:hAnsi="Times New Roman"/>
          <w:b w:val="false"/>
          <w:i/>
          <w:color w:val="000000"/>
          <w:sz w:val="22"/>
        </w:rPr>
        <w:t xml:space="preserve">Disclosure requirements for issuers.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exemption is intended to or should be in any way construed as relieving issuers or persons acting on behalf of issuers from providing disclosure to prospective investors adequate to satisfy the requirements of rule 191—50.90(502) and the antifraud provisions of Iowa Code chapter </w:t>
      </w:r>
      <w:hyperlink r:id="rId427">
        <w:r>
          <w:rPr>
            <w:rStyle w:val="Hyperlink"/>
            <w:rFonts w:ascii="Times New Roman" w:hAnsi="Times New Roman"/>
            <w:b w:val="false"/>
            <w:i w:val="false"/>
            <w:color w:val="000000"/>
            <w:sz w:val="22"/>
          </w:rPr>
          <w:t>502</w:t>
        </w:r>
      </w:hyperlink>
      <w:r>
        <w:rPr>
          <w:rFonts w:ascii="Times New Roman" w:hAnsi="Times New Roman"/>
          <w:b w:val="false"/>
          <w:i w:val="false"/>
          <w:color w:val="000000"/>
          <w:sz w:val="22"/>
        </w:rPr>
        <w:t xml:space="preserve">. The issuer is required to provide full and fair disclosure to investors of all material facts relating to the issuer and the securities being offered. If eligible, the issuer may use Form U-7, which may be obtained from the NASAA website at </w:t>
      </w:r>
      <w:hyperlink r:id="rId428">
        <w:r>
          <w:rPr>
            <w:rStyle w:val="Hyperlink"/>
            <w:rFonts w:ascii="Times New Roman" w:hAnsi="Times New Roman"/>
            <w:b w:val="false"/>
            <w:i w:val="false"/>
            <w:color w:val="000000"/>
            <w:sz w:val="22"/>
            <w:u w:val="single"/>
          </w:rPr>
          <w:t>www.nasaa.org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Among other risk disclosures, the issuer must provide the substance of all of the following disclosures to all prospective purchasers and investors: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no ready market for the sale of the securities acquired in this offering. It may be difficult or impossible for an investor to sell or otherwise dispose of this investment. An investor may be required to hold and bear the financial risks of this investment indefinitely.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federal or state securities commission or regulatory authority has confirmed the accuracy or determined the adequacy of the disclosures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making an investment decision, investors must rely on their own examination of the issuer and the terms of the offering, including the merits and risks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securities have not been registered under federal or state securities laws and, therefore, cannot be resold unless the securities are registered or qualify for an exemption from registration under federal and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50.90(9)</w:t>
      </w:r>
      <w:r>
        <w:rPr>
          <w:rFonts w:ascii="Times New Roman" w:hAnsi="Times New Roman"/>
          <w:b w:val="false"/>
          <w:i w:val="false"/>
          <w:color w:val="000000"/>
          <w:sz w:val="22"/>
        </w:rPr>
        <w:t> </w:t>
      </w:r>
      <w:r>
        <w:rPr>
          <w:rFonts w:ascii="Times New Roman" w:hAnsi="Times New Roman"/>
          <w:b w:val="false"/>
          <w:i/>
          <w:color w:val="000000"/>
          <w:sz w:val="22"/>
        </w:rPr>
        <w:t xml:space="preserve">Books and records. </w:t>
      </w:r>
      <w:r>
        <w:rPr>
          <w:rFonts w:ascii="Times New Roman" w:hAnsi="Times New Roman"/>
          <w:b w:val="false"/>
          <w:i w:val="false"/>
          <w:color w:val="000000"/>
          <w:sz w:val="22"/>
        </w:rPr>
        <w:t>An issuer that has filed under this rule must keep and maintain written or electronic records relating to offers and sales of securities made in reliance upon this rule for at least six years following termination of the offering. These records are subject to such reasonable audits or inspections by the administrator or a representative of the administrator as the administrator considers necessary or appropriate in the public interest and for the protection of investors. An audit or inspection may be made at any time and without prior notice. The administrator may copy, and remove for audit or inspection copies of, all records the administrator reasonably considers necessary or appropriate to conduct the audit 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50.90(10)</w:t>
      </w:r>
      <w:r>
        <w:rPr>
          <w:rFonts w:ascii="Times New Roman" w:hAnsi="Times New Roman"/>
          <w:b w:val="false"/>
          <w:i w:val="false"/>
          <w:color w:val="000000"/>
          <w:sz w:val="22"/>
        </w:rPr>
        <w:t> </w:t>
      </w:r>
      <w:r>
        <w:rPr>
          <w:rFonts w:ascii="Times New Roman" w:hAnsi="Times New Roman"/>
          <w:b w:val="false"/>
          <w:i/>
          <w:color w:val="000000"/>
          <w:sz w:val="22"/>
        </w:rPr>
        <w:t xml:space="preserve">Iowa crowdfunding portal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register as an Iowa crowdfunding portal, a person shall submit to the administrator at the administrator’s website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Iowa Crowdfunding Portal Registration Form, available on the administrator’s website, including all required schedules and supplemental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Form U-4, available on the administrator’s website, for each agent as defined in Iowa Code section </w:t>
      </w:r>
      <w:hyperlink r:id="rId429">
        <w:r>
          <w:rPr>
            <w:rStyle w:val="Hyperlink"/>
            <w:rFonts w:ascii="Times New Roman" w:hAnsi="Times New Roman"/>
            <w:b w:val="false"/>
            <w:i w:val="false"/>
            <w:color w:val="000000"/>
            <w:sz w:val="22"/>
          </w:rPr>
          <w:t>502.102(2)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requested by the administrator to determine the financial responsibility, business reputation, or qualifications of the Iowa crowdfunding portal.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registration fee of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must receive approval of the submission and registration by the administrator before the person may operate as an Iowa crowdfunding portal.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Registration expires at the close of the calendar year in which a registration was issued, but the registration may be renewed for the succeeding year by submission to the administrator at the administrator’s website of both a $100 registration fee and a written request for renewal, including any material changes to the information submitted in the prior registration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50.90(11)</w:t>
      </w:r>
      <w:r>
        <w:rPr>
          <w:rFonts w:ascii="Times New Roman" w:hAnsi="Times New Roman"/>
          <w:b w:val="false"/>
          <w:i w:val="false"/>
          <w:color w:val="000000"/>
          <w:sz w:val="22"/>
        </w:rPr>
        <w:t> </w:t>
      </w:r>
      <w:r>
        <w:rPr>
          <w:rFonts w:ascii="Times New Roman" w:hAnsi="Times New Roman"/>
          <w:b w:val="false"/>
          <w:i/>
          <w:color w:val="000000"/>
          <w:sz w:val="22"/>
        </w:rPr>
        <w:t xml:space="preserve">Duties of an Iowa crowdfunding intermediary.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Maintenance of intermediary website. </w:t>
      </w:r>
      <w:r>
        <w:rPr>
          <w:rFonts w:ascii="Times New Roman" w:hAnsi="Times New Roman"/>
          <w:b w:val="false"/>
          <w:i w:val="false"/>
          <w:color w:val="000000"/>
          <w:sz w:val="22"/>
        </w:rPr>
        <w:t>An Iowa crowdfunding intermediary shall create and maintain the intermediary website and make information and services available on or through the intermediary website in compliance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Background and regulatory checks. </w:t>
      </w:r>
      <w:r>
        <w:rPr>
          <w:rFonts w:ascii="Times New Roman" w:hAnsi="Times New Roman"/>
          <w:b w:val="false"/>
          <w:i w:val="false"/>
          <w:color w:val="000000"/>
          <w:sz w:val="22"/>
        </w:rPr>
        <w:t>Prior to offering securities to residents of Iowa, the intermediary shall conduct a reasonable investigation of the background and history of each issuer whose securities are offered on the intermediary website and of each issuer’s control persons. “Control persons” for the purpose of this subrule means the issuer’s officers; directors; or other persons having the power, directly or indirectly, to direct the management or policies of the issuer, whether by contract or otherwise; and persons holding more than 20 percent of the outstanding equity of the issuer. The intermediary shall deny an issuer access to the intermediary website if there is a reasonable basis to believe that one or more of the following are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issuer or any of its control persons is subject to disqualification under subrule 50.90(3).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issuer has engaged in, the issuer is engaging in, or the offering involves any act, practice, or course of business that will, directly or indirectly, operate as a fraud or deceit upon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intermediary cannot adequately or effectively assess the risk of fraud by the issuer or by the issuer’s potential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Purchaser screening. </w:t>
      </w:r>
      <w:r>
        <w:rPr>
          <w:rFonts w:ascii="Times New Roman" w:hAnsi="Times New Roman"/>
          <w:b w:val="false"/>
          <w:i w:val="false"/>
          <w:color w:val="000000"/>
          <w:sz w:val="22"/>
        </w:rPr>
        <w:t>Before a security is sold through the intermediary, the intermediary shall ensure that the purchaser does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Reviews the information provided in the offering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to the intermediary an affirmative representation from the purchaser acknowledging receipt of the disclosure statement provided to the purchaser by the issuer pursuant to subrule 50.90(8).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Provides to the intermediary an affirmative representation that the purchaser is an Iowa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Information about the issuer and the offering. </w:t>
      </w:r>
      <w:r>
        <w:rPr>
          <w:rFonts w:ascii="Times New Roman" w:hAnsi="Times New Roman"/>
          <w:b w:val="false"/>
          <w:i w:val="false"/>
          <w:color w:val="000000"/>
          <w:sz w:val="22"/>
        </w:rPr>
        <w:t>The intermediary shall make available on the intermediary website information about the issuer and the offering. The information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the disclosure statement required by subrule 50.90(8).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summary of the offering, including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entity; its form of business, principal office, history, and business plan; and its intended use of offering proceeds, including compensation paid to any owner, executive officer, director, or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identity of the executive officers, directors, and managers, including their titles and their prior experience and the identity of all persons owning more than 20 percent of the ownership interests of any class of securities of the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securities being offered and any outstanding securities of the company, the amount of the offering, and the percentage of ownership of the company represented by the offered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Intermediary website forum. </w:t>
      </w:r>
      <w:r>
        <w:rPr>
          <w:rFonts w:ascii="Times New Roman" w:hAnsi="Times New Roman"/>
          <w:b w:val="false"/>
          <w:i w:val="false"/>
          <w:color w:val="000000"/>
          <w:sz w:val="22"/>
        </w:rPr>
        <w:t>The intermediary shall maintain a forum on the intermediary website. The forum shall be available to all potential purchasers as well as to the administrator. The intermediary website shall contain a disclaimer that reflects that access to securities offered on the intermediary website is limited to Iowa residents and that sales of the securities appearing on the intermediary website are limited to persons that are Iowa residents. Potential purchasers may ask questions and receive answers concerning the terms and conditions of the offering and may obtain additional information which the crowdfunding issuer possesses or can acquire without unreasonable effort or expense necessary to verify the accuracy of or to clarify the information provided on the intermediary website. The intermediary may adopt reasonable rules and procedures for the website forum, including registration and authentication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Enforcement of limits. </w:t>
      </w:r>
      <w:r>
        <w:rPr>
          <w:rFonts w:ascii="Times New Roman" w:hAnsi="Times New Roman"/>
          <w:b w:val="false"/>
          <w:i w:val="false"/>
          <w:color w:val="000000"/>
          <w:sz w:val="22"/>
        </w:rPr>
        <w:t xml:space="preserve">The intermediary shall take reasonable measures to ensure that no purchaser exceeds the limits set forth in Iowa Code section </w:t>
      </w:r>
      <w:hyperlink r:id="rId430">
        <w:r>
          <w:rPr>
            <w:rStyle w:val="Hyperlink"/>
            <w:rFonts w:ascii="Times New Roman" w:hAnsi="Times New Roman"/>
            <w:b w:val="false"/>
            <w:i w:val="false"/>
            <w:color w:val="000000"/>
            <w:sz w:val="22"/>
          </w:rPr>
          <w:t>502.202(24)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Administrator access. </w:t>
      </w:r>
      <w:r>
        <w:rPr>
          <w:rFonts w:ascii="Times New Roman" w:hAnsi="Times New Roman"/>
          <w:b w:val="false"/>
          <w:i w:val="false"/>
          <w:color w:val="000000"/>
          <w:sz w:val="22"/>
        </w:rPr>
        <w:t xml:space="preserve">The intermediary shall provide the administrator purchaser-level access at all times to the intermediary website, pursuant to Iowa Code section </w:t>
      </w:r>
      <w:hyperlink r:id="rId431">
        <w:r>
          <w:rPr>
            <w:rStyle w:val="Hyperlink"/>
            <w:rFonts w:ascii="Times New Roman" w:hAnsi="Times New Roman"/>
            <w:b w:val="false"/>
            <w:i w:val="false"/>
            <w:color w:val="000000"/>
            <w:sz w:val="22"/>
          </w:rPr>
          <w:t>502.202(24)</w:t>
        </w:r>
      </w:hyperlink>
      <w:r>
        <w:rPr>
          <w:rFonts w:ascii="Times New Roman" w:hAnsi="Times New Roman"/>
          <w:b w:val="false"/>
          <w:i/>
          <w:color w:val="000000"/>
          <w:sz w:val="22"/>
        </w:rPr>
        <w:t>“g”</w:t>
      </w:r>
      <w:r>
        <w:rPr>
          <w:rFonts w:ascii="Times New Roman" w:hAnsi="Times New Roman"/>
          <w:b w:val="false"/>
          <w:i w:val="false"/>
          <w:color w:val="000000"/>
          <w:sz w:val="22"/>
        </w:rPr>
        <w:t>(8).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50.90(12)</w:t>
      </w:r>
      <w:r>
        <w:rPr>
          <w:rFonts w:ascii="Times New Roman" w:hAnsi="Times New Roman"/>
          <w:b w:val="false"/>
          <w:i w:val="false"/>
          <w:color w:val="000000"/>
          <w:sz w:val="22"/>
        </w:rPr>
        <w:t> </w:t>
      </w:r>
      <w:r>
        <w:rPr>
          <w:rFonts w:ascii="Times New Roman" w:hAnsi="Times New Roman"/>
          <w:b w:val="false"/>
          <w:i/>
          <w:color w:val="000000"/>
          <w:sz w:val="22"/>
        </w:rPr>
        <w:t xml:space="preserve">Prohibited conduct for intermediaries. </w:t>
      </w:r>
      <w:r>
        <w:rPr>
          <w:rFonts w:ascii="Times New Roman" w:hAnsi="Times New Roman"/>
          <w:b w:val="false"/>
          <w:i w:val="false"/>
          <w:color w:val="000000"/>
          <w:sz w:val="22"/>
        </w:rPr>
        <w:t>An intermediary and individuals of the intermediary’s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Shall not have ownership or other financial interest greater than 20 percent in the crowdfunding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Shall not hold, manage, possess, or otherwise handle purchaser funds. Proceeds are to be held in escrow until the minimum impound amount has been met.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Shall not compensate employees, agents or other persons not registered with the administrator for soliciting offers or sales of securities displayed or referenced on the intermediary website.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50.90(13)</w:t>
      </w:r>
      <w:r>
        <w:rPr>
          <w:rFonts w:ascii="Times New Roman" w:hAnsi="Times New Roman"/>
          <w:b w:val="false"/>
          <w:i w:val="false"/>
          <w:color w:val="000000"/>
          <w:sz w:val="22"/>
        </w:rPr>
        <w:t> </w:t>
      </w:r>
      <w:r>
        <w:rPr>
          <w:rFonts w:ascii="Times New Roman" w:hAnsi="Times New Roman"/>
          <w:b w:val="false"/>
          <w:i/>
          <w:color w:val="000000"/>
          <w:sz w:val="22"/>
        </w:rPr>
        <w:t xml:space="preserve">Commissions, fees or other remuneration. </w:t>
      </w:r>
      <w:r>
        <w:rPr>
          <w:rFonts w:ascii="Times New Roman" w:hAnsi="Times New Roman"/>
          <w:b w:val="false"/>
          <w:i w:val="false"/>
          <w:color w:val="000000"/>
          <w:sz w:val="22"/>
        </w:rPr>
        <w:t>Commissions, fees or other remuneration for soliciting any prospective purchaser in connection with the offering shall only be paid to intermediaries or any other persons who are appropriately registered or licensed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50.90(14)</w:t>
      </w:r>
      <w:r>
        <w:rPr>
          <w:rFonts w:ascii="Times New Roman" w:hAnsi="Times New Roman"/>
          <w:b w:val="false"/>
          <w:i w:val="false"/>
          <w:color w:val="000000"/>
          <w:sz w:val="22"/>
        </w:rPr>
        <w:t> </w:t>
      </w:r>
      <w:r>
        <w:rPr>
          <w:rFonts w:ascii="Times New Roman" w:hAnsi="Times New Roman"/>
          <w:b w:val="false"/>
          <w:i/>
          <w:color w:val="000000"/>
          <w:sz w:val="22"/>
        </w:rPr>
        <w:t xml:space="preserve">Advertising and 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Advertising. </w:t>
      </w:r>
      <w:r>
        <w:rPr>
          <w:rFonts w:ascii="Times New Roman" w:hAnsi="Times New Roman"/>
          <w:b w:val="false"/>
          <w:i w:val="false"/>
          <w:color w:val="000000"/>
          <w:sz w:val="22"/>
        </w:rPr>
        <w:t>The crowdfunding issuer shall not advertise the specific details of the offering, except for notices which direct potential purchasers to the intermediary website. Notwithstanding the foregoing, the issuer may distribute a notice that the issuer is conducting an offering of securities, the name of the intermediary through which the offering is being conducted, and a link directing the potential investor to the intermediary. The notice shall contain a disclaimer that the sale of the security is limited to persons who are Iowa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 xml:space="preserve">All communications between the issuer and potential purchasers taking place pursuant to Iowa Code section </w:t>
      </w:r>
      <w:hyperlink r:id="rId432">
        <w:r>
          <w:rPr>
            <w:rStyle w:val="Hyperlink"/>
            <w:rFonts w:ascii="Times New Roman" w:hAnsi="Times New Roman"/>
            <w:b w:val="false"/>
            <w:i w:val="false"/>
            <w:color w:val="000000"/>
            <w:sz w:val="22"/>
          </w:rPr>
          <w:t>502.202(24)</w:t>
        </w:r>
      </w:hyperlink>
      <w:r>
        <w:rPr>
          <w:rFonts w:ascii="Times New Roman" w:hAnsi="Times New Roman"/>
          <w:b w:val="false"/>
          <w:i w:val="false"/>
          <w:color w:val="000000"/>
          <w:sz w:val="22"/>
        </w:rPr>
        <w:t xml:space="preserve"> shall occur through the intermediary website of the intermediary. During the time the securities are being offered on the intermediary website, the intermediary shall, pursuant to paragraphs 50.90(11)</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provide channels through which potential purchasers can communicate with one another and with the issuer about the securities being offered. These communications shall be visible to all those with access to the intermediary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issuer shall respond within ten days to requests for information made by potential purchasers or by the administrator through the intermediary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such additional information is material and not previously included on the intermediary website, the crowdfunding issuer and the Iowa crowdfunding portal shall immediately amend the information contained on the intermediary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50.90(15)</w:t>
      </w:r>
      <w:r>
        <w:rPr>
          <w:rFonts w:ascii="Times New Roman" w:hAnsi="Times New Roman"/>
          <w:b w:val="false"/>
          <w:i w:val="false"/>
          <w:color w:val="000000"/>
          <w:sz w:val="22"/>
        </w:rPr>
        <w:t> </w:t>
      </w:r>
      <w:r>
        <w:rPr>
          <w:rFonts w:ascii="Times New Roman" w:hAnsi="Times New Roman"/>
          <w:b w:val="false"/>
          <w:i/>
          <w:color w:val="000000"/>
          <w:sz w:val="22"/>
        </w:rPr>
        <w:t xml:space="preserve">Offering price. </w:t>
      </w:r>
      <w:r>
        <w:rPr>
          <w:rFonts w:ascii="Times New Roman" w:hAnsi="Times New Roman"/>
          <w:b w:val="false"/>
          <w:i w:val="false"/>
          <w:color w:val="000000"/>
          <w:sz w:val="22"/>
        </w:rPr>
        <w:t>The offering price of the securities offered and sold pursuant to this exemption shall be the same for all purchasers and shall not be increased during the offering period. The offering price may be lowered, but only if all previous purchasers in the particular offering are notified of the change and allowed to rescind their previous investment and participate at the lower offering price.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50.90(16)</w:t>
      </w:r>
      <w:r>
        <w:rPr>
          <w:rFonts w:ascii="Times New Roman" w:hAnsi="Times New Roman"/>
          <w:b w:val="false"/>
          <w:i w:val="false"/>
          <w:color w:val="000000"/>
          <w:sz w:val="22"/>
        </w:rPr>
        <w:t> </w:t>
      </w:r>
      <w:r>
        <w:rPr>
          <w:rFonts w:ascii="Times New Roman" w:hAnsi="Times New Roman"/>
          <w:b w:val="false"/>
          <w:i/>
          <w:color w:val="000000"/>
          <w:sz w:val="22"/>
        </w:rPr>
        <w:t xml:space="preserve">Resale of securities. </w:t>
      </w:r>
      <w:r>
        <w:rPr>
          <w:rFonts w:ascii="Times New Roman" w:hAnsi="Times New Roman"/>
          <w:b w:val="false"/>
          <w:i w:val="false"/>
          <w:color w:val="000000"/>
          <w:sz w:val="22"/>
        </w:rPr>
        <w:t>On the document that is to serve as evidence of ownership, the issuer shall place a prominent notice which states that the securities have not been registered and which sets forth limitations on resale contained in SEC Rule 147A(e) (17 CFR 230.147A(e)), including that, for a period of six months from the date of last sale by the issuer of the securities in the offering, resale by any person shall be made only to Iowa residents.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3">
        <w:r>
          <w:rPr>
            <w:rStyle w:val="Hyperlink"/>
            <w:rFonts w:ascii="Times New Roman" w:hAnsi="Times New Roman"/>
            <w:b w:val="false"/>
            <w:i w:val="false"/>
            <w:color w:val="000000"/>
            <w:sz w:val="22"/>
          </w:rPr>
          <w:t>502.202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191—50.91</w:t>
      </w:r>
      <w:r>
        <w:rPr>
          <w:rFonts w:ascii="Times New Roman" w:hAnsi="Times New Roman"/>
          <w:b/>
          <w:i w:val="false"/>
          <w:color w:val="000000"/>
          <w:sz w:val="22"/>
        </w:rPr>
        <w:t xml:space="preserve">(502) </w:t>
      </w:r>
      <w:r>
        <w:rPr>
          <w:rFonts w:ascii="Times New Roman" w:hAnsi="Times New Roman"/>
          <w:b/>
          <w:i w:val="false"/>
          <w:color w:val="000000"/>
          <w:sz w:val="22"/>
        </w:rPr>
        <w:t xml:space="preserve">Notice filing requirement for federal crowdfunding offerings. </w:t>
      </w:r>
      <w:r>
        <w:rPr>
          <w:rFonts w:ascii="Times New Roman" w:hAnsi="Times New Roman"/>
          <w:b w:val="false"/>
          <w:i w:val="false"/>
          <w:color w:val="000000"/>
          <w:sz w:val="22"/>
        </w:rPr>
        <w:t xml:space="preserve">This rule applies to offerings made under 17 CFR Section 227, federal Regulation Crowdfunding, General Rules and Regulations, and </w:t>
      </w:r>
      <w:r>
        <w:rPr>
          <w:rFonts w:ascii="Times New Roman" w:hAnsi="Times New Roman"/>
          <w:b w:val="false"/>
          <w:i w:val="false"/>
          <w:color w:val="000000"/>
          <w:sz w:val="22"/>
        </w:rPr>
        <w:t>Sections 4(a)(6) and 18(b)(4)(C) of the Securities Act of 1933</w:t>
      </w:r>
      <w:r>
        <w:rPr>
          <w:rFonts w:ascii="Times New Roman" w:hAnsi="Times New Roman"/>
          <w:b w:val="false"/>
          <w:i w:val="false"/>
          <w:color w:val="000000"/>
          <w:sz w:val="22"/>
        </w:rPr>
        <w:t xml:space="preserve"> (referred to collectively as “federal Regulation Crowdfunding”).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50.91(1)</w:t>
      </w:r>
      <w:r>
        <w:rPr>
          <w:rFonts w:ascii="Times New Roman" w:hAnsi="Times New Roman"/>
          <w:b w:val="false"/>
          <w:i w:val="false"/>
          <w:color w:val="000000"/>
          <w:sz w:val="22"/>
        </w:rPr>
        <w:t> </w:t>
      </w:r>
      <w:r>
        <w:rPr>
          <w:rFonts w:ascii="Times New Roman" w:hAnsi="Times New Roman"/>
          <w:b w:val="false"/>
          <w:i/>
          <w:color w:val="000000"/>
          <w:sz w:val="22"/>
        </w:rPr>
        <w:t xml:space="preserve">Initial filing.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issuer that offers and sells securities in this state in an offering that is exempt under federal Regulation Crowdfunding and that either (1) has its principal place of business in this state or (2) sells 50 percent or greater of the aggregate amount of the offering to residents of this state shall file with the administrator the following related to that exempt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Uniform Notice of Federal Crowdfunding Offering form (Form U-CF, accessible through </w:t>
      </w:r>
      <w:hyperlink r:id="rId434">
        <w:r>
          <w:rPr>
            <w:rStyle w:val="Hyperlink"/>
            <w:rFonts w:ascii="Times New Roman" w:hAnsi="Times New Roman"/>
            <w:b w:val="false"/>
            <w:i w:val="false"/>
            <w:color w:val="000000"/>
            <w:sz w:val="22"/>
            <w:u w:val="single"/>
          </w:rPr>
          <w:t>www.nasaa.org/industry-resources/uniform-forms/</w:t>
        </w:r>
      </w:hyperlink>
      <w:r>
        <w:rPr>
          <w:rFonts w:ascii="Times New Roman" w:hAnsi="Times New Roman"/>
          <w:b w:val="false"/>
          <w:i w:val="false"/>
          <w:color w:val="000000"/>
          <w:sz w:val="22"/>
        </w:rPr>
        <w:t>) or copies of all documents the issuer filed with the Securities and Exchange Commission related to that exempt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issuer is not filing on the Uniform Notice of Federal Crowdfunding Offering form, a completed consent to service of process form (Form U2, accessible through </w:t>
      </w:r>
      <w:hyperlink r:id="rId435">
        <w:r>
          <w:rPr>
            <w:rStyle w:val="Hyperlink"/>
            <w:rFonts w:ascii="Times New Roman" w:hAnsi="Times New Roman"/>
            <w:b w:val="false"/>
            <w:i w:val="false"/>
            <w:color w:val="000000"/>
            <w:sz w:val="22"/>
            <w:u w:val="single"/>
          </w:rPr>
          <w:t>www.nasaa.org/industry-resources/uniform-forms/</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filing fee of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issuer has its principal place of business in this state, the filing required under paragraph 50.91(1)</w:t>
      </w:r>
      <w:r>
        <w:rPr>
          <w:rFonts w:ascii="Times New Roman" w:hAnsi="Times New Roman"/>
          <w:b w:val="false"/>
          <w:i/>
          <w:color w:val="000000"/>
          <w:sz w:val="22"/>
        </w:rPr>
        <w:t>“a”</w:t>
      </w:r>
      <w:r>
        <w:rPr>
          <w:rFonts w:ascii="Times New Roman" w:hAnsi="Times New Roman"/>
          <w:b w:val="false"/>
          <w:i w:val="false"/>
          <w:color w:val="000000"/>
          <w:sz w:val="22"/>
        </w:rPr>
        <w:t xml:space="preserve"> shall be filed with the administrator when the issuer makes its Initial Form C filing with the SEC under the federal Regulation Crowdfunding concerning the offering with the SEC. If the issuer does not have its principal place of business in this state but residents of this state have purchased 50 percent or greater of the aggregate amount of the offering, the filing required under </w:t>
      </w:r>
      <w:hyperlink r:id="rId436">
        <w:r>
          <w:rPr>
            <w:rStyle w:val="Hyperlink"/>
            <w:rFonts w:ascii="Times New Roman" w:hAnsi="Times New Roman"/>
            <w:b w:val="false"/>
            <w:i w:val="false"/>
            <w:color w:val="000000"/>
            <w:sz w:val="22"/>
          </w:rPr>
          <w:t>paragraph 50.91(1)</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filed when the issuer becomes aware that such purchases have met this threshold and in no event later than 30 days from the date of completion of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initial notice filing is effective for 12 months from the date of the filing with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50.91(2)</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For each additional 12-month period in which the same offering described in </w:t>
      </w:r>
      <w:hyperlink r:id="rId437">
        <w:r>
          <w:rPr>
            <w:rStyle w:val="Hyperlink"/>
            <w:rFonts w:ascii="Times New Roman" w:hAnsi="Times New Roman"/>
            <w:b w:val="false"/>
            <w:i w:val="false"/>
            <w:color w:val="000000"/>
            <w:sz w:val="22"/>
          </w:rPr>
          <w:t>paragraph 50.91(1)</w:t>
        </w:r>
      </w:hyperlink>
      <w:r>
        <w:rPr>
          <w:rFonts w:ascii="Times New Roman" w:hAnsi="Times New Roman"/>
          <w:b w:val="false"/>
          <w:i/>
          <w:color w:val="000000"/>
          <w:sz w:val="22"/>
        </w:rPr>
        <w:t>“a”</w:t>
      </w:r>
      <w:r>
        <w:rPr>
          <w:rFonts w:ascii="Times New Roman" w:hAnsi="Times New Roman"/>
          <w:b w:val="false"/>
          <w:i w:val="false"/>
          <w:color w:val="000000"/>
          <w:sz w:val="22"/>
        </w:rPr>
        <w:t xml:space="preserve"> is continued, an issuer conducting an offering under federal Regulation Crowdfunding may renew its notice filing by filing with the administrator the following on or before the expiration of the notice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Uniform Notice of Federal Crowdfunding Offering form (Form U-CF, accessible through </w:t>
      </w:r>
      <w:hyperlink r:id="rId438">
        <w:r>
          <w:rPr>
            <w:rStyle w:val="Hyperlink"/>
            <w:rFonts w:ascii="Times New Roman" w:hAnsi="Times New Roman"/>
            <w:b w:val="false"/>
            <w:i w:val="false"/>
            <w:color w:val="000000"/>
            <w:sz w:val="22"/>
            <w:u w:val="single"/>
          </w:rPr>
          <w:t>www.nasaa.org/industry-resources/uniform-forms/</w:t>
        </w:r>
      </w:hyperlink>
      <w:r>
        <w:rPr>
          <w:rFonts w:ascii="Times New Roman" w:hAnsi="Times New Roman"/>
          <w:b w:val="false"/>
          <w:i w:val="false"/>
          <w:color w:val="000000"/>
          <w:sz w:val="22"/>
        </w:rPr>
        <w:t>), marked “renewal,” or a cover letter or other document requesting renewal;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renewal filing fee of $100.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9">
        <w:r>
          <w:rPr>
            <w:rStyle w:val="Hyperlink"/>
            <w:rFonts w:ascii="Times New Roman" w:hAnsi="Times New Roman"/>
            <w:b w:val="false"/>
            <w:i w:val="false"/>
            <w:color w:val="000000"/>
            <w:sz w:val="22"/>
          </w:rPr>
          <w:t>502.202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3391C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191—50.92</w:t>
      </w:r>
      <w:r>
        <w:rPr>
          <w:rFonts w:ascii="Times New Roman" w:hAnsi="Times New Roman"/>
          <w:b/>
          <w:i w:val="false"/>
          <w:color w:val="000000"/>
          <w:sz w:val="22"/>
        </w:rPr>
        <w:t xml:space="preserve">(502) </w:t>
      </w:r>
      <w:r>
        <w:rPr>
          <w:rFonts w:ascii="Times New Roman" w:hAnsi="Times New Roman"/>
          <w:b/>
          <w:i w:val="false"/>
          <w:color w:val="000000"/>
          <w:sz w:val="22"/>
        </w:rPr>
        <w:t xml:space="preserve">Notice filing requirement for Regulation A – Tier 2 offerings. </w:t>
      </w:r>
      <w:r>
        <w:rPr>
          <w:rFonts w:ascii="Times New Roman" w:hAnsi="Times New Roman"/>
          <w:b w:val="false"/>
          <w:i w:val="false"/>
          <w:color w:val="000000"/>
          <w:sz w:val="22"/>
        </w:rPr>
        <w:t>This rule applies to an issuer offering and selling securities in this state in an offering exempt under Tier 2 of 17 CFR Section 230.251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(“federal Regulation A”) and </w:t>
      </w:r>
      <w:r>
        <w:rPr>
          <w:rFonts w:ascii="Times New Roman" w:hAnsi="Times New Roman"/>
          <w:b w:val="false"/>
          <w:i w:val="false"/>
          <w:color w:val="000000"/>
          <w:sz w:val="22"/>
        </w:rPr>
        <w:t>Sections 18(b)(3) and 18(b)(4) of the Securities Act of 1933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50.92(1)</w:t>
      </w:r>
      <w:r>
        <w:rPr>
          <w:rFonts w:ascii="Times New Roman" w:hAnsi="Times New Roman"/>
          <w:b w:val="false"/>
          <w:i w:val="false"/>
          <w:color w:val="000000"/>
          <w:sz w:val="22"/>
        </w:rPr>
        <w:t> </w:t>
      </w:r>
      <w:r>
        <w:rPr>
          <w:rFonts w:ascii="Times New Roman" w:hAnsi="Times New Roman"/>
          <w:b w:val="false"/>
          <w:i/>
          <w:color w:val="000000"/>
          <w:sz w:val="22"/>
        </w:rPr>
        <w:t xml:space="preserve">Initial filing.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issuer planning to offer and sell securities in this state in an offering exempt under Tier 2 of federal Regulation A shall submit the following to the administrator at least 21 calendar days prior to the initial sale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completed Uniform Notice Filing of Regulation A – Tier 2 Offering form (accessible through </w:t>
      </w:r>
      <w:hyperlink r:id="rId440">
        <w:r>
          <w:rPr>
            <w:rStyle w:val="Hyperlink"/>
            <w:rFonts w:ascii="Times New Roman" w:hAnsi="Times New Roman"/>
            <w:b w:val="false"/>
            <w:i w:val="false"/>
            <w:color w:val="000000"/>
            <w:sz w:val="22"/>
            <w:u w:val="single"/>
          </w:rPr>
          <w:t>www.nasaa.org/industry-resources/uniform-forms/</w:t>
        </w:r>
      </w:hyperlink>
      <w:r>
        <w:rPr>
          <w:rFonts w:ascii="Times New Roman" w:hAnsi="Times New Roman"/>
          <w:b w:val="false"/>
          <w:i w:val="false"/>
          <w:color w:val="000000"/>
          <w:sz w:val="22"/>
        </w:rPr>
        <w:t>) or copies of all documents the issuer filed with the Securities and Exchange Commission related to that Tier 2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issuer is not filing on the Uniform Notice Filing of Regulation A – Tier 2 Offering form, a completed consent to service of process form (Form U2, accessible through </w:t>
      </w:r>
      <w:hyperlink r:id="rId441">
        <w:r>
          <w:rPr>
            <w:rStyle w:val="Hyperlink"/>
            <w:rFonts w:ascii="Times New Roman" w:hAnsi="Times New Roman"/>
            <w:b w:val="false"/>
            <w:i w:val="false"/>
            <w:color w:val="000000"/>
            <w:sz w:val="22"/>
            <w:u w:val="single"/>
          </w:rPr>
          <w:t>www.nasaa.org/industry-resources/uniform-forms/</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filing fee of $400.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initial filing is effective for 12 months from the date of the filing with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50.92(2)</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For each additional 12-month period in which the same offering described in </w:t>
      </w:r>
      <w:hyperlink r:id="rId442">
        <w:r>
          <w:rPr>
            <w:rStyle w:val="Hyperlink"/>
            <w:rFonts w:ascii="Times New Roman" w:hAnsi="Times New Roman"/>
            <w:b w:val="false"/>
            <w:i w:val="false"/>
            <w:color w:val="000000"/>
            <w:sz w:val="22"/>
          </w:rPr>
          <w:t>paragraph 50.92(1)</w:t>
        </w:r>
      </w:hyperlink>
      <w:r>
        <w:rPr>
          <w:rFonts w:ascii="Times New Roman" w:hAnsi="Times New Roman"/>
          <w:b w:val="false"/>
          <w:i/>
          <w:color w:val="000000"/>
          <w:sz w:val="22"/>
        </w:rPr>
        <w:t>“a”</w:t>
      </w:r>
      <w:r>
        <w:rPr>
          <w:rFonts w:ascii="Times New Roman" w:hAnsi="Times New Roman"/>
          <w:b w:val="false"/>
          <w:i w:val="false"/>
          <w:color w:val="000000"/>
          <w:sz w:val="22"/>
        </w:rPr>
        <w:t xml:space="preserve"> is continued, an issuer conducting a Tier 2 offering under federal Regulation A may renew its notice filing by filing with the administrator the following on or before the expiration of the notice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One of the following: the Uniform Notice Filing of Regulation A – Tier 2 Offering form (accessible through </w:t>
      </w:r>
      <w:hyperlink r:id="rId443">
        <w:r>
          <w:rPr>
            <w:rStyle w:val="Hyperlink"/>
            <w:rFonts w:ascii="Times New Roman" w:hAnsi="Times New Roman"/>
            <w:b w:val="false"/>
            <w:i w:val="false"/>
            <w:color w:val="000000"/>
            <w:sz w:val="22"/>
            <w:u w:val="single"/>
          </w:rPr>
          <w:t>www.nasaa.org/industry-resources/uniform-forms/</w:t>
        </w:r>
      </w:hyperlink>
      <w:r>
        <w:rPr>
          <w:rFonts w:ascii="Times New Roman" w:hAnsi="Times New Roman"/>
          <w:b w:val="false"/>
          <w:i w:val="false"/>
          <w:color w:val="000000"/>
          <w:sz w:val="22"/>
        </w:rPr>
        <w:t>), a notice filing form marked “renewal,” or a cover letter or other document requesting renewal;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renewal filing fee of $400.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4">
        <w:r>
          <w:rPr>
            <w:rStyle w:val="Hyperlink"/>
            <w:rFonts w:ascii="Times New Roman" w:hAnsi="Times New Roman"/>
            <w:b w:val="false"/>
            <w:i w:val="false"/>
            <w:color w:val="000000"/>
            <w:sz w:val="22"/>
          </w:rPr>
          <w:t>502.303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3391C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191—50.93</w:t>
      </w:r>
      <w:r>
        <w:rPr>
          <w:rFonts w:ascii="Times New Roman" w:hAnsi="Times New Roman"/>
          <w:b w:val="false"/>
          <w:i w:val="false"/>
          <w:color w:val="000000"/>
          <w:sz w:val="22"/>
        </w:rPr>
        <w:t xml:space="preserve"> to </w:t>
      </w:r>
      <w:r>
        <w:rPr>
          <w:rFonts w:ascii="Times New Roman" w:hAnsi="Times New Roman"/>
          <w:b/>
          <w:i w:val="false"/>
          <w:color w:val="000000"/>
          <w:sz w:val="22"/>
        </w:rPr>
        <w:t>50.99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VII</w:t>
      </w:r>
    </w:p>
    <w:p>
      <w:pPr>
        <w:pBdr>
          <w:bottom w:space="10"/>
        </w:pBdr>
        <w:spacing w:before="0" w:after="0"/>
        <w:ind w:left="120"/>
        <w:jc w:val="center"/>
      </w:pPr>
      <w:r>
        <w:rPr>
          <w:rFonts w:ascii="Times New Roman" w:hAnsi="Times New Roman"/>
          <w:b w:val="false"/>
          <w:i w:val="false"/>
          <w:color w:val="000000"/>
          <w:sz w:val="16"/>
        </w:rPr>
        <w:t>FRAUD AND OTHER PROHIBITED CONDUCT</w:t>
      </w:r>
    </w:p>
    <w:p>
      <w:pPr>
        <w:spacing w:before="0" w:after="0"/>
        <w:ind w:left="120"/>
        <w:jc w:val="both"/>
      </w:pPr>
      <w:r>
        <w:rPr>
          <w:rFonts w:ascii="Times New Roman" w:hAnsi="Times New Roman"/>
          <w:b/>
          <w:i w:val="false"/>
          <w:color w:val="000000"/>
          <w:sz w:val="22"/>
        </w:rPr>
        <w:t>191—50.100</w:t>
      </w:r>
      <w:r>
        <w:rPr>
          <w:rFonts w:ascii="Times New Roman" w:hAnsi="Times New Roman"/>
          <w:b/>
          <w:i w:val="false"/>
          <w:color w:val="000000"/>
          <w:sz w:val="22"/>
        </w:rPr>
        <w:t xml:space="preserve">(502) </w:t>
      </w:r>
      <w:r>
        <w:rPr>
          <w:rFonts w:ascii="Times New Roman" w:hAnsi="Times New Roman"/>
          <w:b/>
          <w:i w:val="false"/>
          <w:color w:val="000000"/>
          <w:sz w:val="22"/>
        </w:rPr>
        <w:t xml:space="preserve">Fraudulent practices.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50.100(1)</w:t>
      </w:r>
      <w:r>
        <w:rPr>
          <w:rFonts w:ascii="Times New Roman" w:hAnsi="Times New Roman"/>
          <w:b w:val="false"/>
          <w:i w:val="false"/>
          <w:color w:val="000000"/>
          <w:sz w:val="22"/>
        </w:rPr>
        <w:t> </w:t>
      </w:r>
      <w:r>
        <w:rPr>
          <w:rFonts w:ascii="Times New Roman" w:hAnsi="Times New Roman"/>
          <w:b w:val="false"/>
          <w:i w:val="false"/>
          <w:color w:val="000000"/>
          <w:sz w:val="22"/>
        </w:rPr>
        <w:t xml:space="preserve">An issuer of securities registered under the Act, or any person who is an officer, director or controlling person of such issuer, is presumed to employ a “device, scheme or artifice to defraud” the purchasers of such securities under Iowa Code section </w:t>
      </w:r>
      <w:hyperlink r:id="rId445">
        <w:r>
          <w:rPr>
            <w:rStyle w:val="Hyperlink"/>
            <w:rFonts w:ascii="Times New Roman" w:hAnsi="Times New Roman"/>
            <w:b w:val="false"/>
            <w:i w:val="false"/>
            <w:color w:val="000000"/>
            <w:sz w:val="22"/>
          </w:rPr>
          <w:t>502.501(1)</w:t>
        </w:r>
      </w:hyperlink>
      <w:r>
        <w:rPr>
          <w:rFonts w:ascii="Times New Roman" w:hAnsi="Times New Roman"/>
          <w:b w:val="false"/>
          <w:i w:val="false"/>
          <w:color w:val="000000"/>
          <w:sz w:val="22"/>
        </w:rPr>
        <w:t xml:space="preserve"> if such person applies, authorizes or causes to be applied any material part of the proceeds from the sale of such securities in any material way contrary to the purposes specified in the prospectus used in offering such securities and not reasonably related to the business of the issuer as described in the prospectus.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50.100(2)</w:t>
      </w:r>
      <w:r>
        <w:rPr>
          <w:rFonts w:ascii="Times New Roman" w:hAnsi="Times New Roman"/>
          <w:b w:val="false"/>
          <w:i w:val="false"/>
          <w:color w:val="000000"/>
          <w:sz w:val="22"/>
        </w:rPr>
        <w:t> </w:t>
      </w:r>
      <w:r>
        <w:rPr>
          <w:rFonts w:ascii="Times New Roman" w:hAnsi="Times New Roman"/>
          <w:b w:val="false"/>
          <w:i w:val="false"/>
          <w:color w:val="000000"/>
          <w:sz w:val="22"/>
        </w:rPr>
        <w:t xml:space="preserve">A broker-dealer or agent employing one or more of the following practices engages in an “act, practice, or course of business which operates or would operate as a fraud” under Iowa Code section </w:t>
      </w:r>
      <w:hyperlink r:id="rId446">
        <w:r>
          <w:rPr>
            <w:rStyle w:val="Hyperlink"/>
            <w:rFonts w:ascii="Times New Roman" w:hAnsi="Times New Roman"/>
            <w:b w:val="false"/>
            <w:i w:val="false"/>
            <w:color w:val="000000"/>
            <w:sz w:val="22"/>
          </w:rPr>
          <w:t>502.501(3)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Entering into any security transaction with a customer at an unreasonable price or at a price not reasonably related to the current market price of the security or receiving an unreasonable commission or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Contradicting or negating the importance of any information contained in a prospectus or other offering materials with intent to deceive or mislead or using any advertising or sales presentation in a deceptive or misleading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connection with the offer, sale, or purchase of a security, falsely leading a customer to believe that the broker-dealer or agent possesses material, nonpublic information impacting the value of the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connection with the solicitation of a sale or purchase of a security, engaging in a pattern or practice of making contradictory recommendations to different investors of similar investment objectives for some to sell and others to purchase the same security, at or about the same time, when the recommendation is not justified by the particular circumstances of each investor.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Failing to make a bona fide public offering of all the securities allotted to a broker-dealer for distribution by, among other things, (1) transferring securities to a customer, another broker-dealer or a fictitious account with the understanding that those securities will be returned to the broker-dealer or its nominees, or (2) parking or withholding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Effecting any transaction in, or inducing the purchase or sale of, any security by means of any manipulative, deceptive or other fraudulent device or contrivance including, but not limited to, the use of “boiler-room” tactics such as repeated or harassing unsolicited telephone calls or the use of fictitious or nominee accounts.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50.100(3)</w:t>
      </w:r>
      <w:r>
        <w:rPr>
          <w:rFonts w:ascii="Times New Roman" w:hAnsi="Times New Roman"/>
          <w:b w:val="false"/>
          <w:i w:val="false"/>
          <w:color w:val="000000"/>
          <w:sz w:val="22"/>
        </w:rPr>
        <w:t> </w:t>
      </w:r>
      <w:r>
        <w:rPr>
          <w:rFonts w:ascii="Times New Roman" w:hAnsi="Times New Roman"/>
          <w:b w:val="false"/>
          <w:i w:val="false"/>
          <w:color w:val="000000"/>
          <w:sz w:val="22"/>
        </w:rPr>
        <w:t xml:space="preserve">Although nothing in this rule precludes applying the general antifraud provisions to any person who engages in practices similar to paragraphs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xml:space="preserve"> listed below, the listed practices apply only to soliciting a purchase or sale of OTC non-NASDAQ equity securities and excludes interests in direct participation programs and shares in open-end mutual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disclose the entity’s present bid and ask price of a particular security at the time of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advise the customer, both at the time of solicitation and on confirmation, of the total of all charges and fees related to a specific securities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connection with a principal transaction, failing to disclose, both at the time of solicitation and upon confirmation, a short inventory position in the entity’s account of more than 5 percent of the issued and outstanding shares of that class of securities of the issuer, if the entity is a market maker at the time of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Conducting sales contests in a particular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After a solicited purchase by a customer, failing or refusing, for a principal transaction, to promptly execute sell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Refusing to sell existing securities held by the customer unless the customer executes a purchase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Soliciting a secondary market when there has not been a bona fide distribution in the primary market.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Engaging in a pattern of compensating an agent in different amounts for effecting sales and purchases in the same security.</w:t>
      </w:r>
    </w:p>
    <w:p>
      <w:pPr>
        <w:spacing w:before="0" w:after="0"/>
        <w:ind w:left="120"/>
        <w:jc w:val="both"/>
      </w:pPr>
      <w:r>
        <w:rPr>
          <w:rFonts w:ascii="Times New Roman" w:hAnsi="Times New Roman"/>
          <w:b w:val="false"/>
          <w:i w:val="false"/>
          <w:color w:val="000000"/>
          <w:sz w:val="22"/>
        </w:rPr>
        <w:t>This list is not intended to be all-inclusive. Engaging in other conduct including, but not limited to, forgery, embezzlement, conversion, nondisclosure, incomplete disclosure or misstatement of material facts may also be deemed fraudulent.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7">
        <w:r>
          <w:rPr>
            <w:rStyle w:val="Hyperlink"/>
            <w:rFonts w:ascii="Times New Roman" w:hAnsi="Times New Roman"/>
            <w:b w:val="false"/>
            <w:i w:val="false"/>
            <w:color w:val="000000"/>
            <w:sz w:val="22"/>
          </w:rPr>
          <w:t>502.501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191—50.101</w:t>
      </w:r>
      <w:r>
        <w:rPr>
          <w:rFonts w:ascii="Times New Roman" w:hAnsi="Times New Roman"/>
          <w:b/>
          <w:i w:val="false"/>
          <w:color w:val="000000"/>
          <w:sz w:val="22"/>
        </w:rPr>
        <w:t xml:space="preserve">(502) </w:t>
      </w:r>
      <w:r>
        <w:rPr>
          <w:rFonts w:ascii="Times New Roman" w:hAnsi="Times New Roman"/>
          <w:b/>
          <w:i w:val="false"/>
          <w:color w:val="000000"/>
          <w:sz w:val="22"/>
        </w:rPr>
        <w:t xml:space="preserve">Rescission offers.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50.101(1)</w:t>
      </w:r>
      <w:r>
        <w:rPr>
          <w:rFonts w:ascii="Times New Roman" w:hAnsi="Times New Roman"/>
          <w:b w:val="false"/>
          <w:i w:val="false"/>
          <w:color w:val="000000"/>
          <w:sz w:val="22"/>
        </w:rPr>
        <w:t> </w:t>
      </w:r>
      <w:r>
        <w:rPr>
          <w:rFonts w:ascii="Times New Roman" w:hAnsi="Times New Roman"/>
          <w:b w:val="false"/>
          <w:i w:val="false"/>
          <w:color w:val="000000"/>
          <w:sz w:val="22"/>
        </w:rPr>
        <w:t xml:space="preserve">Rescission offers made pursuant to Iowa Code section </w:t>
      </w:r>
      <w:hyperlink r:id="rId448">
        <w:r>
          <w:rPr>
            <w:rStyle w:val="Hyperlink"/>
            <w:rFonts w:ascii="Times New Roman" w:hAnsi="Times New Roman"/>
            <w:b w:val="false"/>
            <w:i w:val="false"/>
            <w:color w:val="000000"/>
            <w:sz w:val="22"/>
          </w:rPr>
          <w:t>502.510</w:t>
        </w:r>
      </w:hyperlink>
      <w:r>
        <w:rPr>
          <w:rFonts w:ascii="Times New Roman" w:hAnsi="Times New Roman"/>
          <w:b w:val="false"/>
          <w:i w:val="false"/>
          <w:color w:val="000000"/>
          <w:sz w:val="22"/>
        </w:rPr>
        <w:t xml:space="preserve"> shall be typed or printed and shall be captioned “RESCISSION OFFER” in boldface print or type. The rescission offer shall be delivered to each offeree personally or shall be sent by certified mail to the offeree’s last-known address and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security which is the subject of the offer.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reasonably detailed statement indicating why liability under Iowa Code section </w:t>
      </w:r>
      <w:hyperlink r:id="rId449">
        <w:r>
          <w:rPr>
            <w:rStyle w:val="Hyperlink"/>
            <w:rFonts w:ascii="Times New Roman" w:hAnsi="Times New Roman"/>
            <w:b w:val="false"/>
            <w:i w:val="false"/>
            <w:color w:val="000000"/>
            <w:sz w:val="22"/>
          </w:rPr>
          <w:t>502.509</w:t>
        </w:r>
      </w:hyperlink>
      <w:r>
        <w:rPr>
          <w:rFonts w:ascii="Times New Roman" w:hAnsi="Times New Roman"/>
          <w:b w:val="false"/>
          <w:i w:val="false"/>
          <w:color w:val="000000"/>
          <w:sz w:val="22"/>
        </w:rPr>
        <w:t xml:space="preserve"> may have arisen and fairly and adequately advising the offeree of the offeree’s rights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offer to repurchase the security pursuant to Iowa Code section </w:t>
      </w:r>
      <w:hyperlink r:id="rId450">
        <w:r>
          <w:rPr>
            <w:rStyle w:val="Hyperlink"/>
            <w:rFonts w:ascii="Times New Roman" w:hAnsi="Times New Roman"/>
            <w:b w:val="false"/>
            <w:i w:val="false"/>
            <w:color w:val="000000"/>
            <w:sz w:val="22"/>
          </w:rPr>
          <w:t>502.510(1)</w:t>
        </w:r>
      </w:hyperlink>
      <w:r>
        <w:rPr>
          <w:rFonts w:ascii="Times New Roman" w:hAnsi="Times New Roman"/>
          <w:b w:val="false"/>
          <w:i/>
          <w:color w:val="000000"/>
          <w:sz w:val="22"/>
        </w:rPr>
        <w:t>“b”</w:t>
      </w:r>
      <w:r>
        <w:rPr>
          <w:rFonts w:ascii="Times New Roman" w:hAnsi="Times New Roman"/>
          <w:b w:val="false"/>
          <w:i w:val="false"/>
          <w:color w:val="000000"/>
          <w:sz w:val="22"/>
        </w:rPr>
        <w:t xml:space="preserve"> to </w:t>
      </w:r>
      <w:r>
        <w:rPr>
          <w:rFonts w:ascii="Times New Roman" w:hAnsi="Times New Roman"/>
          <w:b w:val="false"/>
          <w:i/>
          <w:color w:val="000000"/>
          <w:sz w:val="22"/>
        </w:rPr>
        <w:t>“f,”</w:t>
      </w:r>
      <w:r>
        <w:rPr>
          <w:rFonts w:ascii="Times New Roman" w:hAnsi="Times New Roman"/>
          <w:b w:val="false"/>
          <w:i w:val="false"/>
          <w:color w:val="000000"/>
          <w:sz w:val="22"/>
        </w:rPr>
        <w:t xml:space="preserv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the offeree’s right to bring an action under the Act may be lost unless the offeree accepts the offer within 30 days after receiving the offer, or any shorter period, of not less than three days, that the administrator, by order, specifies.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Sufficient information about the issuer and the security offered to permit the offeree to make an informed decision regarding acceptance of the rescission offer including, but not limited to, information about the issuer’s organization and management, its operations and plan of business, and its financial condition as shown by a current financial statement prepared under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form by which the offeree may accept the offer and a statement explaining that the offeree may accept the offer by returning the form to the offerer at the provided address by first-class mail, or any other type of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basis for relief under Iowa Code section </w:t>
      </w:r>
      <w:hyperlink r:id="rId451">
        <w:r>
          <w:rPr>
            <w:rStyle w:val="Hyperlink"/>
            <w:rFonts w:ascii="Times New Roman" w:hAnsi="Times New Roman"/>
            <w:b w:val="false"/>
            <w:i w:val="false"/>
            <w:color w:val="000000"/>
            <w:sz w:val="22"/>
          </w:rPr>
          <w:t>502.510</w:t>
        </w:r>
      </w:hyperlink>
      <w:r>
        <w:rPr>
          <w:rFonts w:ascii="Times New Roman" w:hAnsi="Times New Roman"/>
          <w:b w:val="false"/>
          <w:i w:val="false"/>
          <w:color w:val="000000"/>
          <w:sz w:val="22"/>
        </w:rPr>
        <w:t xml:space="preserve"> alleges a violation of Iowa Code section </w:t>
      </w:r>
      <w:hyperlink r:id="rId452">
        <w:r>
          <w:rPr>
            <w:rStyle w:val="Hyperlink"/>
            <w:rFonts w:ascii="Times New Roman" w:hAnsi="Times New Roman"/>
            <w:b w:val="false"/>
            <w:i w:val="false"/>
            <w:color w:val="000000"/>
            <w:sz w:val="22"/>
          </w:rPr>
          <w:t>502.509</w:t>
        </w:r>
      </w:hyperlink>
      <w:r>
        <w:rPr>
          <w:rFonts w:ascii="Times New Roman" w:hAnsi="Times New Roman"/>
          <w:b w:val="false"/>
          <w:i w:val="false"/>
          <w:color w:val="000000"/>
          <w:sz w:val="22"/>
        </w:rPr>
        <w:t xml:space="preserve"> which employed a device, scheme, or artifice to defraud, made an untrue statement of material fact necessary in order to make the statement made, in light of the circumstances under which it was made, not misleading, or engaged in an act, practice, or course of business that operated or would operate as a fraud or deceit on another person, in capital letters and boldface type at least as large as that used in the body of the printed materials, and placed immediately before the signature of the offerer, the following statement:</w:t>
      </w:r>
    </w:p>
    <w:p>
      <w:pPr>
        <w:spacing w:before="0" w:after="0"/>
        <w:ind w:left="120"/>
        <w:jc w:val="both"/>
      </w:pPr>
      <w:r>
        <w:rPr>
          <w:rFonts w:ascii="Times New Roman" w:hAnsi="Times New Roman"/>
          <w:b w:val="false"/>
          <w:i w:val="false"/>
          <w:color w:val="000000"/>
          <w:sz w:val="14"/>
        </w:rPr>
        <w:t xml:space="preserve">THIS IS A RESCISSION OFFER MADE PURSUANT TO Iowa Code section </w:t>
      </w:r>
      <w:hyperlink r:id="rId453">
        <w:r>
          <w:rPr>
            <w:rStyle w:val="Hyperlink"/>
            <w:rFonts w:ascii="Times New Roman" w:hAnsi="Times New Roman"/>
            <w:b w:val="false"/>
            <w:i w:val="false"/>
            <w:color w:val="000000"/>
            <w:sz w:val="14"/>
          </w:rPr>
          <w:t>502.510</w:t>
        </w:r>
      </w:hyperlink>
      <w:r>
        <w:rPr>
          <w:rFonts w:ascii="Times New Roman" w:hAnsi="Times New Roman"/>
          <w:b w:val="false"/>
          <w:i w:val="false"/>
          <w:color w:val="000000"/>
          <w:sz w:val="14"/>
        </w:rPr>
        <w:t>, A COPY OF WHICH IS ON FILE WITH THE IOWA SECURITIES AND REGULATED INDUSTRIES BUREAU. THE BUREAU MAKES NO RECOMMENDATION AS TO WHETHER THE OFFER SHOULD BE ACCEPTED OR REJECTED NOR HAS THE BUREAU PASSED UPON THE ADEQUACY OR ACCURACY OF THIS OFFER.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basis for relief under Iowa Code section </w:t>
      </w:r>
      <w:hyperlink r:id="rId454">
        <w:r>
          <w:rPr>
            <w:rStyle w:val="Hyperlink"/>
            <w:rFonts w:ascii="Times New Roman" w:hAnsi="Times New Roman"/>
            <w:b w:val="false"/>
            <w:i w:val="false"/>
            <w:color w:val="000000"/>
            <w:sz w:val="22"/>
          </w:rPr>
          <w:t>502.510</w:t>
        </w:r>
      </w:hyperlink>
      <w:r>
        <w:rPr>
          <w:rFonts w:ascii="Times New Roman" w:hAnsi="Times New Roman"/>
          <w:b w:val="false"/>
          <w:i w:val="false"/>
          <w:color w:val="000000"/>
          <w:sz w:val="22"/>
        </w:rPr>
        <w:t xml:space="preserve"> alleges a violation of Iowa Code section </w:t>
      </w:r>
      <w:hyperlink r:id="rId455">
        <w:r>
          <w:rPr>
            <w:rStyle w:val="Hyperlink"/>
            <w:rFonts w:ascii="Times New Roman" w:hAnsi="Times New Roman"/>
            <w:b w:val="false"/>
            <w:i w:val="false"/>
            <w:color w:val="000000"/>
            <w:sz w:val="22"/>
          </w:rPr>
          <w:t>502.509</w:t>
        </w:r>
      </w:hyperlink>
      <w:r>
        <w:rPr>
          <w:rFonts w:ascii="Times New Roman" w:hAnsi="Times New Roman"/>
          <w:b w:val="false"/>
          <w:i w:val="false"/>
          <w:color w:val="000000"/>
          <w:sz w:val="22"/>
        </w:rPr>
        <w:t xml:space="preserve"> which employed a device, scheme, or artifice to defraud, made an untrue statement of material fact necessary in order to make the statement made, in light of the circumstances under which it was made, not misleading, or engaged in an act, practice, or course of business that operated or would operate as a fraud or deceit on another person, prior to making a rescission offer pursuant to Iowa Code section </w:t>
      </w:r>
      <w:hyperlink r:id="rId456">
        <w:r>
          <w:rPr>
            <w:rStyle w:val="Hyperlink"/>
            <w:rFonts w:ascii="Times New Roman" w:hAnsi="Times New Roman"/>
            <w:b w:val="false"/>
            <w:i w:val="false"/>
            <w:color w:val="000000"/>
            <w:sz w:val="22"/>
          </w:rPr>
          <w:t>502.510</w:t>
        </w:r>
      </w:hyperlink>
      <w:r>
        <w:rPr>
          <w:rFonts w:ascii="Times New Roman" w:hAnsi="Times New Roman"/>
          <w:b w:val="false"/>
          <w:i w:val="false"/>
          <w:color w:val="000000"/>
          <w:sz w:val="22"/>
        </w:rPr>
        <w:t>, the offerer shall file with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rescission offer;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all holders or sellers who are to receive the rescission offer;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Financial statements proving that the offerer’s assets are sufficient to meet its obligations should all offerees accept the rescission offer.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Rescission offers made pursuant to Iowa Code section </w:t>
      </w:r>
      <w:hyperlink r:id="rId457">
        <w:r>
          <w:rPr>
            <w:rStyle w:val="Hyperlink"/>
            <w:rFonts w:ascii="Times New Roman" w:hAnsi="Times New Roman"/>
            <w:b w:val="false"/>
            <w:i w:val="false"/>
            <w:color w:val="000000"/>
            <w:sz w:val="22"/>
          </w:rPr>
          <w:t>502.510</w:t>
        </w:r>
      </w:hyperlink>
      <w:r>
        <w:rPr>
          <w:rFonts w:ascii="Times New Roman" w:hAnsi="Times New Roman"/>
          <w:b w:val="false"/>
          <w:i w:val="false"/>
          <w:color w:val="000000"/>
          <w:sz w:val="22"/>
        </w:rPr>
        <w:t xml:space="preserve"> shall be tendered to all persons to whom liability exists or may exist pursuant to Iowa Code section </w:t>
      </w:r>
      <w:hyperlink r:id="rId458">
        <w:r>
          <w:rPr>
            <w:rStyle w:val="Hyperlink"/>
            <w:rFonts w:ascii="Times New Roman" w:hAnsi="Times New Roman"/>
            <w:b w:val="false"/>
            <w:i w:val="false"/>
            <w:color w:val="000000"/>
            <w:sz w:val="22"/>
          </w:rPr>
          <w:t>502.509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50.101(4)</w:t>
      </w:r>
      <w:r>
        <w:rPr>
          <w:rFonts w:ascii="Times New Roman" w:hAnsi="Times New Roman"/>
          <w:b w:val="false"/>
          <w:i w:val="false"/>
          <w:color w:val="000000"/>
          <w:sz w:val="22"/>
        </w:rPr>
        <w:t> </w:t>
      </w:r>
      <w:r>
        <w:rPr>
          <w:rFonts w:ascii="Times New Roman" w:hAnsi="Times New Roman"/>
          <w:b w:val="false"/>
          <w:i w:val="false"/>
          <w:color w:val="000000"/>
          <w:sz w:val="22"/>
        </w:rPr>
        <w:t>A rescission offer may be accepted at any time during the period stated in the rescission offer even if an offeree previously rejected the offer.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50.101(5)</w:t>
      </w:r>
      <w:r>
        <w:rPr>
          <w:rFonts w:ascii="Times New Roman" w:hAnsi="Times New Roman"/>
          <w:b w:val="false"/>
          <w:i w:val="false"/>
          <w:color w:val="000000"/>
          <w:sz w:val="22"/>
        </w:rPr>
        <w:t> </w:t>
      </w:r>
      <w:r>
        <w:rPr>
          <w:rFonts w:ascii="Times New Roman" w:hAnsi="Times New Roman"/>
          <w:b w:val="false"/>
          <w:i w:val="false"/>
          <w:color w:val="000000"/>
          <w:sz w:val="22"/>
        </w:rPr>
        <w:t xml:space="preserve">Rescission offers are subject to the provisions of Iowa Code sections </w:t>
      </w:r>
      <w:hyperlink r:id="rId459">
        <w:r>
          <w:rPr>
            <w:rStyle w:val="Hyperlink"/>
            <w:rFonts w:ascii="Times New Roman" w:hAnsi="Times New Roman"/>
            <w:b w:val="false"/>
            <w:i w:val="false"/>
            <w:color w:val="000000"/>
            <w:sz w:val="22"/>
          </w:rPr>
          <w:t>502.501</w:t>
        </w:r>
      </w:hyperlink>
      <w:r>
        <w:rPr>
          <w:rFonts w:ascii="Times New Roman" w:hAnsi="Times New Roman"/>
          <w:b w:val="false"/>
          <w:i w:val="false"/>
          <w:color w:val="000000"/>
          <w:sz w:val="22"/>
        </w:rPr>
        <w:t xml:space="preserve">, </w:t>
      </w:r>
      <w:hyperlink r:id="rId460">
        <w:r>
          <w:rPr>
            <w:rStyle w:val="Hyperlink"/>
            <w:rFonts w:ascii="Times New Roman" w:hAnsi="Times New Roman"/>
            <w:b w:val="false"/>
            <w:i w:val="false"/>
            <w:color w:val="000000"/>
            <w:sz w:val="22"/>
          </w:rPr>
          <w:t>502.501A</w:t>
        </w:r>
      </w:hyperlink>
      <w:r>
        <w:rPr>
          <w:rFonts w:ascii="Times New Roman" w:hAnsi="Times New Roman"/>
          <w:b w:val="false"/>
          <w:i w:val="false"/>
          <w:color w:val="000000"/>
          <w:sz w:val="22"/>
        </w:rPr>
        <w:t xml:space="preserve">, </w:t>
      </w:r>
      <w:hyperlink r:id="rId461">
        <w:r>
          <w:rPr>
            <w:rStyle w:val="Hyperlink"/>
            <w:rFonts w:ascii="Times New Roman" w:hAnsi="Times New Roman"/>
            <w:b w:val="false"/>
            <w:i w:val="false"/>
            <w:color w:val="000000"/>
            <w:sz w:val="22"/>
          </w:rPr>
          <w:t>502.505</w:t>
        </w:r>
      </w:hyperlink>
      <w:r>
        <w:rPr>
          <w:rFonts w:ascii="Times New Roman" w:hAnsi="Times New Roman"/>
          <w:b w:val="false"/>
          <w:i w:val="false"/>
          <w:color w:val="000000"/>
          <w:sz w:val="22"/>
        </w:rPr>
        <w:t xml:space="preserve">, </w:t>
      </w:r>
      <w:hyperlink r:id="rId462">
        <w:r>
          <w:rPr>
            <w:rStyle w:val="Hyperlink"/>
            <w:rFonts w:ascii="Times New Roman" w:hAnsi="Times New Roman"/>
            <w:b w:val="false"/>
            <w:i w:val="false"/>
            <w:color w:val="000000"/>
            <w:sz w:val="22"/>
          </w:rPr>
          <w:t>502.506</w:t>
        </w:r>
      </w:hyperlink>
      <w:r>
        <w:rPr>
          <w:rFonts w:ascii="Times New Roman" w:hAnsi="Times New Roman"/>
          <w:b w:val="false"/>
          <w:i w:val="false"/>
          <w:color w:val="000000"/>
          <w:sz w:val="22"/>
        </w:rPr>
        <w:t xml:space="preserve">, and </w:t>
      </w:r>
      <w:hyperlink r:id="rId463">
        <w:r>
          <w:rPr>
            <w:rStyle w:val="Hyperlink"/>
            <w:rFonts w:ascii="Times New Roman" w:hAnsi="Times New Roman"/>
            <w:b w:val="false"/>
            <w:i w:val="false"/>
            <w:color w:val="000000"/>
            <w:sz w:val="22"/>
          </w:rPr>
          <w:t>502.506A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50.101(6)</w:t>
      </w:r>
      <w:r>
        <w:rPr>
          <w:rFonts w:ascii="Times New Roman" w:hAnsi="Times New Roman"/>
          <w:b w:val="false"/>
          <w:i w:val="false"/>
          <w:color w:val="000000"/>
          <w:sz w:val="22"/>
        </w:rPr>
        <w:t> </w:t>
      </w:r>
      <w:r>
        <w:rPr>
          <w:rFonts w:ascii="Times New Roman" w:hAnsi="Times New Roman"/>
          <w:b w:val="false"/>
          <w:i w:val="false"/>
          <w:color w:val="000000"/>
          <w:sz w:val="22"/>
        </w:rPr>
        <w:t>The administrator may, in the administrator’s discretion, require proof by the offerer of compliance with this rule and the terms of the rescission offer.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50.101(7)</w:t>
      </w:r>
      <w:r>
        <w:rPr>
          <w:rFonts w:ascii="Times New Roman" w:hAnsi="Times New Roman"/>
          <w:b w:val="false"/>
          <w:i w:val="false"/>
          <w:color w:val="000000"/>
          <w:sz w:val="22"/>
        </w:rPr>
        <w:t> </w:t>
      </w:r>
      <w:r>
        <w:rPr>
          <w:rFonts w:ascii="Times New Roman" w:hAnsi="Times New Roman"/>
          <w:b w:val="false"/>
          <w:i w:val="false"/>
          <w:color w:val="000000"/>
          <w:sz w:val="22"/>
        </w:rPr>
        <w:t>A proposal or the making of a rescission offer shall not limit the administrator’s administrative or enforcement authority provided by the Act.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64">
        <w:r>
          <w:rPr>
            <w:rStyle w:val="Hyperlink"/>
            <w:rFonts w:ascii="Times New Roman" w:hAnsi="Times New Roman"/>
            <w:b w:val="false"/>
            <w:i w:val="false"/>
            <w:color w:val="000000"/>
            <w:sz w:val="22"/>
          </w:rPr>
          <w:t>502.509</w:t>
        </w:r>
      </w:hyperlink>
      <w:r>
        <w:rPr>
          <w:rFonts w:ascii="Times New Roman" w:hAnsi="Times New Roman"/>
          <w:b w:val="false"/>
          <w:i w:val="false"/>
          <w:color w:val="000000"/>
          <w:sz w:val="22"/>
        </w:rPr>
        <w:t xml:space="preserve"> and </w:t>
      </w:r>
      <w:hyperlink r:id="rId465">
        <w:r>
          <w:rPr>
            <w:rStyle w:val="Hyperlink"/>
            <w:rFonts w:ascii="Times New Roman" w:hAnsi="Times New Roman"/>
            <w:b w:val="false"/>
            <w:i w:val="false"/>
            <w:color w:val="000000"/>
            <w:sz w:val="22"/>
          </w:rPr>
          <w:t>502.510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191—50.102</w:t>
      </w:r>
      <w:r>
        <w:rPr>
          <w:rFonts w:ascii="Times New Roman" w:hAnsi="Times New Roman"/>
          <w:b/>
          <w:i w:val="false"/>
          <w:color w:val="000000"/>
          <w:sz w:val="22"/>
        </w:rPr>
        <w:t xml:space="preserve">(502) </w:t>
      </w:r>
      <w:r>
        <w:rPr>
          <w:rFonts w:ascii="Times New Roman" w:hAnsi="Times New Roman"/>
          <w:b/>
          <w:i w:val="false"/>
          <w:color w:val="000000"/>
          <w:sz w:val="22"/>
        </w:rPr>
        <w:t xml:space="preserve">Fraudulent, deceptive or manipulative act, practice, or course of business in providing investment advice.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50.102(1)</w:t>
      </w:r>
      <w:r>
        <w:rPr>
          <w:rFonts w:ascii="Times New Roman" w:hAnsi="Times New Roman"/>
          <w:b w:val="false"/>
          <w:i w:val="false"/>
          <w:color w:val="000000"/>
          <w:sz w:val="22"/>
        </w:rPr>
        <w:t> </w:t>
      </w:r>
      <w:r>
        <w:rPr>
          <w:rFonts w:ascii="Times New Roman" w:hAnsi="Times New Roman"/>
          <w:b w:val="false"/>
          <w:i w:val="false"/>
          <w:color w:val="000000"/>
          <w:sz w:val="22"/>
        </w:rPr>
        <w:t>It shall constitute a fraudulent, deceptive or manipulative act, practice, or course of business for an investment adviser or an investment adviser representative acting as principal for such person’s own account, knowingly to sell any security to or purchase any security from a client or, acting as broker for a person other than such client, knowingly to effect any sale or purchase of any security for the account of such client, without disclosing to such client in writing before the completion of such transaction the capacity in which the investment adviser is acting and obtaining the consent of the client to such transaction. The prohibitions of this subrule shall not apply to any transaction with a customer of a broker-dealer if such broker-dealer is not acting as an investment adviser in relation to such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50.102(2)</w:t>
      </w:r>
      <w:r>
        <w:rPr>
          <w:rFonts w:ascii="Times New Roman" w:hAnsi="Times New Roman"/>
          <w:b w:val="false"/>
          <w:i w:val="false"/>
          <w:color w:val="000000"/>
          <w:sz w:val="22"/>
        </w:rPr>
        <w:t> </w:t>
      </w:r>
      <w:r>
        <w:rPr>
          <w:rFonts w:ascii="Times New Roman" w:hAnsi="Times New Roman"/>
          <w:b w:val="false"/>
          <w:i w:val="false"/>
          <w:color w:val="000000"/>
          <w:sz w:val="22"/>
        </w:rPr>
        <w:t>It shall constitute a fraudulent, deceptive or manipulative act, practice, or course of business for an investment adviser or an investment adviser representative to fail to disclose to any client or prospective client all material facts regarding financial and disciplinary information as provided in 17 CFR Section 275.206(4)-4.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50.102(3)</w:t>
      </w:r>
      <w:r>
        <w:rPr>
          <w:rFonts w:ascii="Times New Roman" w:hAnsi="Times New Roman"/>
          <w:b w:val="false"/>
          <w:i w:val="false"/>
          <w:color w:val="000000"/>
          <w:sz w:val="22"/>
        </w:rPr>
        <w:t> </w:t>
      </w:r>
      <w:r>
        <w:rPr>
          <w:rFonts w:ascii="Times New Roman" w:hAnsi="Times New Roman"/>
          <w:b w:val="false"/>
          <w:i w:val="false"/>
          <w:color w:val="000000"/>
          <w:sz w:val="22"/>
        </w:rPr>
        <w:t>Pooled investment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It shall constitute a fraudulent, deceptive, or manipulative act, practice, or course of business within the meaning of Iowa Code section </w:t>
      </w:r>
      <w:hyperlink r:id="rId466">
        <w:r>
          <w:rPr>
            <w:rStyle w:val="Hyperlink"/>
            <w:rFonts w:ascii="Times New Roman" w:hAnsi="Times New Roman"/>
            <w:b w:val="false"/>
            <w:i w:val="false"/>
            <w:color w:val="000000"/>
            <w:sz w:val="22"/>
          </w:rPr>
          <w:t>502.502(2)</w:t>
        </w:r>
      </w:hyperlink>
      <w:r>
        <w:rPr>
          <w:rFonts w:ascii="Times New Roman" w:hAnsi="Times New Roman"/>
          <w:b w:val="false"/>
          <w:i w:val="false"/>
          <w:color w:val="000000"/>
          <w:sz w:val="22"/>
        </w:rPr>
        <w:t xml:space="preserve"> for any investment adviser to a pooled investment vehicle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Make any untrue statement of a material fact or to omit to state a material fact necessary to make the statements made, in the light of the circumstances under which they were made, not misleading, to any investor or prospective investor in the pooled investment vehicle;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Otherwise engage in any act, practice, or course of business that is fraudulent, deceptive, or manipulative with respect to any investor or prospective investor in the pooled investment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“pooled investment vehicle” means any investment company as defined in Section 3(a) of the Investment Company Act of 1940 (15 U.S.C. 80a-3(a)) or any company that would be an investment company under Section 3(a) of that Act but for the exclusion provided from that definition by either Section 3(c)(1) or Section 3(c)(7) of that Act (15 U.S.C. 80a-3(c)(1) or (7)).</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7">
        <w:r>
          <w:rPr>
            <w:rStyle w:val="Hyperlink"/>
            <w:rFonts w:ascii="Times New Roman" w:hAnsi="Times New Roman"/>
            <w:b w:val="false"/>
            <w:i w:val="false"/>
            <w:color w:val="000000"/>
            <w:sz w:val="22"/>
          </w:rPr>
          <w:t>502.502(2)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191—50.103</w:t>
      </w:r>
      <w:r>
        <w:rPr>
          <w:rFonts w:ascii="Times New Roman" w:hAnsi="Times New Roman"/>
          <w:b/>
          <w:i w:val="false"/>
          <w:color w:val="000000"/>
          <w:sz w:val="22"/>
        </w:rPr>
        <w:t xml:space="preserve">(502) </w:t>
      </w:r>
      <w:r>
        <w:rPr>
          <w:rFonts w:ascii="Times New Roman" w:hAnsi="Times New Roman"/>
          <w:b/>
          <w:i w:val="false"/>
          <w:color w:val="000000"/>
          <w:sz w:val="22"/>
        </w:rPr>
        <w:t xml:space="preserve">Investment advisory contracts.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50.103(1)</w:t>
      </w:r>
      <w:r>
        <w:rPr>
          <w:rFonts w:ascii="Times New Roman" w:hAnsi="Times New Roman"/>
          <w:b w:val="false"/>
          <w:i w:val="false"/>
          <w:color w:val="000000"/>
          <w:sz w:val="22"/>
        </w:rPr>
        <w:t> </w:t>
      </w:r>
      <w:r>
        <w:rPr>
          <w:rFonts w:ascii="Times New Roman" w:hAnsi="Times New Roman"/>
          <w:b w:val="false"/>
          <w:i w:val="false"/>
          <w:color w:val="000000"/>
          <w:sz w:val="22"/>
        </w:rPr>
        <w:t>It is unlawful for any investment adviser to enter into, extend, or renew any investment advisory contract unless the contract provides in writing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investment adviser shall not be compensated on the basis of a share of capital gains or capital appreciation of the funds or any portion of the funds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no assignment of the contract may be made by the investment adviser without the consent of the other party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the investment adviser, if a partnership, shall notify the other party to the contract of any change in the membership of the partnership within a reasonable time after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subrule </w:t>
      </w:r>
      <w:hyperlink r:id="rId468">
        <w:r>
          <w:rPr>
            <w:rStyle w:val="Hyperlink"/>
            <w:rFonts w:ascii="Times New Roman" w:hAnsi="Times New Roman"/>
            <w:b w:val="false"/>
            <w:i w:val="false"/>
            <w:color w:val="000000"/>
            <w:sz w:val="22"/>
          </w:rPr>
          <w:t>50.103(1)</w:t>
        </w:r>
      </w:hyperlink>
      <w:r>
        <w:rPr>
          <w:rFonts w:ascii="Times New Roman" w:hAnsi="Times New Roman"/>
          <w:b w:val="false"/>
          <w:i w:val="false"/>
          <w:color w:val="000000"/>
          <w:sz w:val="22"/>
        </w:rPr>
        <w:t xml:space="preserve"> shall be construed consistent with Sections 205(b) through (d) of the Investment Advisers Act of 1940, the terms of which shall be defined by Investment Advisers Act of 1940 Rules 275.205-1 and 275.205-2.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subrule </w:t>
      </w:r>
      <w:hyperlink r:id="rId469">
        <w:r>
          <w:rPr>
            <w:rStyle w:val="Hyperlink"/>
            <w:rFonts w:ascii="Times New Roman" w:hAnsi="Times New Roman"/>
            <w:b w:val="false"/>
            <w:i w:val="false"/>
            <w:color w:val="000000"/>
            <w:sz w:val="22"/>
          </w:rPr>
          <w:t>50.103(1)</w:t>
        </w:r>
      </w:hyperlink>
      <w:r>
        <w:rPr>
          <w:rFonts w:ascii="Times New Roman" w:hAnsi="Times New Roman"/>
          <w:b w:val="false"/>
          <w:i w:val="false"/>
          <w:color w:val="000000"/>
          <w:sz w:val="22"/>
        </w:rPr>
        <w:t xml:space="preserve"> shall not prohibit compensation on the basis of a share of capital gains or capital appreciation of the funds or any portion of the funds of the client in compliance with the exemption in 17 CFR Section 275.205-3.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0">
        <w:r>
          <w:rPr>
            <w:rStyle w:val="Hyperlink"/>
            <w:rFonts w:ascii="Times New Roman" w:hAnsi="Times New Roman"/>
            <w:b w:val="false"/>
            <w:i w:val="false"/>
            <w:color w:val="000000"/>
            <w:sz w:val="22"/>
          </w:rPr>
          <w:t>502.502(3)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191—50.104</w:t>
      </w:r>
      <w:r>
        <w:rPr>
          <w:rFonts w:ascii="Times New Roman" w:hAnsi="Times New Roman"/>
          <w:b w:val="false"/>
          <w:i w:val="false"/>
          <w:color w:val="000000"/>
          <w:sz w:val="22"/>
        </w:rPr>
        <w:t xml:space="preserve"> to </w:t>
      </w:r>
      <w:r>
        <w:rPr>
          <w:rFonts w:ascii="Times New Roman" w:hAnsi="Times New Roman"/>
          <w:b/>
          <w:i w:val="false"/>
          <w:color w:val="000000"/>
          <w:sz w:val="22"/>
        </w:rPr>
        <w:t>50.109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VIII</w:t>
      </w:r>
    </w:p>
    <w:p>
      <w:pPr>
        <w:pBdr>
          <w:bottom w:space="10"/>
        </w:pBdr>
        <w:spacing w:before="0" w:after="0"/>
        <w:ind w:left="120"/>
        <w:jc w:val="center"/>
      </w:pPr>
      <w:r>
        <w:rPr>
          <w:rFonts w:ascii="Times New Roman" w:hAnsi="Times New Roman"/>
          <w:b w:val="false"/>
          <w:i w:val="false"/>
          <w:color w:val="000000"/>
          <w:sz w:val="16"/>
        </w:rPr>
        <w:t>VIATICAL SETTLEMENT INVESTMENT CONTRACTS</w:t>
      </w:r>
    </w:p>
    <w:p>
      <w:pPr>
        <w:spacing w:before="0" w:after="0"/>
        <w:ind w:left="120"/>
        <w:jc w:val="both"/>
      </w:pPr>
      <w:r>
        <w:rPr>
          <w:rFonts w:ascii="Times New Roman" w:hAnsi="Times New Roman"/>
          <w:b/>
          <w:i w:val="false"/>
          <w:color w:val="000000"/>
          <w:sz w:val="22"/>
        </w:rPr>
        <w:t>191—50.110</w:t>
      </w:r>
      <w:r>
        <w:rPr>
          <w:rFonts w:ascii="Times New Roman" w:hAnsi="Times New Roman"/>
          <w:b/>
          <w:i w:val="false"/>
          <w:color w:val="000000"/>
          <w:sz w:val="22"/>
        </w:rPr>
        <w:t xml:space="preserve">(502) </w:t>
      </w:r>
      <w:r>
        <w:rPr>
          <w:rFonts w:ascii="Times New Roman" w:hAnsi="Times New Roman"/>
          <w:b/>
          <w:i w:val="false"/>
          <w:color w:val="000000"/>
          <w:sz w:val="22"/>
        </w:rPr>
        <w:t xml:space="preserve">Application by viatical settlement investment contract issuers and registration of agents to sell viatical settlement investment contracts.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50.110(1)</w:t>
      </w:r>
      <w:r>
        <w:rPr>
          <w:rFonts w:ascii="Times New Roman" w:hAnsi="Times New Roman"/>
          <w:b w:val="false"/>
          <w:i w:val="false"/>
          <w:color w:val="000000"/>
          <w:sz w:val="22"/>
        </w:rPr>
        <w:t> </w:t>
      </w:r>
      <w:r>
        <w:rPr>
          <w:rFonts w:ascii="Times New Roman" w:hAnsi="Times New Roman"/>
          <w:b w:val="false"/>
          <w:i w:val="false"/>
          <w:color w:val="000000"/>
          <w:sz w:val="22"/>
        </w:rPr>
        <w:t>Under this rule, the term “viatical settlement investment contract issuer” includes, but is not limited to, any individual, company, corporation or other entity that offers or sells, directly or indirectly, viatical settlement investment contracts to investors.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50.110(2)</w:t>
      </w:r>
      <w:r>
        <w:rPr>
          <w:rFonts w:ascii="Times New Roman" w:hAnsi="Times New Roman"/>
          <w:b w:val="false"/>
          <w:i w:val="false"/>
          <w:color w:val="000000"/>
          <w:sz w:val="22"/>
        </w:rPr>
        <w:t> </w:t>
      </w:r>
      <w:r>
        <w:rPr>
          <w:rFonts w:ascii="Times New Roman" w:hAnsi="Times New Roman"/>
          <w:b w:val="false"/>
          <w:i w:val="false"/>
          <w:color w:val="000000"/>
          <w:sz w:val="22"/>
        </w:rPr>
        <w:t>A viatical settlement investment contract issuer employing agents in Iowa must make prior application to the administrator for this authority. The application shall be made by letter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issuer’s intent to employ agents for the sale of its viatical settlement investment contracts;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address, social security number and proof of satisfaction of subrule </w:t>
      </w:r>
      <w:hyperlink r:id="rId471">
        <w:r>
          <w:rPr>
            <w:rStyle w:val="Hyperlink"/>
            <w:rFonts w:ascii="Times New Roman" w:hAnsi="Times New Roman"/>
            <w:b w:val="false"/>
            <w:i w:val="false"/>
            <w:color w:val="000000"/>
            <w:sz w:val="22"/>
          </w:rPr>
          <w:t>50.110(3)</w:t>
        </w:r>
      </w:hyperlink>
      <w:r>
        <w:rPr>
          <w:rFonts w:ascii="Times New Roman" w:hAnsi="Times New Roman"/>
          <w:b w:val="false"/>
          <w:i w:val="false"/>
          <w:color w:val="000000"/>
          <w:sz w:val="22"/>
        </w:rPr>
        <w:t xml:space="preserve"> for each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50.110(3)</w:t>
      </w:r>
      <w:r>
        <w:rPr>
          <w:rFonts w:ascii="Times New Roman" w:hAnsi="Times New Roman"/>
          <w:b w:val="false"/>
          <w:i w:val="false"/>
          <w:color w:val="000000"/>
          <w:sz w:val="22"/>
        </w:rPr>
        <w:t> </w:t>
      </w:r>
      <w:r>
        <w:rPr>
          <w:rFonts w:ascii="Times New Roman" w:hAnsi="Times New Roman"/>
          <w:b w:val="false"/>
          <w:i w:val="false"/>
          <w:color w:val="000000"/>
          <w:sz w:val="22"/>
        </w:rPr>
        <w:t>An applicant for registration as an Iowa-registered agent of an issuer of viatical settlement investment contracts shall file with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obtaining a passing grade on the FINRA Series 7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obtaining a passing grade on the FINRA Series 63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accurate, complete and signed Form U-4;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$30 filing fee.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72">
        <w:r>
          <w:rPr>
            <w:rStyle w:val="Hyperlink"/>
            <w:rFonts w:ascii="Times New Roman" w:hAnsi="Times New Roman"/>
            <w:b w:val="false"/>
            <w:i w:val="false"/>
            <w:color w:val="000000"/>
            <w:sz w:val="22"/>
          </w:rPr>
          <w:t>502.102(2)</w:t>
        </w:r>
      </w:hyperlink>
      <w:r>
        <w:rPr>
          <w:rFonts w:ascii="Times New Roman" w:hAnsi="Times New Roman"/>
          <w:b w:val="false"/>
          <w:i w:val="false"/>
          <w:color w:val="000000"/>
          <w:sz w:val="22"/>
        </w:rPr>
        <w:t xml:space="preserve">, </w:t>
      </w:r>
      <w:hyperlink r:id="rId473">
        <w:r>
          <w:rPr>
            <w:rStyle w:val="Hyperlink"/>
            <w:rFonts w:ascii="Times New Roman" w:hAnsi="Times New Roman"/>
            <w:b w:val="false"/>
            <w:i w:val="false"/>
            <w:color w:val="000000"/>
            <w:sz w:val="22"/>
          </w:rPr>
          <w:t>502.301</w:t>
        </w:r>
      </w:hyperlink>
      <w:r>
        <w:rPr>
          <w:rFonts w:ascii="Times New Roman" w:hAnsi="Times New Roman"/>
          <w:b w:val="false"/>
          <w:i w:val="false"/>
          <w:color w:val="000000"/>
          <w:sz w:val="22"/>
        </w:rPr>
        <w:t xml:space="preserve"> and </w:t>
      </w:r>
      <w:hyperlink r:id="rId474">
        <w:r>
          <w:rPr>
            <w:rStyle w:val="Hyperlink"/>
            <w:rFonts w:ascii="Times New Roman" w:hAnsi="Times New Roman"/>
            <w:b w:val="false"/>
            <w:i w:val="false"/>
            <w:color w:val="000000"/>
            <w:sz w:val="22"/>
          </w:rPr>
          <w:t>502.402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9169B</w:t>
      </w:r>
      <w:r>
        <w:rPr>
          <w:rFonts w:ascii="Times New Roman" w:hAnsi="Times New Roman"/>
          <w:b w:val="false"/>
          <w:i w:val="false"/>
          <w:color w:val="000000"/>
          <w:sz w:val="16"/>
        </w:rPr>
        <w:t>, IAB 10/20/10, effective 11/24/10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191—50.111</w:t>
      </w:r>
      <w:r>
        <w:rPr>
          <w:rFonts w:ascii="Times New Roman" w:hAnsi="Times New Roman"/>
          <w:b/>
          <w:i w:val="false"/>
          <w:color w:val="000000"/>
          <w:sz w:val="22"/>
        </w:rPr>
        <w:t xml:space="preserve">(502) </w:t>
      </w:r>
      <w:r>
        <w:rPr>
          <w:rFonts w:ascii="Times New Roman" w:hAnsi="Times New Roman"/>
          <w:b/>
          <w:i w:val="false"/>
          <w:color w:val="000000"/>
          <w:sz w:val="22"/>
        </w:rPr>
        <w:t xml:space="preserve">Risk disclosure. </w:t>
      </w:r>
      <w:r>
        <w:rPr>
          <w:rFonts w:ascii="Times New Roman" w:hAnsi="Times New Roman"/>
          <w:b w:val="false"/>
          <w:i w:val="false"/>
          <w:color w:val="000000"/>
          <w:sz w:val="22"/>
        </w:rPr>
        <w:t>Viatical settlement investment contract issuers and registered agents of issuers must provide specific, written disclosures of risk to Iowa investors at the time of the initial offer to sell a viatical settlement investment contract. These disclosures must be preceded by the following caption, which must be in bold, 16-point typeface:</w:t>
      </w:r>
    </w:p>
    <w:p>
      <w:pPr>
        <w:spacing w:before="0" w:after="0"/>
        <w:ind w:left="120"/>
        <w:jc w:val="center"/>
      </w:pPr>
      <w:r>
        <w:rPr>
          <w:rFonts w:ascii="Times New Roman" w:hAnsi="Times New Roman"/>
          <w:b w:val="false"/>
          <w:i w:val="false"/>
          <w:color w:val="000000"/>
          <w:sz w:val="14"/>
        </w:rPr>
        <w:t>IMPORTANT RISK DISCLOSURE INFORMATION—READ BEFORE SIGNING ANY</w:t>
      </w:r>
    </w:p>
    <w:p>
      <w:pPr>
        <w:spacing w:before="0" w:after="0"/>
        <w:ind w:left="120"/>
        <w:jc w:val="center"/>
      </w:pPr>
      <w:r>
        <w:rPr>
          <w:rFonts w:ascii="Times New Roman" w:hAnsi="Times New Roman"/>
          <w:b w:val="false"/>
          <w:i w:val="false"/>
          <w:color w:val="000000"/>
          <w:sz w:val="14"/>
        </w:rPr>
        <w:t>VIATICAL SETTLEMENT INVESTMENT CONTRACT.</w:t>
      </w:r>
    </w:p>
    <w:p>
      <w:pPr>
        <w:spacing w:before="0" w:after="0"/>
        <w:ind w:left="120"/>
        <w:jc w:val="both"/>
      </w:pPr>
      <w:r>
        <w:rPr>
          <w:rFonts w:ascii="Times New Roman" w:hAnsi="Times New Roman"/>
          <w:b w:val="false"/>
          <w:i w:val="false"/>
          <w:color w:val="000000"/>
          <w:sz w:val="22"/>
        </w:rPr>
        <w:t>The disclosure must include, at a minimum,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That the actual annual rate of return on any viatical settlement investment contract is dependent upon an accurate projection of the viator’s life expectancy and the actual date of the viator’s death and that an annual “guaranteed” rate of return is not possible;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Whether, after purchasing the viatical settlement investment contract, the investor will be responsible for payment of premiums on the contract if the viator lives longer than projected and if the investor will be responsible for such premiums, the amount of the premium payment and any resulting negative effect on the investor’s return;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Whether any premium payments on the contract have been escrowed and, if so, the date upon which the escrowed funds will be depleted, who is responsible for payment of premiums after depletion of the funds, and, if applicable, the amount of the premiums;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Whether any premium payments on the contract have been waived, whether the investor will be responsible for payment of the premiums if the insurer who wrote the policy terminates the waiver after purchase, and, if applicable, the amount of the premiums;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Whether the investor is responsible for payment of premiums on the contract if the viator returns to health and, if applicable, the amount of the premiums;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investor is entitled to all or part of the investor’s investment under the contract if the viator’s underlying policy is later determined to be null and void;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Whether the insurance policy is a group policy and, if so, the special risks associated with group policies including, but not limited to, whether the investor is responsible for payment of additional premiums if the policies are sold or converted;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Whether the insurance policy is term insurance and, if so, the special risks associated with term insurance including, but not limited to, whether the investor is responsible for additional premium costs if the viator continues the term policy at the end of the current term;</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Whether the investor will be the beneficiary or owner of the insurance policy and, if the investor is the beneficiary, the special risks associated with beneficiary status;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Whether the insurance policy is contestable and, if so, the special risks associated with contestability including, but not limited to, the risk that the investor will have no claim or only a partial claim to death benefits should the insurer cancel the policy within the contestability period;</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Who is making the projection of the viator’s life expectancy, the information upon which the projection is based, and the relationship of the projection maker to the issuer;</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Who is monitoring the viator’s condition, how often the monitoring is done, how the date of death is determined, and how and when this information will be transmitted to the investor;</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Whether the insurer who wrote the viator’s underlying policy has any additional rights which could negatively affect or extinguish the investor’s rights under the viatical settlement investment contract, what these rights are, and under what conditions these rights are activated;</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That a viatical settlement investment contract is not a liquid investment and that there is no established secondary market for resale of these products by the investor;</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That the investor will receive no returns (i.e., dividends and interest) until the viator dies; and</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That the investor may lose all benefits or receive substantially reduced benefits if the insurer goes out of business during the term of the viatical investment.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75">
        <w:r>
          <w:rPr>
            <w:rStyle w:val="Hyperlink"/>
            <w:rFonts w:ascii="Times New Roman" w:hAnsi="Times New Roman"/>
            <w:b w:val="false"/>
            <w:i w:val="false"/>
            <w:color w:val="000000"/>
            <w:sz w:val="22"/>
          </w:rPr>
          <w:t>502.102</w:t>
        </w:r>
      </w:hyperlink>
      <w:r>
        <w:rPr>
          <w:rFonts w:ascii="Times New Roman" w:hAnsi="Times New Roman"/>
          <w:b w:val="false"/>
          <w:i w:val="false"/>
          <w:color w:val="000000"/>
          <w:sz w:val="22"/>
        </w:rPr>
        <w:t xml:space="preserve">, </w:t>
      </w:r>
      <w:hyperlink r:id="rId476">
        <w:r>
          <w:rPr>
            <w:rStyle w:val="Hyperlink"/>
            <w:rFonts w:ascii="Times New Roman" w:hAnsi="Times New Roman"/>
            <w:b w:val="false"/>
            <w:i w:val="false"/>
            <w:color w:val="000000"/>
            <w:sz w:val="22"/>
          </w:rPr>
          <w:t>502.201(9E)</w:t>
        </w:r>
      </w:hyperlink>
      <w:r>
        <w:rPr>
          <w:rFonts w:ascii="Times New Roman" w:hAnsi="Times New Roman"/>
          <w:b w:val="false"/>
          <w:i w:val="false"/>
          <w:color w:val="000000"/>
          <w:sz w:val="22"/>
        </w:rPr>
        <w:t xml:space="preserve"> and </w:t>
      </w:r>
      <w:hyperlink r:id="rId477">
        <w:r>
          <w:rPr>
            <w:rStyle w:val="Hyperlink"/>
            <w:rFonts w:ascii="Times New Roman" w:hAnsi="Times New Roman"/>
            <w:b w:val="false"/>
            <w:i w:val="false"/>
            <w:color w:val="000000"/>
            <w:sz w:val="22"/>
          </w:rPr>
          <w:t>502.301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191—50.112</w:t>
      </w:r>
      <w:r>
        <w:rPr>
          <w:rFonts w:ascii="Times New Roman" w:hAnsi="Times New Roman"/>
          <w:b/>
          <w:i w:val="false"/>
          <w:color w:val="000000"/>
          <w:sz w:val="22"/>
        </w:rPr>
        <w:t xml:space="preserve">(502) </w:t>
      </w:r>
      <w:r>
        <w:rPr>
          <w:rFonts w:ascii="Times New Roman" w:hAnsi="Times New Roman"/>
          <w:b/>
          <w:i w:val="false"/>
          <w:color w:val="000000"/>
          <w:sz w:val="22"/>
        </w:rPr>
        <w:t xml:space="preserve">Advertising of viatical settlement investment contracts.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50.112(1)</w:t>
      </w:r>
      <w:r>
        <w:rPr>
          <w:rFonts w:ascii="Times New Roman" w:hAnsi="Times New Roman"/>
          <w:b w:val="false"/>
          <w:i w:val="false"/>
          <w:color w:val="000000"/>
          <w:sz w:val="22"/>
        </w:rPr>
        <w:t> </w:t>
      </w:r>
      <w:r>
        <w:rPr>
          <w:rFonts w:ascii="Times New Roman" w:hAnsi="Times New Roman"/>
          <w:b w:val="false"/>
          <w:i w:val="false"/>
          <w:color w:val="000000"/>
          <w:sz w:val="22"/>
        </w:rPr>
        <w:t>The issuer and agent shall file all viatical settlement investment contract advertisements with the administrator at least ten business days prior to the date of use or a shorter period as the administrator may permit. The administrator shall mark the advertisements with allowance for use or expressly disapprove them during this time frame. The advertisement shall not be used in Iowa until a copy thereof, marked with allowance for use, has been received from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50.112(2)</w:t>
      </w:r>
      <w:r>
        <w:rPr>
          <w:rFonts w:ascii="Times New Roman" w:hAnsi="Times New Roman"/>
          <w:b w:val="false"/>
          <w:i w:val="false"/>
          <w:color w:val="000000"/>
          <w:sz w:val="22"/>
        </w:rPr>
        <w:t> </w:t>
      </w:r>
      <w:r>
        <w:rPr>
          <w:rFonts w:ascii="Times New Roman" w:hAnsi="Times New Roman"/>
          <w:b w:val="false"/>
          <w:i w:val="false"/>
          <w:color w:val="000000"/>
          <w:sz w:val="22"/>
        </w:rPr>
        <w:t>Viatical settlement investment contract advertisements shall contain no more than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address and telephone number of the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security, including minimum purchase requirements and liquidity aspects;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rate of return is advertised, it must be stated as the annual average rate of return, with a disclaimer that this is an annual average rate of return, that individual investor rates of return will vary based upon the viator’s projected and actual date of death, and that an annual rate of return on a viatical settlement investment contract cannot be guaranteed;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agent of the issuer authorized to sell the viatical settlement investment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that the advertisement is neither an offer to sell nor a solicitation of an offer to purchase and that any offer or solicitation may only be made by providing a disclosure document;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How a copy of the disclosure document may be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50.112(3)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rule </w:t>
      </w:r>
      <w:hyperlink r:id="rId478">
        <w:r>
          <w:rPr>
            <w:rStyle w:val="Hyperlink"/>
            <w:rFonts w:ascii="Times New Roman" w:hAnsi="Times New Roman"/>
            <w:b w:val="false"/>
            <w:i w:val="false"/>
            <w:color w:val="000000"/>
            <w:sz w:val="22"/>
          </w:rPr>
          <w:t>191—50.69</w:t>
        </w:r>
      </w:hyperlink>
      <w:r>
        <w:rPr>
          <w:rFonts w:ascii="Times New Roman" w:hAnsi="Times New Roman"/>
          <w:b w:val="false"/>
          <w:i w:val="false"/>
          <w:color w:val="000000"/>
          <w:sz w:val="22"/>
        </w:rPr>
        <w:t xml:space="preserve">(502), certain viatical settlement investment contract advertisements may be deemed false and misleading on their face by the administrator and are prohibited pursuant to Iowa Code sections </w:t>
      </w:r>
      <w:hyperlink r:id="rId479">
        <w:r>
          <w:rPr>
            <w:rStyle w:val="Hyperlink"/>
            <w:rFonts w:ascii="Times New Roman" w:hAnsi="Times New Roman"/>
            <w:b w:val="false"/>
            <w:i w:val="false"/>
            <w:color w:val="000000"/>
            <w:sz w:val="22"/>
          </w:rPr>
          <w:t>502.501</w:t>
        </w:r>
      </w:hyperlink>
      <w:r>
        <w:rPr>
          <w:rFonts w:ascii="Times New Roman" w:hAnsi="Times New Roman"/>
          <w:b w:val="false"/>
          <w:i w:val="false"/>
          <w:color w:val="000000"/>
          <w:sz w:val="22"/>
        </w:rPr>
        <w:t xml:space="preserve"> and </w:t>
      </w:r>
      <w:hyperlink r:id="rId480">
        <w:r>
          <w:rPr>
            <w:rStyle w:val="Hyperlink"/>
            <w:rFonts w:ascii="Times New Roman" w:hAnsi="Times New Roman"/>
            <w:b w:val="false"/>
            <w:i w:val="false"/>
            <w:color w:val="000000"/>
            <w:sz w:val="22"/>
          </w:rPr>
          <w:t>502.504</w:t>
        </w:r>
      </w:hyperlink>
      <w:r>
        <w:rPr>
          <w:rFonts w:ascii="Times New Roman" w:hAnsi="Times New Roman"/>
          <w:b w:val="false"/>
          <w:i w:val="false"/>
          <w:color w:val="000000"/>
          <w:sz w:val="22"/>
        </w:rPr>
        <w:t>. False and misleading viatical settlement investment contract advertisements include, but are not limited to, the following representations: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“Fully secured,” “100% secured,” “fully insured,” “secure,” “safe,” “backed by rated insurance company(ies),” “backed by federal law,” “backed by state law,” or similar representations;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risk,” “minimal risk,” “low risk,” “no speculation,” “no fluctuation,” or similar representations;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“Qualified or approved for IRA, Roth IRA, 401K, SEP, 403B, Keogh plans, TSA, other retirement account rollovers,” “tax deferred,” or similar representations;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“Guaranteed fixed return,” “guaranteed annual return,” “guaranteed principal,” “guaranteed earnings,” “guaranteed profits,” “guaranteed investment,” or similar representations;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sales charges or fees” or similar representations;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“High yield,” “superior return,” “excellent return,” “high return,” “quick profit,” or similar representations;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“Perfect investment,” “proven investment,” or similar representations;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Purported favorable representations or testimonials about the benefits of viaticals as an investment, taken out of context from newspapers, trade papers, journals, radio or television programs, or any other form of print or electronic media.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50.112(4)</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term “advertisement” includes any written, electronic or printed communication or any communication by means of recorded telephone messages or transmitted on radio, television, the Internet, or similar communications media, including filmstrips, motion pictures, and videos, published in connection with the offer or sale of a viatical settlement investment contract.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81">
        <w:r>
          <w:rPr>
            <w:rStyle w:val="Hyperlink"/>
            <w:rFonts w:ascii="Times New Roman" w:hAnsi="Times New Roman"/>
            <w:b w:val="false"/>
            <w:i w:val="false"/>
            <w:color w:val="000000"/>
            <w:sz w:val="22"/>
          </w:rPr>
          <w:t>502.102</w:t>
        </w:r>
      </w:hyperlink>
      <w:r>
        <w:rPr>
          <w:rFonts w:ascii="Times New Roman" w:hAnsi="Times New Roman"/>
          <w:b w:val="false"/>
          <w:i w:val="false"/>
          <w:color w:val="000000"/>
          <w:sz w:val="22"/>
        </w:rPr>
        <w:t xml:space="preserve">, </w:t>
      </w:r>
      <w:hyperlink r:id="rId482">
        <w:r>
          <w:rPr>
            <w:rStyle w:val="Hyperlink"/>
            <w:rFonts w:ascii="Times New Roman" w:hAnsi="Times New Roman"/>
            <w:b w:val="false"/>
            <w:i w:val="false"/>
            <w:color w:val="000000"/>
            <w:sz w:val="22"/>
          </w:rPr>
          <w:t>502.301</w:t>
        </w:r>
      </w:hyperlink>
      <w:r>
        <w:rPr>
          <w:rFonts w:ascii="Times New Roman" w:hAnsi="Times New Roman"/>
          <w:b w:val="false"/>
          <w:i w:val="false"/>
          <w:color w:val="000000"/>
          <w:sz w:val="22"/>
        </w:rPr>
        <w:t xml:space="preserve">, and </w:t>
      </w:r>
      <w:hyperlink r:id="rId483">
        <w:r>
          <w:rPr>
            <w:rStyle w:val="Hyperlink"/>
            <w:rFonts w:ascii="Times New Roman" w:hAnsi="Times New Roman"/>
            <w:b w:val="false"/>
            <w:i w:val="false"/>
            <w:color w:val="000000"/>
            <w:sz w:val="22"/>
          </w:rPr>
          <w:t>502.504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191—50.113</w:t>
      </w:r>
      <w:r>
        <w:rPr>
          <w:rFonts w:ascii="Times New Roman" w:hAnsi="Times New Roman"/>
          <w:b/>
          <w:i w:val="false"/>
          <w:color w:val="000000"/>
          <w:sz w:val="22"/>
        </w:rPr>
        <w:t xml:space="preserve">(502) </w:t>
      </w:r>
      <w:r>
        <w:rPr>
          <w:rFonts w:ascii="Times New Roman" w:hAnsi="Times New Roman"/>
          <w:b/>
          <w:i w:val="false"/>
          <w:color w:val="000000"/>
          <w:sz w:val="22"/>
        </w:rPr>
        <w:t xml:space="preserve">Duty to disclose. </w:t>
      </w:r>
      <w:r>
        <w:rPr>
          <w:rFonts w:ascii="Times New Roman" w:hAnsi="Times New Roman"/>
          <w:b w:val="false"/>
          <w:i w:val="false"/>
          <w:color w:val="000000"/>
          <w:sz w:val="22"/>
        </w:rPr>
        <w:t xml:space="preserve">Issuers and agents equally share an affirmative duty to disclose all relevant and material information to prospective investors in viatical settlement investment contracts. The required disclosure is the registration statement required by Iowa Code section </w:t>
      </w:r>
      <w:hyperlink r:id="rId484">
        <w:r>
          <w:rPr>
            <w:rStyle w:val="Hyperlink"/>
            <w:rFonts w:ascii="Times New Roman" w:hAnsi="Times New Roman"/>
            <w:b w:val="false"/>
            <w:i w:val="false"/>
            <w:color w:val="000000"/>
            <w:sz w:val="22"/>
          </w:rPr>
          <w:t>502.304</w:t>
        </w:r>
      </w:hyperlink>
      <w:r>
        <w:rPr>
          <w:rFonts w:ascii="Times New Roman" w:hAnsi="Times New Roman"/>
          <w:b w:val="false"/>
          <w:i w:val="false"/>
          <w:color w:val="000000"/>
          <w:sz w:val="22"/>
        </w:rPr>
        <w:t xml:space="preserve"> which has been reviewed and made effective by the administrator.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85">
        <w:r>
          <w:rPr>
            <w:rStyle w:val="Hyperlink"/>
            <w:rFonts w:ascii="Times New Roman" w:hAnsi="Times New Roman"/>
            <w:b w:val="false"/>
            <w:i w:val="false"/>
            <w:color w:val="000000"/>
            <w:sz w:val="22"/>
          </w:rPr>
          <w:t>502.102</w:t>
        </w:r>
      </w:hyperlink>
      <w:r>
        <w:rPr>
          <w:rFonts w:ascii="Times New Roman" w:hAnsi="Times New Roman"/>
          <w:b w:val="false"/>
          <w:i w:val="false"/>
          <w:color w:val="000000"/>
          <w:sz w:val="22"/>
        </w:rPr>
        <w:t xml:space="preserve"> and </w:t>
      </w:r>
      <w:hyperlink r:id="rId486">
        <w:r>
          <w:rPr>
            <w:rStyle w:val="Hyperlink"/>
            <w:rFonts w:ascii="Times New Roman" w:hAnsi="Times New Roman"/>
            <w:b w:val="false"/>
            <w:i w:val="false"/>
            <w:color w:val="000000"/>
            <w:sz w:val="22"/>
          </w:rPr>
          <w:t>502.201</w:t>
        </w:r>
      </w:hyperlink>
      <w:r>
        <w:rPr>
          <w:rFonts w:ascii="Times New Roman" w:hAnsi="Times New Roman"/>
          <w:b w:val="false"/>
          <w:i w:val="false"/>
          <w:color w:val="000000"/>
          <w:sz w:val="22"/>
        </w:rPr>
        <w:t>(9E).</w:t>
      </w:r>
    </w:p>
    <w:p>
      <w:pPr>
        <w:spacing w:before="0" w:after="0"/>
        <w:ind w:left="120"/>
        <w:jc w:val="center"/>
      </w:pPr>
      <w:r>
        <w:rPr>
          <w:rFonts w:ascii="Times New Roman" w:hAnsi="Times New Roman"/>
          <w:b w:val="false"/>
          <w:i w:val="false"/>
          <w:color w:val="000000"/>
          <w:sz w:val="21"/>
        </w:rPr>
        <w:t>[Filed 8/1/63; amended 5/18/71, 7/3/75]</w:t>
      </w:r>
    </w:p>
    <w:p>
      <w:pPr>
        <w:spacing w:before="0" w:after="0"/>
        <w:ind w:left="120"/>
        <w:jc w:val="center"/>
      </w:pPr>
      <w:r>
        <w:rPr>
          <w:rFonts w:ascii="Times New Roman" w:hAnsi="Times New Roman"/>
          <w:b w:val="false"/>
          <w:i w:val="false"/>
          <w:color w:val="000000"/>
          <w:sz w:val="21"/>
        </w:rPr>
        <w:t>[Filed 1/13/76, Notice 11/17/75—published 1/26/76, effective 3/1/76]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8/30/76, Notice 7/26/76—published 9/8/76, effective 10/13/76]</w:t>
      </w:r>
    </w:p>
    <w:p>
      <w:pPr>
        <w:spacing w:before="0" w:after="0"/>
        <w:ind w:left="120"/>
        <w:jc w:val="center"/>
      </w:pPr>
      <w:r>
        <w:rPr>
          <w:rFonts w:ascii="Times New Roman" w:hAnsi="Times New Roman"/>
          <w:b w:val="false"/>
          <w:i w:val="false"/>
          <w:color w:val="000000"/>
          <w:sz w:val="21"/>
        </w:rPr>
        <w:t>[Filed 12/30/82, Notice 10/27/82—published 1/19/83, effective 2/24/83]</w:t>
      </w:r>
    </w:p>
    <w:p>
      <w:pPr>
        <w:spacing w:before="0" w:after="0"/>
        <w:ind w:left="120"/>
        <w:jc w:val="center"/>
      </w:pPr>
      <w:r>
        <w:rPr>
          <w:rFonts w:ascii="Times New Roman" w:hAnsi="Times New Roman"/>
          <w:b w:val="false"/>
          <w:i w:val="false"/>
          <w:color w:val="000000"/>
          <w:sz w:val="21"/>
        </w:rPr>
        <w:t>[Filed emergency 7/15/83—published 8/3/83, effective 7/15/83]</w:t>
      </w:r>
    </w:p>
    <w:p>
      <w:pPr>
        <w:spacing w:before="0" w:after="0"/>
        <w:ind w:left="120"/>
        <w:jc w:val="center"/>
      </w:pPr>
      <w:r>
        <w:rPr>
          <w:rFonts w:ascii="Times New Roman" w:hAnsi="Times New Roman"/>
          <w:b w:val="false"/>
          <w:i w:val="false"/>
          <w:color w:val="000000"/>
          <w:sz w:val="21"/>
        </w:rPr>
        <w:t>[Filed 8/27/85, Notice 7/17/85—published 9/25/85, effective 10/30/85]</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10/17/86, Notice 9/10/86—published 11/5/86, effective 12/10/86]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9/18/87, Notice 8/12/87—published 10/7/87, effective 11/11/87]</w:t>
      </w:r>
    </w:p>
    <w:p>
      <w:pPr>
        <w:spacing w:before="0" w:after="0"/>
        <w:ind w:left="120"/>
        <w:jc w:val="center"/>
      </w:pPr>
      <w:r>
        <w:rPr>
          <w:rFonts w:ascii="Times New Roman" w:hAnsi="Times New Roman"/>
          <w:b w:val="false"/>
          <w:i w:val="false"/>
          <w:color w:val="000000"/>
          <w:sz w:val="21"/>
        </w:rPr>
        <w:t>[Filed 12/28/87, Notice 10/7/87—published 1/13/88, effective 2/17/88]</w:t>
      </w:r>
    </w:p>
    <w:p>
      <w:pPr>
        <w:spacing w:before="0" w:after="0"/>
        <w:ind w:left="120"/>
        <w:jc w:val="center"/>
      </w:pPr>
      <w:r>
        <w:rPr>
          <w:rFonts w:ascii="Times New Roman" w:hAnsi="Times New Roman"/>
          <w:b w:val="false"/>
          <w:i w:val="false"/>
          <w:color w:val="000000"/>
          <w:sz w:val="21"/>
        </w:rPr>
        <w:t>[Filed emergency 6/24/88—published 7/13/88, effective 7/1/88]</w:t>
      </w:r>
    </w:p>
    <w:p>
      <w:pPr>
        <w:spacing w:before="0" w:after="0"/>
        <w:ind w:left="120"/>
        <w:jc w:val="center"/>
      </w:pPr>
      <w:r>
        <w:rPr>
          <w:rFonts w:ascii="Times New Roman" w:hAnsi="Times New Roman"/>
          <w:b w:val="false"/>
          <w:i w:val="false"/>
          <w:color w:val="000000"/>
          <w:sz w:val="21"/>
        </w:rPr>
        <w:t>[Filed emergency 9/30/88—published 10/19/88, effective 11/1/88]</w:t>
      </w:r>
    </w:p>
    <w:p>
      <w:pPr>
        <w:spacing w:before="0" w:after="0"/>
        <w:ind w:left="120"/>
        <w:jc w:val="center"/>
      </w:pPr>
      <w:r>
        <w:rPr>
          <w:rFonts w:ascii="Times New Roman" w:hAnsi="Times New Roman"/>
          <w:b w:val="false"/>
          <w:i w:val="false"/>
          <w:color w:val="000000"/>
          <w:sz w:val="21"/>
        </w:rPr>
        <w:t>[Filed 12/22/88, Notice 11/16/88—published 1/11/89, effective 2/15/89]</w:t>
      </w:r>
    </w:p>
    <w:p>
      <w:pPr>
        <w:spacing w:before="0" w:after="0"/>
        <w:ind w:left="120"/>
        <w:jc w:val="center"/>
      </w:pPr>
      <w:r>
        <w:rPr>
          <w:rFonts w:ascii="Times New Roman" w:hAnsi="Times New Roman"/>
          <w:b w:val="false"/>
          <w:i w:val="false"/>
          <w:color w:val="000000"/>
          <w:sz w:val="21"/>
        </w:rPr>
        <w:t>[Filed 9/29/89, Notice 7/12/89—published 10/18/89, effective 11/22/89]</w:t>
      </w:r>
    </w:p>
    <w:p>
      <w:pPr>
        <w:spacing w:before="0" w:after="0"/>
        <w:ind w:left="120"/>
        <w:jc w:val="center"/>
      </w:pPr>
      <w:r>
        <w:rPr>
          <w:rFonts w:ascii="Times New Roman" w:hAnsi="Times New Roman"/>
          <w:b w:val="false"/>
          <w:i w:val="false"/>
          <w:color w:val="000000"/>
          <w:sz w:val="21"/>
        </w:rPr>
        <w:t>[Filed 12/21/90, Notice 6/27/90—published 1/9/91, effective 2/13/91]</w:t>
      </w:r>
    </w:p>
    <w:p>
      <w:pPr>
        <w:spacing w:before="0" w:after="0"/>
        <w:ind w:left="120"/>
        <w:jc w:val="center"/>
      </w:pPr>
      <w:r>
        <w:rPr>
          <w:rFonts w:ascii="Times New Roman" w:hAnsi="Times New Roman"/>
          <w:b w:val="false"/>
          <w:i w:val="false"/>
          <w:color w:val="000000"/>
          <w:sz w:val="21"/>
        </w:rPr>
        <w:t>[Filed emergency 6/21/91—published 7/10/91, effective 6/21/91]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2/14/92, Notice 12/25/91—published 3/4/92, effective 4/8/92]</w:t>
      </w:r>
    </w:p>
    <w:p>
      <w:pPr>
        <w:spacing w:before="0" w:after="0"/>
        <w:ind w:left="120"/>
        <w:jc w:val="center"/>
      </w:pPr>
      <w:r>
        <w:rPr>
          <w:rFonts w:ascii="Times New Roman" w:hAnsi="Times New Roman"/>
          <w:b w:val="false"/>
          <w:i w:val="false"/>
          <w:color w:val="000000"/>
          <w:sz w:val="21"/>
        </w:rPr>
        <w:t>[Filed 2/28/92, Notice 12/11/91—published 3/18/92, effective 4/22/92]</w:t>
      </w:r>
    </w:p>
    <w:p>
      <w:pPr>
        <w:spacing w:before="0" w:after="0"/>
        <w:ind w:left="120"/>
        <w:jc w:val="center"/>
      </w:pPr>
      <w:r>
        <w:rPr>
          <w:rFonts w:ascii="Times New Roman" w:hAnsi="Times New Roman"/>
          <w:b w:val="false"/>
          <w:i w:val="false"/>
          <w:color w:val="000000"/>
          <w:sz w:val="21"/>
        </w:rPr>
        <w:t>[Filed 2/28/92, Notice 12/25/91—published 3/18/92, effective 4/22/92]</w:t>
      </w:r>
    </w:p>
    <w:p>
      <w:pPr>
        <w:spacing w:before="0" w:after="0"/>
        <w:ind w:left="120"/>
        <w:jc w:val="center"/>
      </w:pPr>
      <w:r>
        <w:rPr>
          <w:rFonts w:ascii="Times New Roman" w:hAnsi="Times New Roman"/>
          <w:b w:val="false"/>
          <w:i w:val="false"/>
          <w:color w:val="000000"/>
          <w:sz w:val="21"/>
        </w:rPr>
        <w:t>[Filed 10/23/92, Notice 9/16/92—published 11/11/92, effective 12/16/92]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4/30/93, Notice 3/17/93—published 5/26/93, effective 6/30/93]</w:t>
      </w:r>
    </w:p>
    <w:p>
      <w:pPr>
        <w:spacing w:before="0" w:after="0"/>
        <w:ind w:left="120"/>
        <w:jc w:val="center"/>
      </w:pPr>
      <w:r>
        <w:rPr>
          <w:rFonts w:ascii="Times New Roman" w:hAnsi="Times New Roman"/>
          <w:b w:val="false"/>
          <w:i w:val="false"/>
          <w:color w:val="000000"/>
          <w:sz w:val="21"/>
        </w:rPr>
        <w:t xml:space="preserve"> [Filed 7/2/93, Notice 4/14/93—published 7/21/93, effective 8/25/93]</w:t>
      </w:r>
    </w:p>
    <w:p>
      <w:pPr>
        <w:spacing w:before="0" w:after="0"/>
        <w:ind w:left="120"/>
        <w:jc w:val="center"/>
      </w:pPr>
      <w:r>
        <w:rPr>
          <w:rFonts w:ascii="Times New Roman" w:hAnsi="Times New Roman"/>
          <w:b w:val="false"/>
          <w:i w:val="false"/>
          <w:color w:val="000000"/>
          <w:sz w:val="21"/>
        </w:rPr>
        <w:t>[Filed 12/30/93, Notice 7/21/93—published 1/19/94, effective 2/28/94]</w:t>
      </w:r>
    </w:p>
    <w:p>
      <w:pPr>
        <w:spacing w:before="0" w:after="0"/>
        <w:ind w:left="120"/>
        <w:jc w:val="center"/>
      </w:pPr>
      <w:r>
        <w:rPr>
          <w:rFonts w:ascii="Times New Roman" w:hAnsi="Times New Roman"/>
          <w:b w:val="false"/>
          <w:i w:val="false"/>
          <w:color w:val="000000"/>
          <w:sz w:val="21"/>
        </w:rPr>
        <w:t>[Filed 9/16/94, Notice 8/3/94—published 10/12/94, effective 11/16/94]</w:t>
      </w:r>
    </w:p>
    <w:p>
      <w:pPr>
        <w:spacing w:before="0" w:after="0"/>
        <w:ind w:left="120"/>
        <w:jc w:val="center"/>
      </w:pPr>
      <w:r>
        <w:rPr>
          <w:rFonts w:ascii="Times New Roman" w:hAnsi="Times New Roman"/>
          <w:b w:val="false"/>
          <w:i w:val="false"/>
          <w:color w:val="000000"/>
          <w:sz w:val="21"/>
        </w:rPr>
        <w:t>[Filed without Notice 10/20/94—published 11/9/94, effective 12/14/94]</w:t>
      </w:r>
    </w:p>
    <w:p>
      <w:pPr>
        <w:spacing w:before="0" w:after="0"/>
        <w:ind w:left="120"/>
        <w:jc w:val="center"/>
      </w:pPr>
      <w:r>
        <w:rPr>
          <w:rFonts w:ascii="Times New Roman" w:hAnsi="Times New Roman"/>
          <w:b w:val="false"/>
          <w:i w:val="false"/>
          <w:color w:val="000000"/>
          <w:sz w:val="21"/>
        </w:rPr>
        <w:t>[Filed 3/24/95, Notice 2/15/95—published 4/12/95, effective 5/17/95]</w:t>
      </w:r>
    </w:p>
    <w:p>
      <w:pPr>
        <w:spacing w:before="0" w:after="0"/>
        <w:ind w:left="120"/>
        <w:jc w:val="center"/>
      </w:pPr>
      <w:r>
        <w:rPr>
          <w:rFonts w:ascii="Times New Roman" w:hAnsi="Times New Roman"/>
          <w:b w:val="false"/>
          <w:i w:val="false"/>
          <w:color w:val="000000"/>
          <w:sz w:val="21"/>
        </w:rPr>
        <w:t>[Filed 6/16/95, Notice 2/15/95—published 7/5/95, effective 8/9/95]</w:t>
      </w:r>
    </w:p>
    <w:p>
      <w:pPr>
        <w:spacing w:before="0" w:after="0"/>
        <w:ind w:left="120"/>
        <w:jc w:val="center"/>
      </w:pPr>
      <w:r>
        <w:rPr>
          <w:rFonts w:ascii="Times New Roman" w:hAnsi="Times New Roman"/>
          <w:b w:val="false"/>
          <w:i w:val="false"/>
          <w:color w:val="000000"/>
          <w:sz w:val="21"/>
        </w:rPr>
        <w:t>[Filed 2/22/96, Notice 1/17/96—published 3/13/96, effective 4/17/96]</w:t>
      </w:r>
    </w:p>
    <w:p>
      <w:pPr>
        <w:spacing w:before="0" w:after="0"/>
        <w:ind w:left="120"/>
        <w:jc w:val="center"/>
      </w:pPr>
      <w:r>
        <w:rPr>
          <w:rFonts w:ascii="Times New Roman" w:hAnsi="Times New Roman"/>
          <w:b w:val="false"/>
          <w:i w:val="false"/>
          <w:color w:val="000000"/>
          <w:sz w:val="21"/>
        </w:rPr>
        <w:t>[Filed 7/25/96, Notice 6/19/96—published 8/14/96, effective 9/18/96]</w:t>
      </w:r>
    </w:p>
    <w:p>
      <w:pPr>
        <w:spacing w:before="0" w:after="0"/>
        <w:ind w:left="120"/>
        <w:jc w:val="center"/>
      </w:pPr>
      <w:r>
        <w:rPr>
          <w:rFonts w:ascii="Times New Roman" w:hAnsi="Times New Roman"/>
          <w:b w:val="false"/>
          <w:i w:val="false"/>
          <w:color w:val="000000"/>
          <w:sz w:val="21"/>
        </w:rPr>
        <w:t>[Filed 10/31/96, Notice 9/25/96—published 11/20/96, effective 12/25/96]</w:t>
      </w:r>
    </w:p>
    <w:p>
      <w:pPr>
        <w:spacing w:before="0" w:after="0"/>
        <w:ind w:left="120"/>
        <w:jc w:val="center"/>
      </w:pPr>
      <w:r>
        <w:rPr>
          <w:rFonts w:ascii="Times New Roman" w:hAnsi="Times New Roman"/>
          <w:b w:val="false"/>
          <w:i w:val="false"/>
          <w:color w:val="000000"/>
          <w:sz w:val="21"/>
        </w:rPr>
        <w:t>[Filed 2/19/97, Notice 1/15/97—published 3/12/97, effective 4/16/97]</w:t>
      </w:r>
    </w:p>
    <w:p>
      <w:pPr>
        <w:spacing w:before="0" w:after="0"/>
        <w:ind w:left="120"/>
        <w:jc w:val="center"/>
      </w:pPr>
      <w:r>
        <w:rPr>
          <w:rFonts w:ascii="Times New Roman" w:hAnsi="Times New Roman"/>
          <w:b w:val="false"/>
          <w:i w:val="false"/>
          <w:color w:val="000000"/>
          <w:sz w:val="21"/>
        </w:rPr>
        <w:t>[Filed 5/2/97, Notice 3/26/97—published 5/21/97, effective 6/25/97]</w:t>
      </w:r>
    </w:p>
    <w:p>
      <w:pPr>
        <w:spacing w:before="0" w:after="0"/>
        <w:ind w:left="120"/>
        <w:jc w:val="center"/>
      </w:pPr>
      <w:r>
        <w:rPr>
          <w:rFonts w:ascii="Times New Roman" w:hAnsi="Times New Roman"/>
          <w:b w:val="false"/>
          <w:i w:val="false"/>
          <w:color w:val="000000"/>
          <w:sz w:val="21"/>
        </w:rPr>
        <w:t>[Filed 7/23/97, Notice 6/18/97—published 8/13/97, effective 9/17/97]</w:t>
      </w:r>
    </w:p>
    <w:p>
      <w:pPr>
        <w:spacing w:before="0" w:after="0"/>
        <w:ind w:left="120"/>
        <w:jc w:val="center"/>
      </w:pPr>
      <w:r>
        <w:rPr>
          <w:rFonts w:ascii="Times New Roman" w:hAnsi="Times New Roman"/>
          <w:b w:val="false"/>
          <w:i w:val="false"/>
          <w:color w:val="000000"/>
          <w:sz w:val="21"/>
        </w:rPr>
        <w:t>[Filed 1/23/98, Notice 12/17/97—published 2/11/98, effective 3/18/98]</w:t>
      </w:r>
    </w:p>
    <w:p>
      <w:pPr>
        <w:spacing w:before="0" w:after="0"/>
        <w:ind w:left="120"/>
        <w:jc w:val="center"/>
      </w:pPr>
      <w:r>
        <w:rPr>
          <w:rFonts w:ascii="Times New Roman" w:hAnsi="Times New Roman"/>
          <w:b w:val="false"/>
          <w:i w:val="false"/>
          <w:color w:val="000000"/>
          <w:sz w:val="21"/>
        </w:rPr>
        <w:t>[Filed 7/22/98, Notice 6/17/98—published 8/12/98, effective 9/16/98]</w:t>
      </w:r>
    </w:p>
    <w:p>
      <w:pPr>
        <w:spacing w:before="0" w:after="0"/>
        <w:ind w:left="120"/>
        <w:jc w:val="center"/>
      </w:pPr>
      <w:r>
        <w:rPr>
          <w:rFonts w:ascii="Times New Roman" w:hAnsi="Times New Roman"/>
          <w:b w:val="false"/>
          <w:i w:val="false"/>
          <w:color w:val="000000"/>
          <w:sz w:val="21"/>
        </w:rPr>
        <w:t>[Filed 10/30/98, Notice 9/23/98—published 11/18/98, effective 12/23/98]</w:t>
      </w:r>
    </w:p>
    <w:p>
      <w:pPr>
        <w:spacing w:before="0" w:after="0"/>
        <w:ind w:left="120"/>
        <w:jc w:val="center"/>
      </w:pPr>
      <w:r>
        <w:rPr>
          <w:rFonts w:ascii="Times New Roman" w:hAnsi="Times New Roman"/>
          <w:b w:val="false"/>
          <w:i w:val="false"/>
          <w:color w:val="000000"/>
          <w:sz w:val="21"/>
        </w:rPr>
        <w:t>[Filed 3/5/99, Notice 12/16/98—published 3/24/99, effective 4/28/99]</w:t>
      </w:r>
    </w:p>
    <w:p>
      <w:pPr>
        <w:spacing w:before="0" w:after="0"/>
        <w:ind w:left="120"/>
        <w:jc w:val="center"/>
      </w:pPr>
      <w:r>
        <w:rPr>
          <w:rFonts w:ascii="Times New Roman" w:hAnsi="Times New Roman"/>
          <w:b w:val="false"/>
          <w:i w:val="false"/>
          <w:color w:val="000000"/>
          <w:sz w:val="21"/>
        </w:rPr>
        <w:t>[Filed 4/16/99, Notice 12/16/98—published 5/5/99, effective 6/9/99]</w:t>
      </w:r>
    </w:p>
    <w:p>
      <w:pPr>
        <w:spacing w:before="0" w:after="0"/>
        <w:ind w:left="120"/>
        <w:jc w:val="center"/>
      </w:pPr>
      <w:r>
        <w:rPr>
          <w:rFonts w:ascii="Times New Roman" w:hAnsi="Times New Roman"/>
          <w:b w:val="false"/>
          <w:i w:val="false"/>
          <w:color w:val="000000"/>
          <w:sz w:val="21"/>
        </w:rPr>
        <w:t>[Filed 4/30/99, Notice 12/16/98—published 5/19/99, effective 6/23/00]</w:t>
      </w:r>
    </w:p>
    <w:p>
      <w:pPr>
        <w:spacing w:before="0" w:after="0"/>
        <w:ind w:left="120"/>
        <w:jc w:val="center"/>
      </w:pPr>
      <w:r>
        <w:rPr>
          <w:rFonts w:ascii="Times New Roman" w:hAnsi="Times New Roman"/>
          <w:b w:val="false"/>
          <w:i w:val="false"/>
          <w:color w:val="000000"/>
          <w:sz w:val="21"/>
        </w:rPr>
        <w:t>[Filed 11/24/99, Notice 9/22/99—published 12/15/99, effective 1/19/00]</w:t>
      </w:r>
    </w:p>
    <w:p>
      <w:pPr>
        <w:spacing w:before="0" w:after="0"/>
        <w:ind w:left="120"/>
        <w:jc w:val="center"/>
      </w:pPr>
      <w:r>
        <w:rPr>
          <w:rFonts w:ascii="Times New Roman" w:hAnsi="Times New Roman"/>
          <w:b w:val="false"/>
          <w:i w:val="false"/>
          <w:color w:val="000000"/>
          <w:sz w:val="21"/>
        </w:rPr>
        <w:t>[Filed 1/5/00, Notice 8/11/99—published 1/26/00, effective 3/1/00]</w:t>
      </w:r>
    </w:p>
    <w:p>
      <w:pPr>
        <w:spacing w:before="0" w:after="0"/>
        <w:ind w:left="120"/>
        <w:jc w:val="center"/>
      </w:pPr>
      <w:r>
        <w:rPr>
          <w:rFonts w:ascii="Times New Roman" w:hAnsi="Times New Roman"/>
          <w:b w:val="false"/>
          <w:i w:val="false"/>
          <w:color w:val="000000"/>
          <w:sz w:val="21"/>
        </w:rPr>
        <w:t>[Filed 5/24/01, Notice 4/4/01—published 6/13/01, effective 7/18/01]</w:t>
      </w:r>
    </w:p>
    <w:p>
      <w:pPr>
        <w:spacing w:before="0" w:after="0"/>
        <w:ind w:left="120"/>
        <w:jc w:val="center"/>
      </w:pPr>
      <w:r>
        <w:rPr>
          <w:rFonts w:ascii="Times New Roman" w:hAnsi="Times New Roman"/>
          <w:b w:val="false"/>
          <w:i w:val="false"/>
          <w:color w:val="000000"/>
          <w:sz w:val="21"/>
        </w:rPr>
        <w:t>[Filed 8/31/01, Notice 7/25/01—published 9/19/01, effective 11/1/01]</w:t>
      </w:r>
    </w:p>
    <w:p>
      <w:pPr>
        <w:spacing w:before="0" w:after="0"/>
        <w:ind w:left="120"/>
        <w:jc w:val="center"/>
      </w:pPr>
      <w:r>
        <w:rPr>
          <w:rFonts w:ascii="Times New Roman" w:hAnsi="Times New Roman"/>
          <w:b w:val="false"/>
          <w:i w:val="false"/>
          <w:color w:val="000000"/>
          <w:sz w:val="21"/>
        </w:rPr>
        <w:t>[Filed 8/2/02, Notice 6/26/02—published 8/21/02, effective 9/25/02]</w:t>
      </w:r>
    </w:p>
    <w:p>
      <w:pPr>
        <w:spacing w:before="0" w:after="0"/>
        <w:ind w:left="120"/>
        <w:jc w:val="center"/>
      </w:pPr>
      <w:r>
        <w:rPr>
          <w:rFonts w:ascii="Times New Roman" w:hAnsi="Times New Roman"/>
          <w:b w:val="false"/>
          <w:i w:val="false"/>
          <w:color w:val="000000"/>
          <w:sz w:val="21"/>
        </w:rPr>
        <w:t>[Filed 6/1/07, Notice 4/11/07—published 6/20/07, effective 7/25/07]</w:t>
      </w:r>
    </w:p>
    <w:p>
      <w:pPr>
        <w:spacing w:before="0" w:after="0"/>
        <w:ind w:left="120"/>
        <w:jc w:val="center"/>
      </w:pPr>
      <w:r>
        <w:rPr>
          <w:rFonts w:ascii="Times New Roman" w:hAnsi="Times New Roman"/>
          <w:b w:val="false"/>
          <w:i w:val="false"/>
          <w:color w:val="000000"/>
          <w:sz w:val="21"/>
        </w:rPr>
        <w:t>[Filed 11/29/07, Notice 10/10/07—published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9169B</w:t>
      </w:r>
      <w:r>
        <w:rPr>
          <w:rFonts w:ascii="Times New Roman" w:hAnsi="Times New Roman"/>
          <w:b w:val="false"/>
          <w:i w:val="false"/>
          <w:color w:val="000000"/>
          <w:sz w:val="21"/>
        </w:rPr>
        <w:t xml:space="preserve"> (Notice ARC 9010B, IAB 8/11/10)</w:t>
      </w:r>
      <w:r>
        <w:rPr>
          <w:rFonts w:ascii="Times New Roman" w:hAnsi="Times New Roman"/>
          <w:b w:val="false"/>
          <w:i w:val="false"/>
          <w:color w:val="000000"/>
          <w:sz w:val="21"/>
        </w:rPr>
        <w:t>, IAB 10/20/10, effective 11/24/10]</w:t>
      </w:r>
    </w:p>
    <w:p>
      <w:pPr>
        <w:spacing w:before="0" w:after="0"/>
        <w:ind w:left="120"/>
        <w:jc w:val="center"/>
      </w:pPr>
      <w:r>
        <w:rPr>
          <w:rFonts w:ascii="Times New Roman" w:hAnsi="Times New Roman"/>
          <w:b w:val="false"/>
          <w:i w:val="false"/>
          <w:color w:val="000000"/>
          <w:sz w:val="21"/>
        </w:rPr>
        <w:t>[Filed ARC 1076C</w:t>
      </w:r>
      <w:r>
        <w:rPr>
          <w:rFonts w:ascii="Times New Roman" w:hAnsi="Times New Roman"/>
          <w:b w:val="false"/>
          <w:i w:val="false"/>
          <w:color w:val="000000"/>
          <w:sz w:val="21"/>
        </w:rPr>
        <w:t xml:space="preserve"> (Notice ARC 0716C, IAB 5/1/13)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2175C</w:t>
      </w:r>
      <w:r>
        <w:rPr>
          <w:rFonts w:ascii="Times New Roman" w:hAnsi="Times New Roman"/>
          <w:b w:val="false"/>
          <w:i w:val="false"/>
          <w:color w:val="000000"/>
          <w:sz w:val="21"/>
        </w:rPr>
        <w:t xml:space="preserve"> (Notice ARC 2079C, IAB 8/5/15)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2259C</w:t>
      </w:r>
      <w:r>
        <w:rPr>
          <w:rFonts w:ascii="Times New Roman" w:hAnsi="Times New Roman"/>
          <w:b w:val="false"/>
          <w:i w:val="false"/>
          <w:color w:val="000000"/>
          <w:sz w:val="21"/>
        </w:rPr>
        <w:t xml:space="preserve"> (Notice ARC 2172C, IAB 9/30/15)</w:t>
      </w:r>
      <w:r>
        <w:rPr>
          <w:rFonts w:ascii="Times New Roman" w:hAnsi="Times New Roman"/>
          <w:b w:val="false"/>
          <w:i w:val="false"/>
          <w:color w:val="000000"/>
          <w:sz w:val="21"/>
        </w:rPr>
        <w:t>, IAB 11/25/15, effective 1/1/16]</w:t>
      </w:r>
    </w:p>
    <w:p>
      <w:pPr>
        <w:spacing w:before="0" w:after="0"/>
        <w:ind w:left="120"/>
        <w:jc w:val="center"/>
      </w:pPr>
      <w:r>
        <w:rPr>
          <w:rFonts w:ascii="Times New Roman" w:hAnsi="Times New Roman"/>
          <w:b w:val="false"/>
          <w:i w:val="false"/>
          <w:color w:val="000000"/>
          <w:sz w:val="21"/>
        </w:rPr>
        <w:t>[Filed ARC 2731C</w:t>
      </w:r>
      <w:r>
        <w:rPr>
          <w:rFonts w:ascii="Times New Roman" w:hAnsi="Times New Roman"/>
          <w:b w:val="false"/>
          <w:i w:val="false"/>
          <w:color w:val="000000"/>
          <w:sz w:val="21"/>
        </w:rPr>
        <w:t xml:space="preserve"> (Notice ARC 2668C, IAB 8/3/16)</w:t>
      </w:r>
      <w:r>
        <w:rPr>
          <w:rFonts w:ascii="Times New Roman" w:hAnsi="Times New Roman"/>
          <w:b w:val="false"/>
          <w:i w:val="false"/>
          <w:color w:val="000000"/>
          <w:sz w:val="21"/>
        </w:rPr>
        <w:t>, IAB 9/28/16, effective 11/2/16]</w:t>
      </w:r>
    </w:p>
    <w:p>
      <w:pPr>
        <w:spacing w:before="0" w:after="0"/>
        <w:ind w:left="120"/>
        <w:jc w:val="center"/>
      </w:pPr>
      <w:r>
        <w:rPr>
          <w:rFonts w:ascii="Times New Roman" w:hAnsi="Times New Roman"/>
          <w:b w:val="false"/>
          <w:i w:val="false"/>
          <w:color w:val="000000"/>
          <w:sz w:val="21"/>
        </w:rPr>
        <w:t>[Filed ARC 2872C</w:t>
      </w:r>
      <w:r>
        <w:rPr>
          <w:rFonts w:ascii="Times New Roman" w:hAnsi="Times New Roman"/>
          <w:b w:val="false"/>
          <w:i w:val="false"/>
          <w:color w:val="000000"/>
          <w:sz w:val="21"/>
        </w:rPr>
        <w:t xml:space="preserve"> (Notice ARC 2787C, IAB 10/26/16)</w:t>
      </w:r>
      <w:r>
        <w:rPr>
          <w:rFonts w:ascii="Times New Roman" w:hAnsi="Times New Roman"/>
          <w:b w:val="false"/>
          <w:i w:val="false"/>
          <w:color w:val="000000"/>
          <w:sz w:val="21"/>
        </w:rPr>
        <w:t>, IAB 12/21/16, effective 1/25/17]</w:t>
      </w:r>
    </w:p>
    <w:p>
      <w:pPr>
        <w:spacing w:before="0" w:after="0"/>
        <w:ind w:left="120"/>
        <w:jc w:val="center"/>
      </w:pPr>
      <w:r>
        <w:rPr>
          <w:rFonts w:ascii="Times New Roman" w:hAnsi="Times New Roman"/>
          <w:b w:val="false"/>
          <w:i w:val="false"/>
          <w:color w:val="000000"/>
          <w:sz w:val="21"/>
        </w:rPr>
        <w:t>[Filed ARC 3391C</w:t>
      </w:r>
      <w:r>
        <w:rPr>
          <w:rFonts w:ascii="Times New Roman" w:hAnsi="Times New Roman"/>
          <w:b w:val="false"/>
          <w:i w:val="false"/>
          <w:color w:val="000000"/>
          <w:sz w:val="21"/>
        </w:rPr>
        <w:t xml:space="preserve"> (Notice ARC 3200C, IAB 7/19/17)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3741C</w:t>
      </w:r>
      <w:r>
        <w:rPr>
          <w:rFonts w:ascii="Times New Roman" w:hAnsi="Times New Roman"/>
          <w:b w:val="false"/>
          <w:i w:val="false"/>
          <w:color w:val="000000"/>
          <w:sz w:val="21"/>
        </w:rPr>
        <w:t xml:space="preserve"> (Notice ARC 3615C, IAB 2/14/18)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4848C</w:t>
      </w:r>
      <w:r>
        <w:rPr>
          <w:rFonts w:ascii="Times New Roman" w:hAnsi="Times New Roman"/>
          <w:b w:val="false"/>
          <w:i w:val="false"/>
          <w:color w:val="000000"/>
          <w:sz w:val="21"/>
        </w:rPr>
        <w:t xml:space="preserve"> (Notice ARC 4713C, IAB 10/23/19)</w:t>
      </w:r>
      <w:r>
        <w:rPr>
          <w:rFonts w:ascii="Times New Roman" w:hAnsi="Times New Roman"/>
          <w:b w:val="false"/>
          <w:i w:val="false"/>
          <w:color w:val="000000"/>
          <w:sz w:val="21"/>
        </w:rPr>
        <w:t>, IAB 1/1/20, effective 2/5/20]</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Objection to rules 50.19 and 50.44, see IAC Supplement 3/8/76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2.pdf" Type="http://schemas.openxmlformats.org/officeDocument/2006/relationships/hyperlink" Id="rId5"/>
    <Relationship TargetMode="External" Target="https://www.legis.iowa.gov/docs/ico/chapter/502.pdf" Type="http://schemas.openxmlformats.org/officeDocument/2006/relationships/hyperlink" Id="rId6"/>
    <Relationship TargetMode="External" Target="https://www.legis.iowa.gov/docs/ico/chapter/502.601.pdf" Type="http://schemas.openxmlformats.org/officeDocument/2006/relationships/hyperlink" Id="rId7"/>
    <Relationship TargetMode="External" Target="https://www.legis.iowa.gov/docs/ico/chapter/502.102.pdf" Type="http://schemas.openxmlformats.org/officeDocument/2006/relationships/hyperlink" Id="rId8"/>
    <Relationship TargetMode="External" Target="https://www.legis.iowa.gov/docs/ico/chapter/502.605.pdf" Type="http://schemas.openxmlformats.org/officeDocument/2006/relationships/hyperlink" Id="rId9"/>
    <Relationship TargetMode="External" Target="https://www.legis.iowa.gov/docs/ico/chapter/502.411.pdf" Type="http://schemas.openxmlformats.org/officeDocument/2006/relationships/hyperlink" Id="rId10"/>
    <Relationship TargetMode="External" Target="http://das.iowa.gov/state-accounting/sae-policies-procedures-manual" Type="http://schemas.openxmlformats.org/officeDocument/2006/relationships/hyperlink" Id="rId11"/>
    <Relationship TargetMode="External" Target="http://das.iowa.gov/state-accounting/travel-relocation" Type="http://schemas.openxmlformats.org/officeDocument/2006/relationships/hyperlink" Id="rId12"/>
    <Relationship TargetMode="External" Target="https://www.legis.iowa.gov/docs/iac/rule/191.50.2.pdf" Type="http://schemas.openxmlformats.org/officeDocument/2006/relationships/hyperlink" Id="rId13"/>
    <Relationship TargetMode="External" Target="https://www.legis.iowa.gov/docs/ico/chapter/502.411.pdf" Type="http://schemas.openxmlformats.org/officeDocument/2006/relationships/hyperlink" Id="rId14"/>
    <Relationship TargetMode="External" Target="https://www.legis.iowa.gov/docs/ico/chapter/502.605.pdf" Type="http://schemas.openxmlformats.org/officeDocument/2006/relationships/hyperlink" Id="rId15"/>
    <Relationship TargetMode="External" Target="https://www.legis.iowa.gov/docs/ico/chapter/502.601.pdf" Type="http://schemas.openxmlformats.org/officeDocument/2006/relationships/hyperlink" Id="rId16"/>
    <Relationship TargetMode="External" Target="https://www.legis.iowa.gov/docs/ico/chapter/502.605.pdf" Type="http://schemas.openxmlformats.org/officeDocument/2006/relationships/hyperlink" Id="rId17"/>
    <Relationship TargetMode="External" Target="https://www.legis.iowa.gov/docs/ico/chapter/502.406.pdf" Type="http://schemas.openxmlformats.org/officeDocument/2006/relationships/hyperlink" Id="rId18"/>
    <Relationship TargetMode="External" Target="https://www.legis.iowa.gov/docs/iac/rule/191.50.10.pdf" Type="http://schemas.openxmlformats.org/officeDocument/2006/relationships/hyperlink" Id="rId19"/>
    <Relationship TargetMode="External" Target="https://www.legis.iowa.gov/docs/iac/rule/191.50.10.pdf" Type="http://schemas.openxmlformats.org/officeDocument/2006/relationships/hyperlink" Id="rId20"/>
    <Relationship TargetMode="External" Target="https://www.legis.iowa.gov/docs/iac/rule/191.50.10.pdf" Type="http://schemas.openxmlformats.org/officeDocument/2006/relationships/hyperlink" Id="rId21"/>
    <Relationship TargetMode="External" Target="https://www.legis.iowa.gov/docs/ico/chapter/502.406.pdf" Type="http://schemas.openxmlformats.org/officeDocument/2006/relationships/hyperlink" Id="rId22"/>
    <Relationship TargetMode="External" Target="https://www.legis.iowa.gov/docs/iac/rule/191.50.10.pdf" Type="http://schemas.openxmlformats.org/officeDocument/2006/relationships/hyperlink" Id="rId23"/>
    <Relationship TargetMode="External" Target="https://www.legis.iowa.gov/docs/iac/rule/191.50.10.pdf" Type="http://schemas.openxmlformats.org/officeDocument/2006/relationships/hyperlink" Id="rId24"/>
    <Relationship TargetMode="External" Target="https://www.legis.iowa.gov/docs/ico/chapter/502.412.pdf" Type="http://schemas.openxmlformats.org/officeDocument/2006/relationships/hyperlink" Id="rId25"/>
    <Relationship TargetMode="External" Target="https://www.legis.iowa.gov/docs/ico/chapter/502.401.pdf" Type="http://schemas.openxmlformats.org/officeDocument/2006/relationships/hyperlink" Id="rId26"/>
    <Relationship TargetMode="External" Target="https://www.legis.iowa.gov/docs/ico/chapter/502.406.pdf" Type="http://schemas.openxmlformats.org/officeDocument/2006/relationships/hyperlink" Id="rId27"/>
    <Relationship TargetMode="External" Target="https://www.legis.iowa.gov/docs/ico/chapter/502.401.pdf" Type="http://schemas.openxmlformats.org/officeDocument/2006/relationships/hyperlink" Id="rId28"/>
    <Relationship TargetMode="External" Target="https://www.legis.iowa.gov/docs/ico/chapter/502.406.pdf" Type="http://schemas.openxmlformats.org/officeDocument/2006/relationships/hyperlink" Id="rId29"/>
    <Relationship TargetMode="External" Target="https://www.legis.iowa.gov/docs/ico/chapter/502.pdf" Type="http://schemas.openxmlformats.org/officeDocument/2006/relationships/hyperlink" Id="rId30"/>
    <Relationship TargetMode="External" Target="https://www.legis.iowa.gov/docs/ico/chapter/502.411.pdf" Type="http://schemas.openxmlformats.org/officeDocument/2006/relationships/hyperlink" Id="rId31"/>
    <Relationship TargetMode="External" Target="https://www.legis.iowa.gov/docs/ico/chapter/502.406.pdf" Type="http://schemas.openxmlformats.org/officeDocument/2006/relationships/hyperlink" Id="rId32"/>
    <Relationship TargetMode="External" Target="https://www.legis.iowa.gov/docs/iac/rule/191.50.12.pdf" Type="http://schemas.openxmlformats.org/officeDocument/2006/relationships/hyperlink" Id="rId33"/>
    <Relationship TargetMode="External" Target="https://www.legis.iowa.gov/docs/ico/chapter/502.102.pdf" Type="http://schemas.openxmlformats.org/officeDocument/2006/relationships/hyperlink" Id="rId34"/>
    <Relationship TargetMode="External" Target="https://www.legis.iowa.gov/docs/iac/rule/191.50.12.pdf" Type="http://schemas.openxmlformats.org/officeDocument/2006/relationships/hyperlink" Id="rId35"/>
    <Relationship TargetMode="External" Target="https://www.legis.iowa.gov/docs/ico/chapter/502.406.pdf" Type="http://schemas.openxmlformats.org/officeDocument/2006/relationships/hyperlink" Id="rId36"/>
    <Relationship TargetMode="External" Target="https://www.legis.iowa.gov/docs/ico/chapter/502.412.pdf" Type="http://schemas.openxmlformats.org/officeDocument/2006/relationships/hyperlink" Id="rId37"/>
    <Relationship TargetMode="External" Target="https://www.legis.iowa.gov/docs/ico/chapter/502.411.pdf" Type="http://schemas.openxmlformats.org/officeDocument/2006/relationships/hyperlink" Id="rId38"/>
    <Relationship TargetMode="External" Target="https://www.legis.iowa.gov/docs/ico/chapter/502.411.pdf" Type="http://schemas.openxmlformats.org/officeDocument/2006/relationships/hyperlink" Id="rId39"/>
    <Relationship TargetMode="External" Target="https://www.legis.iowa.gov/docs/ico/chapter/502.411.pdf" Type="http://schemas.openxmlformats.org/officeDocument/2006/relationships/hyperlink" Id="rId40"/>
    <Relationship TargetMode="External" Target="https://www.legis.iowa.gov/docs/ico/chapter/502.412.pdf" Type="http://schemas.openxmlformats.org/officeDocument/2006/relationships/hyperlink" Id="rId41"/>
    <Relationship TargetMode="External" Target="https://www.legis.iowa.gov/docs/ico/chapter/502.303.pdf" Type="http://schemas.openxmlformats.org/officeDocument/2006/relationships/hyperlink" Id="rId42"/>
    <Relationship TargetMode="External" Target="https://www.legis.iowa.gov/docs/ico/chapter/502.304.pdf" Type="http://schemas.openxmlformats.org/officeDocument/2006/relationships/hyperlink" Id="rId43"/>
    <Relationship TargetMode="External" Target="https://www.legis.iowa.gov/docs/ico/chapter/502.302.pdf" Type="http://schemas.openxmlformats.org/officeDocument/2006/relationships/hyperlink" Id="rId44"/>
    <Relationship TargetMode="External" Target="https://www.legis.iowa.gov/docs/iac/rule/191.50.100.pdf" Type="http://schemas.openxmlformats.org/officeDocument/2006/relationships/hyperlink" Id="rId45"/>
    <Relationship TargetMode="External" Target="https://www.legis.iowa.gov/docs/ico/chapter/502.412.pdf" Type="http://schemas.openxmlformats.org/officeDocument/2006/relationships/hyperlink" Id="rId46"/>
    <Relationship TargetMode="External" Target="https://www.legis.iowa.gov/docs/iac/rule/191.50.16.pdf" Type="http://schemas.openxmlformats.org/officeDocument/2006/relationships/hyperlink" Id="rId47"/>
    <Relationship TargetMode="External" Target="https://www.legis.iowa.gov/docs/iac/rule/191.50.16.pdf" Type="http://schemas.openxmlformats.org/officeDocument/2006/relationships/hyperlink" Id="rId48"/>
    <Relationship TargetMode="External" Target="https://www.legis.iowa.gov/docs/iac/rule/191.50.55.pdf" Type="http://schemas.openxmlformats.org/officeDocument/2006/relationships/hyperlink" Id="rId49"/>
    <Relationship TargetMode="External" Target="https://www.legis.iowa.gov/docs/ico/chapter/502.412.pdf" Type="http://schemas.openxmlformats.org/officeDocument/2006/relationships/hyperlink" Id="rId50"/>
    <Relationship TargetMode="External" Target="https://www.legis.iowa.gov/docs/ico/chapter/502.pdf" Type="http://schemas.openxmlformats.org/officeDocument/2006/relationships/hyperlink" Id="rId51"/>
    <Relationship TargetMode="External" Target="https://www.legis.iowa.gov/docs/ico/chapter/502.411.pdf" Type="http://schemas.openxmlformats.org/officeDocument/2006/relationships/hyperlink" Id="rId52"/>
    <Relationship TargetMode="External" Target="https://www.legis.iowa.gov/docs/ico/chapter/502.412.pdf" Type="http://schemas.openxmlformats.org/officeDocument/2006/relationships/hyperlink" Id="rId53"/>
    <Relationship TargetMode="External" Target="https://www.legis.iowa.gov/docs/iac/rule/191.50.18.pdf" Type="http://schemas.openxmlformats.org/officeDocument/2006/relationships/hyperlink" Id="rId54"/>
    <Relationship TargetMode="External" Target="https://www.legis.iowa.gov/docs/iac/rule/191.50.18.pdf" Type="http://schemas.openxmlformats.org/officeDocument/2006/relationships/hyperlink" Id="rId55"/>
    <Relationship TargetMode="External" Target="https://www.legis.iowa.gov/docs/iac/rule/191.50.18.pdf" Type="http://schemas.openxmlformats.org/officeDocument/2006/relationships/hyperlink" Id="rId56"/>
    <Relationship TargetMode="External" Target="https://www.legis.iowa.gov/docs/ico/chapter/502.304.pdf" Type="http://schemas.openxmlformats.org/officeDocument/2006/relationships/hyperlink" Id="rId57"/>
    <Relationship TargetMode="External" Target="https://www.legis.iowa.gov/docs/iac/rule/191.50.18.pdf" Type="http://schemas.openxmlformats.org/officeDocument/2006/relationships/hyperlink" Id="rId58"/>
    <Relationship TargetMode="External" Target="https://www.legis.iowa.gov/docs/iac/rule/191.50.18.pdf" Type="http://schemas.openxmlformats.org/officeDocument/2006/relationships/hyperlink" Id="rId59"/>
    <Relationship TargetMode="External" Target="https://www.legis.iowa.gov/docs/ico/chapter/502.410.pdf" Type="http://schemas.openxmlformats.org/officeDocument/2006/relationships/hyperlink" Id="rId60"/>
    <Relationship TargetMode="External" Target="https://www.legis.iowa.gov/docs/iac/rule/191.50.18.pdf" Type="http://schemas.openxmlformats.org/officeDocument/2006/relationships/hyperlink" Id="rId61"/>
    <Relationship TargetMode="External" Target="https://www.legis.iowa.gov/docs/iac/rule/191.50.18.pdf" Type="http://schemas.openxmlformats.org/officeDocument/2006/relationships/hyperlink" Id="rId62"/>
    <Relationship TargetMode="External" Target="https://www.legis.iowa.gov/docs/ico/chapter/502.301.pdf" Type="http://schemas.openxmlformats.org/officeDocument/2006/relationships/hyperlink" Id="rId63"/>
    <Relationship TargetMode="External" Target="https://www.legis.iowa.gov/docs/ico/chapter/502.504.pdf" Type="http://schemas.openxmlformats.org/officeDocument/2006/relationships/hyperlink" Id="rId64"/>
    <Relationship TargetMode="External" Target="https://www.legis.iowa.gov/docs/ico/chapter/502.401.pdf" Type="http://schemas.openxmlformats.org/officeDocument/2006/relationships/hyperlink" Id="rId65"/>
    <Relationship TargetMode="External" Target="https://www.legis.iowa.gov/docs/ico/chapter/502.102.pdf" Type="http://schemas.openxmlformats.org/officeDocument/2006/relationships/hyperlink" Id="rId66"/>
    <Relationship TargetMode="External" Target="https://www.legis.iowa.gov/docs/iac/rule/191.50.19.pdf" Type="http://schemas.openxmlformats.org/officeDocument/2006/relationships/hyperlink" Id="rId67"/>
    <Relationship TargetMode="External" Target="https://www.legis.iowa.gov/docs/iac/rule/191.50.19.pdf" Type="http://schemas.openxmlformats.org/officeDocument/2006/relationships/hyperlink" Id="rId68"/>
    <Relationship TargetMode="External" Target="https://www.legis.iowa.gov/docs/iac/rule/191.50.19.pdf" Type="http://schemas.openxmlformats.org/officeDocument/2006/relationships/hyperlink" Id="rId69"/>
    <Relationship TargetMode="External" Target="https://www.legis.iowa.gov/docs/iac/rule/191.50.12.pdf" Type="http://schemas.openxmlformats.org/officeDocument/2006/relationships/hyperlink" Id="rId70"/>
    <Relationship TargetMode="External" Target="https://www.legis.iowa.gov/docs/iac/rule/191.50.12.pdf" Type="http://schemas.openxmlformats.org/officeDocument/2006/relationships/hyperlink" Id="rId71"/>
    <Relationship TargetMode="External" Target="https://www.legis.iowa.gov/docs/iac/rule/191.50.19.pdf" Type="http://schemas.openxmlformats.org/officeDocument/2006/relationships/hyperlink" Id="rId72"/>
    <Relationship TargetMode="External" Target="https://www.legis.iowa.gov/docs/iac/rule/191.50.19.pdf" Type="http://schemas.openxmlformats.org/officeDocument/2006/relationships/hyperlink" Id="rId73"/>
    <Relationship TargetMode="External" Target="https://www.legis.iowa.gov/docs/iac/rule/191.50.19.pdf" Type="http://schemas.openxmlformats.org/officeDocument/2006/relationships/hyperlink" Id="rId74"/>
    <Relationship TargetMode="External" Target="https://www.legis.iowa.gov/docs/iac/rule/191.50.19.pdf" Type="http://schemas.openxmlformats.org/officeDocument/2006/relationships/hyperlink" Id="rId75"/>
    <Relationship TargetMode="External" Target="https://www.legis.iowa.gov/docs/iac/rule/191.50.19.pdf" Type="http://schemas.openxmlformats.org/officeDocument/2006/relationships/hyperlink" Id="rId76"/>
    <Relationship TargetMode="External" Target="https://www.legis.iowa.gov/docs/iac/rule/191.50.19.pdf" Type="http://schemas.openxmlformats.org/officeDocument/2006/relationships/hyperlink" Id="rId77"/>
    <Relationship TargetMode="External" Target="https://www.legis.iowa.gov/docs/iac/rule/191.50.19.pdf" Type="http://schemas.openxmlformats.org/officeDocument/2006/relationships/hyperlink" Id="rId78"/>
    <Relationship TargetMode="External" Target="https://www.legis.iowa.gov/docs/iac/rule/191.50.19.pdf" Type="http://schemas.openxmlformats.org/officeDocument/2006/relationships/hyperlink" Id="rId79"/>
    <Relationship TargetMode="External" Target="https://www.legis.iowa.gov/docs/iac/rule/191.50.19.pdf" Type="http://schemas.openxmlformats.org/officeDocument/2006/relationships/hyperlink" Id="rId80"/>
    <Relationship TargetMode="External" Target="https://www.legis.iowa.gov/docs/iac/rule/191.50.19.pdf" Type="http://schemas.openxmlformats.org/officeDocument/2006/relationships/hyperlink" Id="rId81"/>
    <Relationship TargetMode="External" Target="https://www.legis.iowa.gov/docs/ico/chapter/502.102.pdf" Type="http://schemas.openxmlformats.org/officeDocument/2006/relationships/hyperlink" Id="rId82"/>
    <Relationship TargetMode="External" Target="https://www.legis.iowa.gov/docs/ico/chapter/502.401.pdf" Type="http://schemas.openxmlformats.org/officeDocument/2006/relationships/hyperlink" Id="rId83"/>
    <Relationship TargetMode="External" Target="https://www.legis.iowa.gov/docs/iac/rule/191.50.19.pdf" Type="http://schemas.openxmlformats.org/officeDocument/2006/relationships/hyperlink" Id="rId84"/>
    <Relationship TargetMode="External" Target="https://www.legis.iowa.gov/docs/iac/rule/191.50.19.pdf" Type="http://schemas.openxmlformats.org/officeDocument/2006/relationships/hyperlink" Id="rId85"/>
    <Relationship TargetMode="External" Target="https://www.legis.iowa.gov/docs/iac/rule/191.50.69.pdf" Type="http://schemas.openxmlformats.org/officeDocument/2006/relationships/hyperlink" Id="rId86"/>
    <Relationship TargetMode="External" Target="https://www.legis.iowa.gov/docs/iac/rule/191.50.19.pdf" Type="http://schemas.openxmlformats.org/officeDocument/2006/relationships/hyperlink" Id="rId87"/>
    <Relationship TargetMode="External" Target="https://www.legis.iowa.gov/docs/iac/rule/191.50.19.pdf" Type="http://schemas.openxmlformats.org/officeDocument/2006/relationships/hyperlink" Id="rId88"/>
    <Relationship TargetMode="External" Target="https://www.legis.iowa.gov/docs/ico/chapter/502.102.pdf" Type="http://schemas.openxmlformats.org/officeDocument/2006/relationships/hyperlink" Id="rId89"/>
    <Relationship TargetMode="External" Target="https://www.legis.iowa.gov/docs/ico/chapter/502.401.pdf" Type="http://schemas.openxmlformats.org/officeDocument/2006/relationships/hyperlink" Id="rId90"/>
    <Relationship TargetMode="External" Target="https://www.legis.iowa.gov/docs/ico/chapter/502.102.pdf" Type="http://schemas.openxmlformats.org/officeDocument/2006/relationships/hyperlink" Id="rId91"/>
    <Relationship TargetMode="External" Target="https://www.legis.iowa.gov/docs/iac/rule/191.50.21.pdf" Type="http://schemas.openxmlformats.org/officeDocument/2006/relationships/hyperlink" Id="rId92"/>
    <Relationship TargetMode="External" Target="https://www.legis.iowa.gov/docs/iac/rule/191.50.21.pdf" Type="http://schemas.openxmlformats.org/officeDocument/2006/relationships/hyperlink" Id="rId93"/>
    <Relationship TargetMode="External" Target="https://www.legis.iowa.gov/docs/iac/rule/191.50.12.pdf" Type="http://schemas.openxmlformats.org/officeDocument/2006/relationships/hyperlink" Id="rId94"/>
    <Relationship TargetMode="External" Target="https://www.legis.iowa.gov/docs/iac/rule/191.50.12.pdf" Type="http://schemas.openxmlformats.org/officeDocument/2006/relationships/hyperlink" Id="rId95"/>
    <Relationship TargetMode="External" Target="https://www.legis.iowa.gov/docs/iac/rule/191.50.19.pdf" Type="http://schemas.openxmlformats.org/officeDocument/2006/relationships/hyperlink" Id="rId96"/>
    <Relationship TargetMode="External" Target="https://www.legis.iowa.gov/docs/iac/rule/191.50.21.pdf" Type="http://schemas.openxmlformats.org/officeDocument/2006/relationships/hyperlink" Id="rId97"/>
    <Relationship TargetMode="External" Target="https://www.legis.iowa.gov/docs/iac/rule/191.50.21.pdf" Type="http://schemas.openxmlformats.org/officeDocument/2006/relationships/hyperlink" Id="rId98"/>
    <Relationship TargetMode="External" Target="https://www.legis.iowa.gov/docs/iac/rule/191.50.21.pdf" Type="http://schemas.openxmlformats.org/officeDocument/2006/relationships/hyperlink" Id="rId99"/>
    <Relationship TargetMode="External" Target="https://www.legis.iowa.gov/docs/iac/rule/191.50.21.pdf" Type="http://schemas.openxmlformats.org/officeDocument/2006/relationships/hyperlink" Id="rId100"/>
    <Relationship TargetMode="External" Target="https://www.legis.iowa.gov/docs/iac/rule/191.50.19.pdf" Type="http://schemas.openxmlformats.org/officeDocument/2006/relationships/hyperlink" Id="rId101"/>
    <Relationship TargetMode="External" Target="https://www.legis.iowa.gov/docs/ico/chapter/502.102.pdf" Type="http://schemas.openxmlformats.org/officeDocument/2006/relationships/hyperlink" Id="rId102"/>
    <Relationship TargetMode="External" Target="https://www.legis.iowa.gov/docs/ico/chapter/502.401.pdf" Type="http://schemas.openxmlformats.org/officeDocument/2006/relationships/hyperlink" Id="rId103"/>
    <Relationship TargetMode="External" Target="https://www.legis.iowa.gov/docs/iac/rule/191.50.21.pdf" Type="http://schemas.openxmlformats.org/officeDocument/2006/relationships/hyperlink" Id="rId104"/>
    <Relationship TargetMode="External" Target="https://www.legis.iowa.gov/docs/iac/rule/191.50.21.pdf" Type="http://schemas.openxmlformats.org/officeDocument/2006/relationships/hyperlink" Id="rId105"/>
    <Relationship TargetMode="External" Target="https://www.legis.iowa.gov/docs/iac/rule/191.50.69.pdf" Type="http://schemas.openxmlformats.org/officeDocument/2006/relationships/hyperlink" Id="rId106"/>
    <Relationship TargetMode="External" Target="https://www.legis.iowa.gov/docs/iac/rule/191.50.21.pdf" Type="http://schemas.openxmlformats.org/officeDocument/2006/relationships/hyperlink" Id="rId107"/>
    <Relationship TargetMode="External" Target="https://www.legis.iowa.gov/docs/iac/rule/191.50.21.pdf" Type="http://schemas.openxmlformats.org/officeDocument/2006/relationships/hyperlink" Id="rId108"/>
    <Relationship TargetMode="External" Target="https://www.legis.iowa.gov/docs/ico/chapter/502.102.pdf" Type="http://schemas.openxmlformats.org/officeDocument/2006/relationships/hyperlink" Id="rId109"/>
    <Relationship TargetMode="External" Target="https://www.legis.iowa.gov/docs/ico/chapter/502.401.pdf" Type="http://schemas.openxmlformats.org/officeDocument/2006/relationships/hyperlink" Id="rId110"/>
    <Relationship TargetMode="External" Target="https://www.legis.iowa.gov/docs/ico/chapter/502.406.pdf" Type="http://schemas.openxmlformats.org/officeDocument/2006/relationships/hyperlink" Id="rId111"/>
    <Relationship TargetMode="External" Target="https://www.legis.iowa.gov/docs/ico/chapter/502.608.pdf" Type="http://schemas.openxmlformats.org/officeDocument/2006/relationships/hyperlink" Id="rId112"/>
    <Relationship TargetMode="External" Target="https://www.legis.iowa.gov/docs/ico/chapter/502.102.pdf" Type="http://schemas.openxmlformats.org/officeDocument/2006/relationships/hyperlink" Id="rId113"/>
    <Relationship TargetMode="External" Target="https://www.legis.iowa.gov/docs/ico/chapter/502.406.pdf" Type="http://schemas.openxmlformats.org/officeDocument/2006/relationships/hyperlink" Id="rId114"/>
    <Relationship TargetMode="External" Target="https://www.legis.iowa.gov/docs/ico/chapter/502.608.pdf" Type="http://schemas.openxmlformats.org/officeDocument/2006/relationships/hyperlink" Id="rId115"/>
    <Relationship TargetMode="External" Target="https://www.legis.iowa.gov/docs/ico/chapter/502.410.pdf" Type="http://schemas.openxmlformats.org/officeDocument/2006/relationships/hyperlink" Id="rId116"/>
    <Relationship TargetMode="External" Target="https://www.legis.iowa.gov/docs/iac/rule/191.50.42.pdf" Type="http://schemas.openxmlformats.org/officeDocument/2006/relationships/hyperlink" Id="rId117"/>
    <Relationship TargetMode="External" Target="https://www.legis.iowa.gov/docs/iac/rule/191.50.40.pdf" Type="http://schemas.openxmlformats.org/officeDocument/2006/relationships/hyperlink" Id="rId118"/>
    <Relationship TargetMode="External" Target="https://www.legis.iowa.gov/docs/iac/rule/191.50.41.pdf" Type="http://schemas.openxmlformats.org/officeDocument/2006/relationships/hyperlink" Id="rId119"/>
    <Relationship TargetMode="External" Target="https://www.legis.iowa.gov/docs/ico/chapter/502.410.pdf" Type="http://schemas.openxmlformats.org/officeDocument/2006/relationships/hyperlink" Id="rId120"/>
    <Relationship TargetMode="External" Target="https://www.legis.iowa.gov/docs/iac/rule/191.50.41.pdf" Type="http://schemas.openxmlformats.org/officeDocument/2006/relationships/hyperlink" Id="rId121"/>
    <Relationship TargetMode="External" Target="https://www.legis.iowa.gov/docs/ico/chapter/502.406.pdf" Type="http://schemas.openxmlformats.org/officeDocument/2006/relationships/hyperlink" Id="rId122"/>
    <Relationship TargetMode="External" Target="https://www.legis.iowa.gov/docs/iac/rule/191.50.31.pdf" Type="http://schemas.openxmlformats.org/officeDocument/2006/relationships/hyperlink" Id="rId123"/>
    <Relationship TargetMode="External" Target="https://www.legis.iowa.gov/docs/iac/rule/191.50.31.pdf" Type="http://schemas.openxmlformats.org/officeDocument/2006/relationships/hyperlink" Id="rId124"/>
    <Relationship TargetMode="External" Target="https://www.legis.iowa.gov/docs/ico/chapter/502.102.pdf" Type="http://schemas.openxmlformats.org/officeDocument/2006/relationships/hyperlink" Id="rId125"/>
    <Relationship TargetMode="External" Target="https://www.legis.iowa.gov/docs/ico/chapter/502.406.pdf" Type="http://schemas.openxmlformats.org/officeDocument/2006/relationships/hyperlink" Id="rId126"/>
    <Relationship TargetMode="External" Target="https://www.legis.iowa.gov/docs/ico/chapter/502.406.pdf" Type="http://schemas.openxmlformats.org/officeDocument/2006/relationships/hyperlink" Id="rId127"/>
    <Relationship TargetMode="External" Target="https://www.legis.iowa.gov/docs/ico/chapter/502.608.pdf" Type="http://schemas.openxmlformats.org/officeDocument/2006/relationships/hyperlink" Id="rId128"/>
    <Relationship TargetMode="External" Target="https://www.legis.iowa.gov/docs/ico/chapter/502.406.pdf" Type="http://schemas.openxmlformats.org/officeDocument/2006/relationships/hyperlink" Id="rId129"/>
    <Relationship TargetMode="External" Target="https://www.legis.iowa.gov/docs/iac/rule/191.50.33.pdf" Type="http://schemas.openxmlformats.org/officeDocument/2006/relationships/hyperlink" Id="rId130"/>
    <Relationship TargetMode="External" Target="https://www.legis.iowa.gov/docs/ico/chapter/502.410.pdf" Type="http://schemas.openxmlformats.org/officeDocument/2006/relationships/hyperlink" Id="rId131"/>
    <Relationship TargetMode="External" Target="https://www.legis.iowa.gov/docs/ico/chapter/502.410.pdf" Type="http://schemas.openxmlformats.org/officeDocument/2006/relationships/hyperlink" Id="rId132"/>
    <Relationship TargetMode="External" Target="https://www.legis.iowa.gov/docs/ico/chapter/502.406.pdf" Type="http://schemas.openxmlformats.org/officeDocument/2006/relationships/hyperlink" Id="rId133"/>
    <Relationship TargetMode="External" Target="https://www.legis.iowa.gov/docs/ico/chapter/502.102.pdf" Type="http://schemas.openxmlformats.org/officeDocument/2006/relationships/hyperlink" Id="rId134"/>
    <Relationship TargetMode="External" Target="https://www.legis.iowa.gov/docs/ico/chapter/502.406.pdf" Type="http://schemas.openxmlformats.org/officeDocument/2006/relationships/hyperlink" Id="rId135"/>
    <Relationship TargetMode="External" Target="https://www.legis.iowa.gov/docs/iac/rule/191.50.33.pdf" Type="http://schemas.openxmlformats.org/officeDocument/2006/relationships/hyperlink" Id="rId136"/>
    <Relationship TargetMode="External" Target="https://www.legis.iowa.gov/docs/iac/rule/191.50.33.pdf" Type="http://schemas.openxmlformats.org/officeDocument/2006/relationships/hyperlink" Id="rId137"/>
    <Relationship TargetMode="External" Target="https://www.legis.iowa.gov/docs/iac/rule/191.50.33.pdf" Type="http://schemas.openxmlformats.org/officeDocument/2006/relationships/hyperlink" Id="rId138"/>
    <Relationship TargetMode="External" Target="https://www.legis.iowa.gov/docs/ico/chapter/502.412.pdf" Type="http://schemas.openxmlformats.org/officeDocument/2006/relationships/hyperlink" Id="rId139"/>
    <Relationship TargetMode="External" Target="https://www.legis.iowa.gov/docs/ico/chapter/502.405.pdf" Type="http://schemas.openxmlformats.org/officeDocument/2006/relationships/hyperlink" Id="rId140"/>
    <Relationship TargetMode="External" Target="https://www.legis.iowa.gov/docs/ico/chapter/502.410.pdf" Type="http://schemas.openxmlformats.org/officeDocument/2006/relationships/hyperlink" Id="rId141"/>
    <Relationship TargetMode="External" Target="https://www.legis.iowa.gov/docs/ico/chapter/502.405.pdf" Type="http://schemas.openxmlformats.org/officeDocument/2006/relationships/hyperlink" Id="rId142"/>
    <Relationship TargetMode="External" Target="https://www.legis.iowa.gov/docs/ico/chapter/502.410.pdf" Type="http://schemas.openxmlformats.org/officeDocument/2006/relationships/hyperlink" Id="rId143"/>
    <Relationship TargetMode="External" Target="https://www.legis.iowa.gov/docs/ico/chapter/502.405.pdf" Type="http://schemas.openxmlformats.org/officeDocument/2006/relationships/hyperlink" Id="rId144"/>
    <Relationship TargetMode="External" Target="https://www.legis.iowa.gov/docs/ico/chapter/502.409.pdf" Type="http://schemas.openxmlformats.org/officeDocument/2006/relationships/hyperlink" Id="rId145"/>
    <Relationship TargetMode="External" Target="https://www.legis.iowa.gov/docs/ico/chapter/502.409.pdf" Type="http://schemas.openxmlformats.org/officeDocument/2006/relationships/hyperlink" Id="rId146"/>
    <Relationship TargetMode="External" Target="https://www.legis.iowa.gov/docs/iac/rule/191.50.36.pdf" Type="http://schemas.openxmlformats.org/officeDocument/2006/relationships/hyperlink" Id="rId147"/>
    <Relationship TargetMode="External" Target="https://www.legis.iowa.gov/docs/iac/rule/191.50.36.pdf" Type="http://schemas.openxmlformats.org/officeDocument/2006/relationships/hyperlink" Id="rId148"/>
    <Relationship TargetMode="External" Target="https://www.legis.iowa.gov/docs/iac/rule/191.50.36.pdf" Type="http://schemas.openxmlformats.org/officeDocument/2006/relationships/hyperlink" Id="rId149"/>
    <Relationship TargetMode="External" Target="https://www.legis.iowa.gov/docs/iac/rule/191.50.36.pdf" Type="http://schemas.openxmlformats.org/officeDocument/2006/relationships/hyperlink" Id="rId150"/>
    <Relationship TargetMode="External" Target="https://www.legis.iowa.gov/docs/iac/rule/191.50.36.pdf" Type="http://schemas.openxmlformats.org/officeDocument/2006/relationships/hyperlink" Id="rId151"/>
    <Relationship TargetMode="External" Target="https://www.legis.iowa.gov/docs/ico/chapter/502.411.pdf" Type="http://schemas.openxmlformats.org/officeDocument/2006/relationships/hyperlink" Id="rId152"/>
    <Relationship TargetMode="External" Target="https://www.legis.iowa.gov/docs/ico/chapter/502.502.pdf" Type="http://schemas.openxmlformats.org/officeDocument/2006/relationships/hyperlink" Id="rId153"/>
    <Relationship TargetMode="External" Target="https://www.legis.iowa.gov/docs/ico/chapter/502.412.pdf" Type="http://schemas.openxmlformats.org/officeDocument/2006/relationships/hyperlink" Id="rId154"/>
    <Relationship TargetMode="External" Target="https://www.legis.iowa.gov/docs/ico/chapter/502.412.pdf" Type="http://schemas.openxmlformats.org/officeDocument/2006/relationships/hyperlink" Id="rId155"/>
    <Relationship TargetMode="External" Target="https://www.legis.iowa.gov/docs/ico/chapter/502.505.pdf" Type="http://schemas.openxmlformats.org/officeDocument/2006/relationships/hyperlink" Id="rId156"/>
    <Relationship TargetMode="External" Target="https://www.legis.iowa.gov/docs/ico/chapter/502.412.pdf" Type="http://schemas.openxmlformats.org/officeDocument/2006/relationships/hyperlink" Id="rId157"/>
    <Relationship TargetMode="External" Target="https://www.legis.iowa.gov/docs/ico/chapter/502.412.pdf" Type="http://schemas.openxmlformats.org/officeDocument/2006/relationships/hyperlink" Id="rId158"/>
    <Relationship TargetMode="External" Target="https://www.legis.iowa.gov/docs/ico/chapter/502.412.pdf" Type="http://schemas.openxmlformats.org/officeDocument/2006/relationships/hyperlink" Id="rId159"/>
    <Relationship TargetMode="External" Target="https://www.legis.iowa.gov/docs/ico/chapter/502.412.pdf" Type="http://schemas.openxmlformats.org/officeDocument/2006/relationships/hyperlink" Id="rId160"/>
    <Relationship TargetMode="External" Target="https://www.legis.iowa.gov/docs/iac/rule/191.50.36.pdf" Type="http://schemas.openxmlformats.org/officeDocument/2006/relationships/hyperlink" Id="rId161"/>
    <Relationship TargetMode="External" Target="https://www.legis.iowa.gov/docs/iac/rule/191.50.37.pdf" Type="http://schemas.openxmlformats.org/officeDocument/2006/relationships/hyperlink" Id="rId162"/>
    <Relationship TargetMode="External" Target="https://www.legis.iowa.gov/docs/iac/rule/191.50.37.pdf" Type="http://schemas.openxmlformats.org/officeDocument/2006/relationships/hyperlink" Id="rId163"/>
    <Relationship TargetMode="External" Target="https://www.legis.iowa.gov/docs/ico/chapter/502.411.pdf" Type="http://schemas.openxmlformats.org/officeDocument/2006/relationships/hyperlink" Id="rId164"/>
    <Relationship TargetMode="External" Target="https://www.legis.iowa.gov/docs/iac/rule/191.50.42.pdf" Type="http://schemas.openxmlformats.org/officeDocument/2006/relationships/hyperlink" Id="rId165"/>
    <Relationship TargetMode="External" Target="https://www.legis.iowa.gov/docs/iac/rule/191.50.42.pdf" Type="http://schemas.openxmlformats.org/officeDocument/2006/relationships/hyperlink" Id="rId166"/>
    <Relationship TargetMode="External" Target="https://www.legis.iowa.gov/docs/ico/chapter/502.502.pdf" Type="http://schemas.openxmlformats.org/officeDocument/2006/relationships/hyperlink" Id="rId167"/>
    <Relationship TargetMode="External" Target="https://www.legis.iowa.gov/docs/iac/rule/191.50.38.pdf" Type="http://schemas.openxmlformats.org/officeDocument/2006/relationships/hyperlink" Id="rId168"/>
    <Relationship TargetMode="External" Target="https://www.legis.iowa.gov/docs/iac/rule/191.50.38.pdf" Type="http://schemas.openxmlformats.org/officeDocument/2006/relationships/hyperlink" Id="rId169"/>
    <Relationship TargetMode="External" Target="https://www.legis.iowa.gov/docs/iac/rule/191.50.38.pdf" Type="http://schemas.openxmlformats.org/officeDocument/2006/relationships/hyperlink" Id="rId170"/>
    <Relationship TargetMode="External" Target="https://www.legis.iowa.gov/docs/iac/rule/191.50.38.pdf" Type="http://schemas.openxmlformats.org/officeDocument/2006/relationships/hyperlink" Id="rId171"/>
    <Relationship TargetMode="External" Target="https://www.legis.iowa.gov/docs/iac/rule/191.50.39.pdf" Type="http://schemas.openxmlformats.org/officeDocument/2006/relationships/hyperlink" Id="rId172"/>
    <Relationship TargetMode="External" Target="https://www.legis.iowa.gov/docs/iac/rule/191.50.38.pdf" Type="http://schemas.openxmlformats.org/officeDocument/2006/relationships/hyperlink" Id="rId173"/>
    <Relationship TargetMode="External" Target="https://www.legis.iowa.gov/docs/iac/rule/191.50.55.pdf" Type="http://schemas.openxmlformats.org/officeDocument/2006/relationships/hyperlink" Id="rId174"/>
    <Relationship TargetMode="External" Target="https://www.legis.iowa.gov/docs/iac/rule/191.50.38.pdf" Type="http://schemas.openxmlformats.org/officeDocument/2006/relationships/hyperlink" Id="rId175"/>
    <Relationship TargetMode="External" Target="https://www.legis.iowa.gov/docs/iac/rule/191.50.38.pdf" Type="http://schemas.openxmlformats.org/officeDocument/2006/relationships/hyperlink" Id="rId176"/>
    <Relationship TargetMode="External" Target="https://www.legis.iowa.gov/docs/iac/rule/191.50.38.pdf" Type="http://schemas.openxmlformats.org/officeDocument/2006/relationships/hyperlink" Id="rId177"/>
    <Relationship TargetMode="External" Target="https://www.legis.iowa.gov/docs/iac/rule/191.50.38.pdf" Type="http://schemas.openxmlformats.org/officeDocument/2006/relationships/hyperlink" Id="rId178"/>
    <Relationship TargetMode="External" Target="https://www.legis.iowa.gov/docs/iac/rule/191.50.38.pdf" Type="http://schemas.openxmlformats.org/officeDocument/2006/relationships/hyperlink" Id="rId179"/>
    <Relationship TargetMode="External" Target="https://www.legis.iowa.gov/docs/iac/rule/191.50.38.pdf" Type="http://schemas.openxmlformats.org/officeDocument/2006/relationships/hyperlink" Id="rId180"/>
    <Relationship TargetMode="External" Target="https://www.legis.iowa.gov/docs/iac/rule/191.50.38.pdf" Type="http://schemas.openxmlformats.org/officeDocument/2006/relationships/hyperlink" Id="rId181"/>
    <Relationship TargetMode="External" Target="https://www.legis.iowa.gov/docs/iac/rule/191.50.38.pdf" Type="http://schemas.openxmlformats.org/officeDocument/2006/relationships/hyperlink" Id="rId182"/>
    <Relationship TargetMode="External" Target="https://www.legis.iowa.gov/docs/iac/rule/191.50.38.pdf" Type="http://schemas.openxmlformats.org/officeDocument/2006/relationships/hyperlink" Id="rId183"/>
    <Relationship TargetMode="External" Target="https://www.legis.iowa.gov/docs/iac/rule/191.50.38.pdf" Type="http://schemas.openxmlformats.org/officeDocument/2006/relationships/hyperlink" Id="rId184"/>
    <Relationship TargetMode="External" Target="https://www.legis.iowa.gov/docs/ico/chapter/502.502.pdf" Type="http://schemas.openxmlformats.org/officeDocument/2006/relationships/hyperlink" Id="rId185"/>
    <Relationship TargetMode="External" Target="https://www.legis.iowa.gov/docs/iac/rule/191.50.39.pdf" Type="http://schemas.openxmlformats.org/officeDocument/2006/relationships/hyperlink" Id="rId186"/>
    <Relationship TargetMode="External" Target="https://www.legis.iowa.gov/docs/iac/rule/191.50.38.pdf" Type="http://schemas.openxmlformats.org/officeDocument/2006/relationships/hyperlink" Id="rId187"/>
    <Relationship TargetMode="External" Target="https://www.legis.iowa.gov/docs/iac/rule/191.50.39.pdf" Type="http://schemas.openxmlformats.org/officeDocument/2006/relationships/hyperlink" Id="rId188"/>
    <Relationship TargetMode="External" Target="https://www.legis.iowa.gov/docs/iac/rule/191.50.39.pdf" Type="http://schemas.openxmlformats.org/officeDocument/2006/relationships/hyperlink" Id="rId189"/>
    <Relationship TargetMode="External" Target="https://www.legis.iowa.gov/docs/iac/rule/191.50.39.pdf" Type="http://schemas.openxmlformats.org/officeDocument/2006/relationships/hyperlink" Id="rId190"/>
    <Relationship TargetMode="External" Target="https://www.legis.iowa.gov/docs/iac/rule/191.50.39.pdf" Type="http://schemas.openxmlformats.org/officeDocument/2006/relationships/hyperlink" Id="rId191"/>
    <Relationship TargetMode="External" Target="https://www.legis.iowa.gov/docs/iac/rule/191.50.39.pdf" Type="http://schemas.openxmlformats.org/officeDocument/2006/relationships/hyperlink" Id="rId192"/>
    <Relationship TargetMode="External" Target="https://www.legis.iowa.gov/docs/iac/rule/191.50.39.pdf" Type="http://schemas.openxmlformats.org/officeDocument/2006/relationships/hyperlink" Id="rId193"/>
    <Relationship TargetMode="External" Target="https://www.legis.iowa.gov/docs/iac/rule/191.50.39.pdf" Type="http://schemas.openxmlformats.org/officeDocument/2006/relationships/hyperlink" Id="rId194"/>
    <Relationship TargetMode="External" Target="https://www.legis.iowa.gov/docs/iac/rule/191.50.39.pdf" Type="http://schemas.openxmlformats.org/officeDocument/2006/relationships/hyperlink" Id="rId195"/>
    <Relationship TargetMode="External" Target="https://www.legis.iowa.gov/docs/iac/rule/191.50.39.pdf" Type="http://schemas.openxmlformats.org/officeDocument/2006/relationships/hyperlink" Id="rId196"/>
    <Relationship TargetMode="External" Target="https://www.legis.iowa.gov/docs/iac/rule/191.50.39.pdf" Type="http://schemas.openxmlformats.org/officeDocument/2006/relationships/hyperlink" Id="rId197"/>
    <Relationship TargetMode="External" Target="https://www.legis.iowa.gov/docs/iac/rule/191.50.39.pdf" Type="http://schemas.openxmlformats.org/officeDocument/2006/relationships/hyperlink" Id="rId198"/>
    <Relationship TargetMode="External" Target="https://www.legis.iowa.gov/docs/iac/rule/191.50.39.pdf" Type="http://schemas.openxmlformats.org/officeDocument/2006/relationships/hyperlink" Id="rId199"/>
    <Relationship TargetMode="External" Target="https://www.legis.iowa.gov/docs/iac/rule/191.50.39.pdf" Type="http://schemas.openxmlformats.org/officeDocument/2006/relationships/hyperlink" Id="rId200"/>
    <Relationship TargetMode="External" Target="https://www.legis.iowa.gov/docs/iac/rule/191.50.39.pdf" Type="http://schemas.openxmlformats.org/officeDocument/2006/relationships/hyperlink" Id="rId201"/>
    <Relationship TargetMode="External" Target="https://www.legis.iowa.gov/docs/iac/rule/191.50.39.pdf" Type="http://schemas.openxmlformats.org/officeDocument/2006/relationships/hyperlink" Id="rId202"/>
    <Relationship TargetMode="External" Target="https://www.legis.iowa.gov/docs/iac/rule/191.50.39.pdf" Type="http://schemas.openxmlformats.org/officeDocument/2006/relationships/hyperlink" Id="rId203"/>
    <Relationship TargetMode="External" Target="https://www.legis.iowa.gov/docs/iac/rule/191.50.39.pdf" Type="http://schemas.openxmlformats.org/officeDocument/2006/relationships/hyperlink" Id="rId204"/>
    <Relationship TargetMode="External" Target="https://www.legis.iowa.gov/docs/iac/rule/191.50.39.pdf" Type="http://schemas.openxmlformats.org/officeDocument/2006/relationships/hyperlink" Id="rId205"/>
    <Relationship TargetMode="External" Target="https://www.legis.iowa.gov/docs/iac/rule/191.50.39.pdf" Type="http://schemas.openxmlformats.org/officeDocument/2006/relationships/hyperlink" Id="rId206"/>
    <Relationship TargetMode="External" Target="https://www.legis.iowa.gov/docs/iac/rule/191.50.42.pdf" Type="http://schemas.openxmlformats.org/officeDocument/2006/relationships/hyperlink" Id="rId207"/>
    <Relationship TargetMode="External" Target="https://www.legis.iowa.gov/docs/iac/rule/191.50.42.pdf" Type="http://schemas.openxmlformats.org/officeDocument/2006/relationships/hyperlink" Id="rId208"/>
    <Relationship TargetMode="External" Target="https://www.legis.iowa.gov/docs/ico/chapter/502.411.pdf" Type="http://schemas.openxmlformats.org/officeDocument/2006/relationships/hyperlink" Id="rId209"/>
    <Relationship TargetMode="External" Target="https://www.legis.iowa.gov/docs/iac/rule/191.50.39.pdf" Type="http://schemas.openxmlformats.org/officeDocument/2006/relationships/hyperlink" Id="rId210"/>
    <Relationship TargetMode="External" Target="https://www.legis.iowa.gov/docs/iac/rule/191.50.42.pdf" Type="http://schemas.openxmlformats.org/officeDocument/2006/relationships/hyperlink" Id="rId211"/>
    <Relationship TargetMode="External" Target="https://www.legis.iowa.gov/docs/iac/rule/191.50.39.pdf" Type="http://schemas.openxmlformats.org/officeDocument/2006/relationships/hyperlink" Id="rId212"/>
    <Relationship TargetMode="External" Target="https://www.legis.iowa.gov/docs/iac/rule/191.50.39.pdf" Type="http://schemas.openxmlformats.org/officeDocument/2006/relationships/hyperlink" Id="rId213"/>
    <Relationship TargetMode="External" Target="https://www.legis.iowa.gov/docs/iac/rule/191.50.42.pdf" Type="http://schemas.openxmlformats.org/officeDocument/2006/relationships/hyperlink" Id="rId214"/>
    <Relationship TargetMode="External" Target="https://www.legis.iowa.gov/docs/iac/rule/191.50.39.pdf" Type="http://schemas.openxmlformats.org/officeDocument/2006/relationships/hyperlink" Id="rId215"/>
    <Relationship TargetMode="External" Target="https://www.legis.iowa.gov/docs/ico/chapter/502.411.pdf" Type="http://schemas.openxmlformats.org/officeDocument/2006/relationships/hyperlink" Id="rId216"/>
    <Relationship TargetMode="External" Target="https://www.legis.iowa.gov/docs/iac/rule/191.50.40.pdf" Type="http://schemas.openxmlformats.org/officeDocument/2006/relationships/hyperlink" Id="rId217"/>
    <Relationship TargetMode="External" Target="https://www.legis.iowa.gov/docs/iac/rule/191.50.40.pdf" Type="http://schemas.openxmlformats.org/officeDocument/2006/relationships/hyperlink" Id="rId218"/>
    <Relationship TargetMode="External" Target="https://www.legis.iowa.gov/docs/iac/rule/191.50.39.pdf" Type="http://schemas.openxmlformats.org/officeDocument/2006/relationships/hyperlink" Id="rId219"/>
    <Relationship TargetMode="External" Target="https://www.legis.iowa.gov/docs/ico/chapter/502.411.pdf" Type="http://schemas.openxmlformats.org/officeDocument/2006/relationships/hyperlink" Id="rId220"/>
    <Relationship TargetMode="External" Target="https://www.legis.iowa.gov/docs/iac/rule/191.50.40.pdf" Type="http://schemas.openxmlformats.org/officeDocument/2006/relationships/hyperlink" Id="rId221"/>
    <Relationship TargetMode="External" Target="https://www.legis.iowa.gov/docs/iac/rule/191.50.42.pdf" Type="http://schemas.openxmlformats.org/officeDocument/2006/relationships/hyperlink" Id="rId222"/>
    <Relationship TargetMode="External" Target="https://www.legis.iowa.gov/docs/iac/rule/191.50.36.pdf" Type="http://schemas.openxmlformats.org/officeDocument/2006/relationships/hyperlink" Id="rId223"/>
    <Relationship TargetMode="External" Target="https://www.legis.iowa.gov/docs/iac/rule/191.50.42.pdf" Type="http://schemas.openxmlformats.org/officeDocument/2006/relationships/hyperlink" Id="rId224"/>
    <Relationship TargetMode="External" Target="https://www.legis.iowa.gov/docs/iac/rule/191.50.39.pdf" Type="http://schemas.openxmlformats.org/officeDocument/2006/relationships/hyperlink" Id="rId225"/>
    <Relationship TargetMode="External" Target="https://www.legis.iowa.gov/docs/iac/rule/191.50.42.pdf" Type="http://schemas.openxmlformats.org/officeDocument/2006/relationships/hyperlink" Id="rId226"/>
    <Relationship TargetMode="External" Target="https://www.legis.iowa.gov/docs/iac/rule/191.50.39.pdf" Type="http://schemas.openxmlformats.org/officeDocument/2006/relationships/hyperlink" Id="rId227"/>
    <Relationship TargetMode="External" Target="https://www.legis.iowa.gov/docs/iac/rule/191.50.39.pdf" Type="http://schemas.openxmlformats.org/officeDocument/2006/relationships/hyperlink" Id="rId228"/>
    <Relationship TargetMode="External" Target="https://www.legis.iowa.gov/docs/iac/rule/191.50.39.pdf" Type="http://schemas.openxmlformats.org/officeDocument/2006/relationships/hyperlink" Id="rId229"/>
    <Relationship TargetMode="External" Target="https://www.legis.iowa.gov/docs/iac/rule/191.50.42.pdf" Type="http://schemas.openxmlformats.org/officeDocument/2006/relationships/hyperlink" Id="rId230"/>
    <Relationship TargetMode="External" Target="https://www.legis.iowa.gov/docs/iac/rule/191.50.42.pdf" Type="http://schemas.openxmlformats.org/officeDocument/2006/relationships/hyperlink" Id="rId231"/>
    <Relationship TargetMode="External" Target="https://www.legis.iowa.gov/docs/iac/rule/191.50.42.pdf" Type="http://schemas.openxmlformats.org/officeDocument/2006/relationships/hyperlink" Id="rId232"/>
    <Relationship TargetMode="External" Target="https://www.legis.iowa.gov/docs/iac/rule/191.50.42.pdf" Type="http://schemas.openxmlformats.org/officeDocument/2006/relationships/hyperlink" Id="rId233"/>
    <Relationship TargetMode="External" Target="https://www.legis.iowa.gov/docs/iac/rule/191.50.42.pdf" Type="http://schemas.openxmlformats.org/officeDocument/2006/relationships/hyperlink" Id="rId234"/>
    <Relationship TargetMode="External" Target="https://www.legis.iowa.gov/docs/iac/rule/191.50.42.pdf" Type="http://schemas.openxmlformats.org/officeDocument/2006/relationships/hyperlink" Id="rId235"/>
    <Relationship TargetMode="External" Target="https://www.legis.iowa.gov/docs/iac/rule/191.50.42.pdf" Type="http://schemas.openxmlformats.org/officeDocument/2006/relationships/hyperlink" Id="rId236"/>
    <Relationship TargetMode="External" Target="https://www.legis.iowa.gov/docs/iac/rule/191.50.42.pdf" Type="http://schemas.openxmlformats.org/officeDocument/2006/relationships/hyperlink" Id="rId237"/>
    <Relationship TargetMode="External" Target="https://www.legis.iowa.gov/docs/iac/rule/191.50.42.pdf" Type="http://schemas.openxmlformats.org/officeDocument/2006/relationships/hyperlink" Id="rId238"/>
    <Relationship TargetMode="External" Target="https://www.legis.iowa.gov/docs/iac/rule/191.50.42.pdf" Type="http://schemas.openxmlformats.org/officeDocument/2006/relationships/hyperlink" Id="rId239"/>
    <Relationship TargetMode="External" Target="https://www.legis.iowa.gov/docs/iac/rule/191.50.42.pdf" Type="http://schemas.openxmlformats.org/officeDocument/2006/relationships/hyperlink" Id="rId240"/>
    <Relationship TargetMode="External" Target="https://www.legis.iowa.gov/docs/iac/rule/191.50.42.pdf" Type="http://schemas.openxmlformats.org/officeDocument/2006/relationships/hyperlink" Id="rId241"/>
    <Relationship TargetMode="External" Target="https://www.legis.iowa.gov/docs/iac/rule/191.50.42.pdf" Type="http://schemas.openxmlformats.org/officeDocument/2006/relationships/hyperlink" Id="rId242"/>
    <Relationship TargetMode="External" Target="https://www.legis.iowa.gov/docs/iac/rule/191.50.42.pdf" Type="http://schemas.openxmlformats.org/officeDocument/2006/relationships/hyperlink" Id="rId243"/>
    <Relationship TargetMode="External" Target="https://www.legis.iowa.gov/docs/iac/rule/191.50.42.pdf" Type="http://schemas.openxmlformats.org/officeDocument/2006/relationships/hyperlink" Id="rId244"/>
    <Relationship TargetMode="External" Target="https://www.legis.iowa.gov/docs/iac/rule/191.50.42.pdf" Type="http://schemas.openxmlformats.org/officeDocument/2006/relationships/hyperlink" Id="rId245"/>
    <Relationship TargetMode="External" Target="https://www.legis.iowa.gov/docs/iac/rule/191.50.42.pdf" Type="http://schemas.openxmlformats.org/officeDocument/2006/relationships/hyperlink" Id="rId246"/>
    <Relationship TargetMode="External" Target="https://www.legis.iowa.gov/docs/ico/chapter/502.411.pdf" Type="http://schemas.openxmlformats.org/officeDocument/2006/relationships/hyperlink" Id="rId247"/>
    <Relationship TargetMode="External" Target="https://www.legis.iowa.gov/docs/ico/chapter/502.411.pdf" Type="http://schemas.openxmlformats.org/officeDocument/2006/relationships/hyperlink" Id="rId248"/>
    <Relationship TargetMode="External" Target="https://www.legis.iowa.gov/docs/ico/chapter/502.102.pdf" Type="http://schemas.openxmlformats.org/officeDocument/2006/relationships/hyperlink" Id="rId249"/>
    <Relationship TargetMode="External" Target="https://www.legis.iowa.gov/docs/ico/chapter/502.102.pdf" Type="http://schemas.openxmlformats.org/officeDocument/2006/relationships/hyperlink" Id="rId250"/>
    <Relationship TargetMode="External" Target="https://www.legis.iowa.gov/docs/ico/chapter/502.102.pdf" Type="http://schemas.openxmlformats.org/officeDocument/2006/relationships/hyperlink" Id="rId251"/>
    <Relationship TargetMode="External" Target="https://www.legis.iowa.gov/docs/iac/rule/191.50.44.pdf" Type="http://schemas.openxmlformats.org/officeDocument/2006/relationships/hyperlink" Id="rId252"/>
    <Relationship TargetMode="External" Target="https://www.legis.iowa.gov/docs/iac/rule/191.50.44.pdf" Type="http://schemas.openxmlformats.org/officeDocument/2006/relationships/hyperlink" Id="rId253"/>
    <Relationship TargetMode="External" Target="https://www.legis.iowa.gov/docs/ico/chapter/502.102.pdf" Type="http://schemas.openxmlformats.org/officeDocument/2006/relationships/hyperlink" Id="rId254"/>
    <Relationship TargetMode="External" Target="https://www.legis.iowa.gov/docs/ico/chapter/502.102.pdf" Type="http://schemas.openxmlformats.org/officeDocument/2006/relationships/hyperlink" Id="rId255"/>
    <Relationship TargetMode="External" Target="https://www.legis.iowa.gov/docs/iac/rule/191.50.45.pdf" Type="http://schemas.openxmlformats.org/officeDocument/2006/relationships/hyperlink" Id="rId256"/>
    <Relationship TargetMode="External" Target="https://www.legis.iowa.gov/docs/ico/chapter/502.403.pdf" Type="http://schemas.openxmlformats.org/officeDocument/2006/relationships/hyperlink" Id="rId257"/>
    <Relationship TargetMode="External" Target="https://www.legis.iowa.gov/docs/iac/rule/191.50.45.pdf" Type="http://schemas.openxmlformats.org/officeDocument/2006/relationships/hyperlink" Id="rId258"/>
    <Relationship TargetMode="External" Target="https://www.legis.iowa.gov/docs/iac/rule/191.50.45.pdf" Type="http://schemas.openxmlformats.org/officeDocument/2006/relationships/hyperlink" Id="rId259"/>
    <Relationship TargetMode="External" Target="https://www.legis.iowa.gov/docs/iac/rule/191.50.45.pdf" Type="http://schemas.openxmlformats.org/officeDocument/2006/relationships/hyperlink" Id="rId260"/>
    <Relationship TargetMode="External" Target="https://www.legis.iowa.gov/docs/iac/rule/191.50.45.pdf" Type="http://schemas.openxmlformats.org/officeDocument/2006/relationships/hyperlink" Id="rId261"/>
    <Relationship TargetMode="External" Target="https://www.legis.iowa.gov/docs/iac/rule/191.50.45.pdf" Type="http://schemas.openxmlformats.org/officeDocument/2006/relationships/hyperlink" Id="rId262"/>
    <Relationship TargetMode="External" Target="https://www.legis.iowa.gov/docs/iac/rule/191.50.45.pdf" Type="http://schemas.openxmlformats.org/officeDocument/2006/relationships/hyperlink" Id="rId263"/>
    <Relationship TargetMode="External" Target="https://www.legis.iowa.gov/docs/iac/rule/191.50.45.pdf" Type="http://schemas.openxmlformats.org/officeDocument/2006/relationships/hyperlink" Id="rId264"/>
    <Relationship TargetMode="External" Target="https://www.legis.iowa.gov/docs/iac/rule/191.50.45.pdf" Type="http://schemas.openxmlformats.org/officeDocument/2006/relationships/hyperlink" Id="rId265"/>
    <Relationship TargetMode="External" Target="https://www.legis.iowa.gov/docs/iac/rule/191.50.45.pdf" Type="http://schemas.openxmlformats.org/officeDocument/2006/relationships/hyperlink" Id="rId266"/>
    <Relationship TargetMode="External" Target="https://www.legis.iowa.gov/docs/iac/rule/191.50.43.pdf" Type="http://schemas.openxmlformats.org/officeDocument/2006/relationships/hyperlink" Id="rId267"/>
    <Relationship TargetMode="External" Target="https://www.legis.iowa.gov/docs/ico/chapter/502.403.pdf" Type="http://schemas.openxmlformats.org/officeDocument/2006/relationships/hyperlink" Id="rId268"/>
    <Relationship TargetMode="External" Target="https://www.legis.iowa.gov/docs/iac/rule/161.50.46.pdf" Type="http://schemas.openxmlformats.org/officeDocument/2006/relationships/hyperlink" Id="rId269"/>
    <Relationship TargetMode="External" Target="https://www.legis.iowa.gov/docs/iac/rule/191.50.46.pdf" Type="http://schemas.openxmlformats.org/officeDocument/2006/relationships/hyperlink" Id="rId270"/>
    <Relationship TargetMode="External" Target="https://www.legis.iowa.gov/docs/iac/rule/191.50.46.pdf" Type="http://schemas.openxmlformats.org/officeDocument/2006/relationships/hyperlink" Id="rId271"/>
    <Relationship TargetMode="External" Target="https://www.legis.iowa.gov/docs/iac/rule/191.50.46.pdf" Type="http://schemas.openxmlformats.org/officeDocument/2006/relationships/hyperlink" Id="rId272"/>
    <Relationship TargetMode="External" Target="https://www.legis.iowa.gov/docs/iac/rule/191.50.46.pdf" Type="http://schemas.openxmlformats.org/officeDocument/2006/relationships/hyperlink" Id="rId273"/>
    <Relationship TargetMode="External" Target="https://www.legis.iowa.gov/docs/iac/rule/191.50.46.pdf" Type="http://schemas.openxmlformats.org/officeDocument/2006/relationships/hyperlink" Id="rId274"/>
    <Relationship TargetMode="External" Target="https://www.legis.iowa.gov/docs/iac/rule/191.50.46.pdf" Type="http://schemas.openxmlformats.org/officeDocument/2006/relationships/hyperlink" Id="rId275"/>
    <Relationship TargetMode="External" Target="https://www.legis.iowa.gov/docs/iac/rule/191.50.38.pdf" Type="http://schemas.openxmlformats.org/officeDocument/2006/relationships/hyperlink" Id="rId276"/>
    <Relationship TargetMode="External" Target="https://www.legis.iowa.gov/docs/iac/rule/191.50.46.pdf" Type="http://schemas.openxmlformats.org/officeDocument/2006/relationships/hyperlink" Id="rId277"/>
    <Relationship TargetMode="External" Target="https://www.legis.iowa.gov/docs/iac/rule/191.50.46.pdf" Type="http://schemas.openxmlformats.org/officeDocument/2006/relationships/hyperlink" Id="rId278"/>
    <Relationship TargetMode="External" Target="https://www.legis.iowa.gov/docs/iac/rule/191.50.46.pdf" Type="http://schemas.openxmlformats.org/officeDocument/2006/relationships/hyperlink" Id="rId279"/>
    <Relationship TargetMode="External" Target="https://www.legis.iowa.gov/docs/iac/rule/191.50.46.pdf" Type="http://schemas.openxmlformats.org/officeDocument/2006/relationships/hyperlink" Id="rId280"/>
    <Relationship TargetMode="External" Target="https://www.legis.iowa.gov/docs/ico/chapter/502.411.pdf" Type="http://schemas.openxmlformats.org/officeDocument/2006/relationships/hyperlink" Id="rId281"/>
    <Relationship TargetMode="External" Target="http://iid.iowa.gov" Type="http://schemas.openxmlformats.org/officeDocument/2006/relationships/hyperlink" Id="rId282"/>
    <Relationship TargetMode="External" Target="https://www.legis.iowa.gov/docs/ico/chapter/502.411.pdf" Type="http://schemas.openxmlformats.org/officeDocument/2006/relationships/hyperlink" Id="rId283"/>
    <Relationship TargetMode="External" Target="https://www.legis.iowa.gov/docs/ico/chapter/502.pdf" Type="http://schemas.openxmlformats.org/officeDocument/2006/relationships/hyperlink" Id="rId284"/>
    <Relationship TargetMode="External" Target="https://www.legis.iowa.gov/docs/ico/chapter/502.401.pdf" Type="http://schemas.openxmlformats.org/officeDocument/2006/relationships/hyperlink" Id="rId285"/>
    <Relationship TargetMode="External" Target="https://www.legis.iowa.gov/docs/ico/chapter/502.402.pdf" Type="http://schemas.openxmlformats.org/officeDocument/2006/relationships/hyperlink" Id="rId286"/>
    <Relationship TargetMode="External" Target="https://www.legis.iowa.gov/docs/ico/chapter/502.403.pdf" Type="http://schemas.openxmlformats.org/officeDocument/2006/relationships/hyperlink" Id="rId287"/>
    <Relationship TargetMode="External" Target="https://www.legis.iowa.gov/docs/ico/chapter/502.404.pdf" Type="http://schemas.openxmlformats.org/officeDocument/2006/relationships/hyperlink" Id="rId288"/>
    <Relationship TargetMode="External" Target="https://www.legis.iowa.gov/docs/ico/chapter/502.405.pdf" Type="http://schemas.openxmlformats.org/officeDocument/2006/relationships/hyperlink" Id="rId289"/>
    <Relationship TargetMode="External" Target="https://www.legis.iowa.gov/docs/ico/chapter/502.401-405.pdf" Type="http://schemas.openxmlformats.org/officeDocument/2006/relationships/hyperlink" Id="rId290"/>
    <Relationship TargetMode="External" Target="https://www.legis.iowa.gov/docs/ico/chapter/502.611.pdf" Type="http://schemas.openxmlformats.org/officeDocument/2006/relationships/hyperlink" Id="rId291"/>
    <Relationship TargetMode="External" Target="https://www.legis.iowa.gov/docs/iac/rule/191.50.51.pdf" Type="http://schemas.openxmlformats.org/officeDocument/2006/relationships/hyperlink" Id="rId292"/>
    <Relationship TargetMode="External" Target="https://www.legis.iowa.gov/docs/ico/chapter/502.302.pdf" Type="http://schemas.openxmlformats.org/officeDocument/2006/relationships/hyperlink" Id="rId293"/>
    <Relationship TargetMode="External" Target="https://www.legis.iowa.gov/docs/ico/chapter/502.302.pdf" Type="http://schemas.openxmlformats.org/officeDocument/2006/relationships/hyperlink" Id="rId294"/>
    <Relationship TargetMode="External" Target="https://www.legis.iowa.gov/docs/ico/chapter/502.303.pdf" Type="http://schemas.openxmlformats.org/officeDocument/2006/relationships/hyperlink" Id="rId295"/>
    <Relationship TargetMode="External" Target="https://www.legis.iowa.gov/docs/ico/chapter/502.304.pdf" Type="http://schemas.openxmlformats.org/officeDocument/2006/relationships/hyperlink" Id="rId296"/>
    <Relationship TargetMode="External" Target="https://www.legis.iowa.gov/docs/ico/chapter/502.406.pdf" Type="http://schemas.openxmlformats.org/officeDocument/2006/relationships/hyperlink" Id="rId297"/>
    <Relationship TargetMode="External" Target="https://www.legis.iowa.gov/docs/ico/chapter/502.611.pdf" Type="http://schemas.openxmlformats.org/officeDocument/2006/relationships/hyperlink" Id="rId298"/>
    <Relationship TargetMode="External" Target="https://www.legis.iowa.gov/docs/ico/chapter/502.611.pdf" Type="http://schemas.openxmlformats.org/officeDocument/2006/relationships/hyperlink" Id="rId299"/>
    <Relationship TargetMode="External" Target="https://www.legis.iowa.gov/docs/ico/chapter/252J.9.pdf" Type="http://schemas.openxmlformats.org/officeDocument/2006/relationships/hyperlink" Id="rId300"/>
    <Relationship TargetMode="External" Target="https://www.legis.iowa.gov/docs/ico/chapter/252J.9.pdf" Type="http://schemas.openxmlformats.org/officeDocument/2006/relationships/hyperlink" Id="rId301"/>
    <Relationship TargetMode="External" Target="https://www.legis.iowa.gov/docs/iac/rule/191.50.52.pdf" Type="http://schemas.openxmlformats.org/officeDocument/2006/relationships/hyperlink" Id="rId302"/>
    <Relationship TargetMode="External" Target="https://www.legis.iowa.gov/docs/ico/chapter/252J.pdf" Type="http://schemas.openxmlformats.org/officeDocument/2006/relationships/hyperlink" Id="rId303"/>
    <Relationship TargetMode="External" Target="https://www.legis.iowa.gov/docs/ico/chapter/252J.pdf" Type="http://schemas.openxmlformats.org/officeDocument/2006/relationships/hyperlink" Id="rId304"/>
    <Relationship TargetMode="External" Target="https://www.legis.iowa.gov/docs/ico/chapter/252J.pdf" Type="http://schemas.openxmlformats.org/officeDocument/2006/relationships/hyperlink" Id="rId305"/>
    <Relationship TargetMode="External" Target="https://www.legis.iowa.gov/docs/ico/chapter/272D.9.pdf" Type="http://schemas.openxmlformats.org/officeDocument/2006/relationships/hyperlink" Id="rId306"/>
    <Relationship TargetMode="External" Target="https://www.legis.iowa.gov/docs/ico/chapter/272D.9.pdf" Type="http://schemas.openxmlformats.org/officeDocument/2006/relationships/hyperlink" Id="rId307"/>
    <Relationship TargetMode="External" Target="https://www.legis.iowa.gov/docs/iac/rule/191.50.54.pdf" Type="http://schemas.openxmlformats.org/officeDocument/2006/relationships/hyperlink" Id="rId308"/>
    <Relationship TargetMode="External" Target="https://www.legis.iowa.gov/docs/ico/chapter/272D.pdf" Type="http://schemas.openxmlformats.org/officeDocument/2006/relationships/hyperlink" Id="rId309"/>
    <Relationship TargetMode="External" Target="https://www.legis.iowa.gov/docs/ico/chapter/272D.pdf" Type="http://schemas.openxmlformats.org/officeDocument/2006/relationships/hyperlink" Id="rId310"/>
    <Relationship TargetMode="External" Target="https://www.legis.iowa.gov/docs/ico/chapter/272D.pdf" Type="http://schemas.openxmlformats.org/officeDocument/2006/relationships/hyperlink" Id="rId311"/>
    <Relationship TargetMode="External" Target="https://www.legis.iowa.gov/docs/ico/chapter/502.412.pdf" Type="http://schemas.openxmlformats.org/officeDocument/2006/relationships/hyperlink" Id="rId312"/>
    <Relationship TargetMode="External" Target="https://www.legis.iowa.gov/docs/ico/chapter/502.605.pdf" Type="http://schemas.openxmlformats.org/officeDocument/2006/relationships/hyperlink" Id="rId313"/>
    <Relationship TargetMode="External" Target="https://www.legis.iowa.gov/docs/iac/rule/191.50.60.pdf" Type="http://schemas.openxmlformats.org/officeDocument/2006/relationships/hyperlink" Id="rId314"/>
    <Relationship TargetMode="External" Target="https://www.legis.iowa.gov/docs/ico/chapter/502.302.pdf" Type="http://schemas.openxmlformats.org/officeDocument/2006/relationships/hyperlink" Id="rId315"/>
    <Relationship TargetMode="External" Target="https://www.legis.iowa.gov/docs/ico/chapter/502.302.pdf" Type="http://schemas.openxmlformats.org/officeDocument/2006/relationships/hyperlink" Id="rId316"/>
    <Relationship TargetMode="External" Target="https://www.legis.iowa.gov/docs/ico/chapter/502.302.pdf" Type="http://schemas.openxmlformats.org/officeDocument/2006/relationships/hyperlink" Id="rId317"/>
    <Relationship TargetMode="External" Target="https://www.legis.iowa.gov/docs/iac/rule/191.50.60.pdf" Type="http://schemas.openxmlformats.org/officeDocument/2006/relationships/hyperlink" Id="rId318"/>
    <Relationship TargetMode="External" Target="https://www.legis.iowa.gov/docs/ico/chapter/502.302.pdf" Type="http://schemas.openxmlformats.org/officeDocument/2006/relationships/hyperlink" Id="rId319"/>
    <Relationship TargetMode="External" Target="https://www.legis.iowa.gov/docs/ico/chapter/502.302.pdf" Type="http://schemas.openxmlformats.org/officeDocument/2006/relationships/hyperlink" Id="rId320"/>
    <Relationship TargetMode="External" Target="http://efdnasaa.org" Type="http://schemas.openxmlformats.org/officeDocument/2006/relationships/hyperlink" Id="rId321"/>
    <Relationship TargetMode="External" Target="https://www.legis.iowa.gov/docs/ico/chapter/502.302.pdf" Type="http://schemas.openxmlformats.org/officeDocument/2006/relationships/hyperlink" Id="rId322"/>
    <Relationship TargetMode="External" Target="http://www.nasaa.org" Type="http://schemas.openxmlformats.org/officeDocument/2006/relationships/hyperlink" Id="rId323"/>
    <Relationship TargetMode="External" Target="https://www.legis.iowa.gov/docs/iac/rule/191.50.61.pdf" Type="http://schemas.openxmlformats.org/officeDocument/2006/relationships/hyperlink" Id="rId324"/>
    <Relationship TargetMode="External" Target="https://www.legis.iowa.gov/docs/iac/rule/191.50.61.pdf" Type="http://schemas.openxmlformats.org/officeDocument/2006/relationships/hyperlink" Id="rId325"/>
    <Relationship TargetMode="External" Target="https://www.legis.iowa.gov/docs/iac/rule/191.50.61.pdf" Type="http://schemas.openxmlformats.org/officeDocument/2006/relationships/hyperlink" Id="rId326"/>
    <Relationship TargetMode="External" Target="https://www.legis.iowa.gov/docs/ico/chapter/502.304.pdf" Type="http://schemas.openxmlformats.org/officeDocument/2006/relationships/hyperlink" Id="rId327"/>
    <Relationship TargetMode="External" Target="https://www.legis.iowa.gov/docs/ico/chapter/502.303.pdf" Type="http://schemas.openxmlformats.org/officeDocument/2006/relationships/hyperlink" Id="rId328"/>
    <Relationship TargetMode="External" Target="https://www.legis.iowa.gov/docs/iac/rule/191.50.62.pdf" Type="http://schemas.openxmlformats.org/officeDocument/2006/relationships/hyperlink" Id="rId329"/>
    <Relationship TargetMode="External" Target="https://www.legis.iowa.gov/docs/iac/rule/191.50.62.pdf" Type="http://schemas.openxmlformats.org/officeDocument/2006/relationships/hyperlink" Id="rId330"/>
    <Relationship TargetMode="External" Target="https://www.legis.iowa.gov/docs/iac/rule/191.50.66.pdf" Type="http://schemas.openxmlformats.org/officeDocument/2006/relationships/hyperlink" Id="rId331"/>
    <Relationship TargetMode="External" Target="https://www.legis.iowa.gov/docs/iac/rule/191.50.66.pdf" Type="http://schemas.openxmlformats.org/officeDocument/2006/relationships/hyperlink" Id="rId332"/>
    <Relationship TargetMode="External" Target="https://www.legis.iowa.gov/docs/ico/chapter/502.306.pdf" Type="http://schemas.openxmlformats.org/officeDocument/2006/relationships/hyperlink" Id="rId333"/>
    <Relationship TargetMode="External" Target="https://www.legis.iowa.gov/docs/iac/rule/191.50.62.pdf" Type="http://schemas.openxmlformats.org/officeDocument/2006/relationships/hyperlink" Id="rId334"/>
    <Relationship TargetMode="External" Target="https://www.legis.iowa.gov/docs/ico/chapter/502.303.pdf" Type="http://schemas.openxmlformats.org/officeDocument/2006/relationships/hyperlink" Id="rId335"/>
    <Relationship TargetMode="External" Target="https://www.legis.iowa.gov/docs/ico/chapter/502.303.pdf" Type="http://schemas.openxmlformats.org/officeDocument/2006/relationships/hyperlink" Id="rId336"/>
    <Relationship TargetMode="External" Target="https://www.legis.iowa.gov/docs/ico/chapter/502.605.pdf" Type="http://schemas.openxmlformats.org/officeDocument/2006/relationships/hyperlink" Id="rId337"/>
    <Relationship TargetMode="External" Target="https://www.legis.iowa.gov/docs/iac/rule/191.50.63.pdf" Type="http://schemas.openxmlformats.org/officeDocument/2006/relationships/hyperlink" Id="rId338"/>
    <Relationship TargetMode="External" Target="https://www.legis.iowa.gov/docs/ico/chapter/502.303.pdf" Type="http://schemas.openxmlformats.org/officeDocument/2006/relationships/hyperlink" Id="rId339"/>
    <Relationship TargetMode="External" Target="https://www.legis.iowa.gov/docs/ico/chapter/502.605.pdf" Type="http://schemas.openxmlformats.org/officeDocument/2006/relationships/hyperlink" Id="rId340"/>
    <Relationship TargetMode="External" Target="https://www.legis.iowa.gov/docs/ico/chapter/502.304.pdf" Type="http://schemas.openxmlformats.org/officeDocument/2006/relationships/hyperlink" Id="rId341"/>
    <Relationship TargetMode="External" Target="https://www.legis.iowa.gov/docs/ico/chapter/502.304.pdf" Type="http://schemas.openxmlformats.org/officeDocument/2006/relationships/hyperlink" Id="rId342"/>
    <Relationship TargetMode="External" Target="https://www.legis.iowa.gov/docs/iac/rule/191.50.64.pdf" Type="http://schemas.openxmlformats.org/officeDocument/2006/relationships/hyperlink" Id="rId343"/>
    <Relationship TargetMode="External" Target="https://www.legis.iowa.gov/docs/ico/chapter/502.304.pdf" Type="http://schemas.openxmlformats.org/officeDocument/2006/relationships/hyperlink" Id="rId344"/>
    <Relationship TargetMode="External" Target="https://www.legis.iowa.gov/docs/ico/chapter/502.304.pdf" Type="http://schemas.openxmlformats.org/officeDocument/2006/relationships/hyperlink" Id="rId345"/>
    <Relationship TargetMode="External" Target="https://www.legis.iowa.gov/docs/ico/chapter/502.304.pdf" Type="http://schemas.openxmlformats.org/officeDocument/2006/relationships/hyperlink" Id="rId346"/>
    <Relationship TargetMode="External" Target="https://www.legis.iowa.gov/docs/ico/chapter/50.pdf" Type="http://schemas.openxmlformats.org/officeDocument/2006/relationships/hyperlink" Id="rId347"/>
    <Relationship TargetMode="External" Target="http://www.nasaa.org" Type="http://schemas.openxmlformats.org/officeDocument/2006/relationships/hyperlink" Id="rId348"/>
    <Relationship TargetMode="External" Target="http://nasaa.cdn.s3.amazonaws.com/wp-content/uploads/2011/07/SOP-Regarding-Preferred-Stock-Amended0916.pdf" Type="http://schemas.openxmlformats.org/officeDocument/2006/relationships/hyperlink" Id="rId349"/>
    <Relationship TargetMode="External" Target="http://nasaa.cdn.s3.amazonaws.com/wp-content/uploads/2011/07/SPECIFICITY_IN_USE_OF_PROCEEDS-Amended0916.pdf" Type="http://schemas.openxmlformats.org/officeDocument/2006/relationships/hyperlink" Id="rId350"/>
    <Relationship TargetMode="External" Target="http://nasaa.cdn.s3.amazonaws.com/wp-content/uploads/2011/07/PROMOTERS_EQUITY_INVESTMENT-revised0916.pdf" Type="http://schemas.openxmlformats.org/officeDocument/2006/relationships/hyperlink" Id="rId351"/>
    <Relationship TargetMode="External" Target="http://nasaa.cdn.s3.amazonaws.com/wp-content/uploads/2011/07/SOP_Unequal_Voting_Rights-Amended0916.pdf" Type="http://schemas.openxmlformats.org/officeDocument/2006/relationships/hyperlink" Id="rId352"/>
    <Relationship TargetMode="External" Target="https://www.legis.iowa.gov/docs/iac/rule/191.50.66.pdf" Type="http://schemas.openxmlformats.org/officeDocument/2006/relationships/hyperlink" Id="rId353"/>
    <Relationship TargetMode="External" Target="https://www.legis.iowa.gov/docs/iac/rule/191.50.66.pdf" Type="http://schemas.openxmlformats.org/officeDocument/2006/relationships/hyperlink" Id="rId354"/>
    <Relationship TargetMode="External" Target="https://www.legis.iowa.gov/docs/iac/rule/191.50.66.pdf" Type="http://schemas.openxmlformats.org/officeDocument/2006/relationships/hyperlink" Id="rId355"/>
    <Relationship TargetMode="External" Target="https://www.legis.iowa.gov/docs/iac/rule/191.50.66.pdf" Type="http://schemas.openxmlformats.org/officeDocument/2006/relationships/hyperlink" Id="rId356"/>
    <Relationship TargetMode="External" Target="https://www.legis.iowa.gov/docs/iac/rule/191.50.66.pdf" Type="http://schemas.openxmlformats.org/officeDocument/2006/relationships/hyperlink" Id="rId357"/>
    <Relationship TargetMode="External" Target="https://www.legis.iowa.gov/docs/ico/chapter/502.305.pdf" Type="http://schemas.openxmlformats.org/officeDocument/2006/relationships/hyperlink" Id="rId358"/>
    <Relationship TargetMode="External" Target="https://www.legis.iowa.gov/docs/ico/chapter/502.306.pdf" Type="http://schemas.openxmlformats.org/officeDocument/2006/relationships/hyperlink" Id="rId359"/>
    <Relationship TargetMode="External" Target="https://www.legis.iowa.gov/docs/ico/chapter/502.304.pdf" Type="http://schemas.openxmlformats.org/officeDocument/2006/relationships/hyperlink" Id="rId360"/>
    <Relationship TargetMode="External" Target="https://www.legis.iowa.gov/docs/ico/chapter/502.305.pdf" Type="http://schemas.openxmlformats.org/officeDocument/2006/relationships/hyperlink" Id="rId361"/>
    <Relationship TargetMode="External" Target="https://www.legis.iowa.gov/docs/ico/chapter/502.305.pdf" Type="http://schemas.openxmlformats.org/officeDocument/2006/relationships/hyperlink" Id="rId362"/>
    <Relationship TargetMode="External" Target="https://www.legis.iowa.gov/docs/ico/chapter/502.304.pdf" Type="http://schemas.openxmlformats.org/officeDocument/2006/relationships/hyperlink" Id="rId363"/>
    <Relationship TargetMode="External" Target="https://www.legis.iowa.gov/docs/ico/chapter/502.304.pdf" Type="http://schemas.openxmlformats.org/officeDocument/2006/relationships/hyperlink" Id="rId364"/>
    <Relationship TargetMode="External" Target="https://www.legis.iowa.gov/docs/ico/chapter/502.304.pdf" Type="http://schemas.openxmlformats.org/officeDocument/2006/relationships/hyperlink" Id="rId365"/>
    <Relationship TargetMode="External" Target="https://www.legis.iowa.gov/docs/ico/chapter/502.504.pdf" Type="http://schemas.openxmlformats.org/officeDocument/2006/relationships/hyperlink" Id="rId366"/>
    <Relationship TargetMode="External" Target="https://www.legis.iowa.gov/docs/ico/chapter/502.303.pdf" Type="http://schemas.openxmlformats.org/officeDocument/2006/relationships/hyperlink" Id="rId367"/>
    <Relationship TargetMode="External" Target="https://www.legis.iowa.gov/docs/ico/chapter/502.304.pdf" Type="http://schemas.openxmlformats.org/officeDocument/2006/relationships/hyperlink" Id="rId368"/>
    <Relationship TargetMode="External" Target="https://www.legis.iowa.gov/docs/ico/chapter/502.201.pdf" Type="http://schemas.openxmlformats.org/officeDocument/2006/relationships/hyperlink" Id="rId369"/>
    <Relationship TargetMode="External" Target="https://www.legis.iowa.gov/docs/ico/chapter/502.202.pdf" Type="http://schemas.openxmlformats.org/officeDocument/2006/relationships/hyperlink" Id="rId370"/>
    <Relationship TargetMode="External" Target="https://www.legis.iowa.gov/docs/ico/chapter/502.504.pdf" Type="http://schemas.openxmlformats.org/officeDocument/2006/relationships/hyperlink" Id="rId371"/>
    <Relationship TargetMode="External" Target="https://www.legis.iowa.gov/docs/ico/chapter/502.504.pdf" Type="http://schemas.openxmlformats.org/officeDocument/2006/relationships/hyperlink" Id="rId372"/>
    <Relationship TargetMode="External" Target="https://www.legis.iowa.gov/docs/ico/chapter/502.504.pdf" Type="http://schemas.openxmlformats.org/officeDocument/2006/relationships/hyperlink" Id="rId373"/>
    <Relationship TargetMode="External" Target="https://www.legis.iowa.gov/docs/ico/chapter/502.305.pdf" Type="http://schemas.openxmlformats.org/officeDocument/2006/relationships/hyperlink" Id="rId374"/>
    <Relationship TargetMode="External" Target="https://www.legis.iowa.gov/docs/ico/chapter/502.302.pdf" Type="http://schemas.openxmlformats.org/officeDocument/2006/relationships/hyperlink" Id="rId375"/>
    <Relationship TargetMode="External" Target="https://www.legis.iowa.gov/docs/ico/chapter/502.304A.pdf" Type="http://schemas.openxmlformats.org/officeDocument/2006/relationships/hyperlink" Id="rId376"/>
    <Relationship TargetMode="External" Target="https://www.legis.iowa.gov/docs/ico/chapter/502.305.pdf" Type="http://schemas.openxmlformats.org/officeDocument/2006/relationships/hyperlink" Id="rId377"/>
    <Relationship TargetMode="External" Target="https://www.legis.iowa.gov/docs/ico/chapter/502.305.pdf" Type="http://schemas.openxmlformats.org/officeDocument/2006/relationships/hyperlink" Id="rId378"/>
    <Relationship TargetMode="External" Target="http://www.efdnasaa.org" Type="http://schemas.openxmlformats.org/officeDocument/2006/relationships/hyperlink" Id="rId379"/>
    <Relationship TargetMode="External" Target="https://www.legis.iowa.gov/docs/ico/chapter/502.302.pdf" Type="http://schemas.openxmlformats.org/officeDocument/2006/relationships/hyperlink" Id="rId380"/>
    <Relationship TargetMode="External" Target="https://www.legis.iowa.gov/docs/ico/chapter/502.201.pdf" Type="http://schemas.openxmlformats.org/officeDocument/2006/relationships/hyperlink" Id="rId381"/>
    <Relationship TargetMode="External" Target="https://www.legis.iowa.gov/docs/ico/chapter/502.202.pdf" Type="http://schemas.openxmlformats.org/officeDocument/2006/relationships/hyperlink" Id="rId382"/>
    <Relationship TargetMode="External" Target="https://www.legis.iowa.gov/docs/iac/rule/191.50.83.pdf" Type="http://schemas.openxmlformats.org/officeDocument/2006/relationships/hyperlink" Id="rId383"/>
    <Relationship TargetMode="External" Target="https://www.legis.iowa.gov/docs/ico/chapter/502.202.pdf" Type="http://schemas.openxmlformats.org/officeDocument/2006/relationships/hyperlink" Id="rId384"/>
    <Relationship TargetMode="External" Target="https://www.legis.iowa.gov/docs/ico/chapter/502.202.pdf" Type="http://schemas.openxmlformats.org/officeDocument/2006/relationships/hyperlink" Id="rId385"/>
    <Relationship TargetMode="External" Target="https://www.legis.iowa.gov/docs/ico/chapter/502.301.pdf" Type="http://schemas.openxmlformats.org/officeDocument/2006/relationships/hyperlink" Id="rId386"/>
    <Relationship TargetMode="External" Target="https://www.legis.iowa.gov/docs/ico/chapter/502.202.pdf" Type="http://schemas.openxmlformats.org/officeDocument/2006/relationships/hyperlink" Id="rId387"/>
    <Relationship TargetMode="External" Target="https://www.legis.iowa.gov/docs/ico/chapter/502.301.pdf" Type="http://schemas.openxmlformats.org/officeDocument/2006/relationships/hyperlink" Id="rId388"/>
    <Relationship TargetMode="External" Target="https://www.legis.iowa.gov/docs/iac/rule/191.50.84.pdf" Type="http://schemas.openxmlformats.org/officeDocument/2006/relationships/hyperlink" Id="rId389"/>
    <Relationship TargetMode="External" Target="https://www.legis.iowa.gov/docs/ico/chapter/502.603.pdf" Type="http://schemas.openxmlformats.org/officeDocument/2006/relationships/hyperlink" Id="rId390"/>
    <Relationship TargetMode="External" Target="https://www.legis.iowa.gov/docs/ico/chapter/502.604.pdf" Type="http://schemas.openxmlformats.org/officeDocument/2006/relationships/hyperlink" Id="rId391"/>
    <Relationship TargetMode="External" Target="https://www.legis.iowa.gov/docs/ico/chapter/502.301.pdf" Type="http://schemas.openxmlformats.org/officeDocument/2006/relationships/hyperlink" Id="rId392"/>
    <Relationship TargetMode="External" Target="https://www.legis.iowa.gov/docs/ico/chapter/502.603.pdf" Type="http://schemas.openxmlformats.org/officeDocument/2006/relationships/hyperlink" Id="rId393"/>
    <Relationship TargetMode="External" Target="https://www.legis.iowa.gov/docs/ico/chapter/502.604.pdf" Type="http://schemas.openxmlformats.org/officeDocument/2006/relationships/hyperlink" Id="rId394"/>
    <Relationship TargetMode="External" Target="https://www.legis.iowa.gov/docs/ico/chapter/502.202.pdf" Type="http://schemas.openxmlformats.org/officeDocument/2006/relationships/hyperlink" Id="rId395"/>
    <Relationship TargetMode="External" Target="https://www.legis.iowa.gov/docs/iac/rule/191.50.80.pdf" Type="http://schemas.openxmlformats.org/officeDocument/2006/relationships/hyperlink" Id="rId396"/>
    <Relationship TargetMode="External" Target="https://www.legis.iowa.gov/docs/ico/chapter/502.401.pdf" Type="http://schemas.openxmlformats.org/officeDocument/2006/relationships/hyperlink" Id="rId397"/>
    <Relationship TargetMode="External" Target="https://www.legis.iowa.gov/docs/ico/chapter/502.402.pdf" Type="http://schemas.openxmlformats.org/officeDocument/2006/relationships/hyperlink" Id="rId398"/>
    <Relationship TargetMode="External" Target="https://www.legis.iowa.gov/docs/ico/chapter/502.501.pdf" Type="http://schemas.openxmlformats.org/officeDocument/2006/relationships/hyperlink" Id="rId399"/>
    <Relationship TargetMode="External" Target="https://www.legis.iowa.gov/docs/ico/chapter/502.509.pdf" Type="http://schemas.openxmlformats.org/officeDocument/2006/relationships/hyperlink" Id="rId400"/>
    <Relationship TargetMode="External" Target="https://www.legis.iowa.gov/docs/ico/chapter/502.501.pdf" Type="http://schemas.openxmlformats.org/officeDocument/2006/relationships/hyperlink" Id="rId401"/>
    <Relationship TargetMode="External" Target="https://www.legis.iowa.gov/docs/ico/chapter/502.202.pdf" Type="http://schemas.openxmlformats.org/officeDocument/2006/relationships/hyperlink" Id="rId402"/>
    <Relationship TargetMode="External" Target="https://www.legis.iowa.gov/docs/ico/chapter/502.301.pdf" Type="http://schemas.openxmlformats.org/officeDocument/2006/relationships/hyperlink" Id="rId403"/>
    <Relationship TargetMode="External" Target="https://www.legis.iowa.gov/docs/ico/chapter/502.504.pdf" Type="http://schemas.openxmlformats.org/officeDocument/2006/relationships/hyperlink" Id="rId404"/>
    <Relationship TargetMode="External" Target="https://www.legis.iowa.gov/docs/ico/chapter/502.301.pdf" Type="http://schemas.openxmlformats.org/officeDocument/2006/relationships/hyperlink" Id="rId405"/>
    <Relationship TargetMode="External" Target="https://www.legis.iowa.gov/docs/ico/chapter/502.504.pdf" Type="http://schemas.openxmlformats.org/officeDocument/2006/relationships/hyperlink" Id="rId406"/>
    <Relationship TargetMode="External" Target="https://www.legis.iowa.gov/docs/ico/chapter/502.202.pdf" Type="http://schemas.openxmlformats.org/officeDocument/2006/relationships/hyperlink" Id="rId407"/>
    <Relationship TargetMode="External" Target="https://www.legis.iowa.gov/docs/ico/chapter/502.203.pdf" Type="http://schemas.openxmlformats.org/officeDocument/2006/relationships/hyperlink" Id="rId408"/>
    <Relationship TargetMode="External" Target="https://www.legis.iowa.gov/docs/ico/chapter/502.204.pdf" Type="http://schemas.openxmlformats.org/officeDocument/2006/relationships/hyperlink" Id="rId409"/>
    <Relationship TargetMode="External" Target="https://www.legis.iowa.gov/docs/ico/chapter/502.202.pdf" Type="http://schemas.openxmlformats.org/officeDocument/2006/relationships/hyperlink" Id="rId410"/>
    <Relationship TargetMode="External" Target="https://www.legis.iowa.gov/docs/ico/chapter/502.204.pdf" Type="http://schemas.openxmlformats.org/officeDocument/2006/relationships/hyperlink" Id="rId411"/>
    <Relationship TargetMode="External" Target="https://www.legis.iowa.gov/docs/ico/chapter/502.201.pdf" Type="http://schemas.openxmlformats.org/officeDocument/2006/relationships/hyperlink" Id="rId412"/>
    <Relationship TargetMode="External" Target="https://www.legis.iowa.gov/docs/iac/rule/191.50.87.pdf" Type="http://schemas.openxmlformats.org/officeDocument/2006/relationships/hyperlink" Id="rId413"/>
    <Relationship TargetMode="External" Target="https://www.legis.iowa.gov/docs/iac/rule/191.50.87.pdf" Type="http://schemas.openxmlformats.org/officeDocument/2006/relationships/hyperlink" Id="rId414"/>
    <Relationship TargetMode="External" Target="https://www.legis.iowa.gov/docs/ico/chapter/502.201.pdf" Type="http://schemas.openxmlformats.org/officeDocument/2006/relationships/hyperlink" Id="rId415"/>
    <Relationship TargetMode="External" Target="https://www.legis.iowa.gov/docs/ico/chapter/502.201.pdf" Type="http://schemas.openxmlformats.org/officeDocument/2006/relationships/hyperlink" Id="rId416"/>
    <Relationship TargetMode="External" Target="https://www.legis.iowa.gov/docs/ico/chapter/502.202.pdf" Type="http://schemas.openxmlformats.org/officeDocument/2006/relationships/hyperlink" Id="rId417"/>
    <Relationship TargetMode="External" Target="https://www.legis.iowa.gov/docs/ico/chapter/502.202.pdf" Type="http://schemas.openxmlformats.org/officeDocument/2006/relationships/hyperlink" Id="rId418"/>
    <Relationship TargetMode="External" Target="https://www.legis.iowa.gov/docs/ico/chapter/502.202.pdf" Type="http://schemas.openxmlformats.org/officeDocument/2006/relationships/hyperlink" Id="rId419"/>
    <Relationship TargetMode="External" Target="https://www.legis.iowa.gov/docs/ico/chapter/502.202.pdf" Type="http://schemas.openxmlformats.org/officeDocument/2006/relationships/hyperlink" Id="rId420"/>
    <Relationship TargetMode="External" Target="http://iid.iowa.gov" Type="http://schemas.openxmlformats.org/officeDocument/2006/relationships/hyperlink" Id="rId421"/>
    <Relationship TargetMode="External" Target="https://www.legis.iowa.gov/docs/ico/chapter/502.202.pdf" Type="http://schemas.openxmlformats.org/officeDocument/2006/relationships/hyperlink" Id="rId422"/>
    <Relationship TargetMode="External" Target="https://www.legis.iowa.gov/docs/ico/chapter/502.102.pdf" Type="http://schemas.openxmlformats.org/officeDocument/2006/relationships/hyperlink" Id="rId423"/>
    <Relationship TargetMode="External" Target="https://www.legis.iowa.gov/docs/ico/chapter/502.203.pdf" Type="http://schemas.openxmlformats.org/officeDocument/2006/relationships/hyperlink" Id="rId424"/>
    <Relationship TargetMode="External" Target="https://www.legis.iowa.gov/docs/ico/chapter/502.605.pdf" Type="http://schemas.openxmlformats.org/officeDocument/2006/relationships/hyperlink" Id="rId425"/>
    <Relationship TargetMode="External" Target="https://www.legis.iowa.gov/docs/ico/chapter/502.202.pdf" Type="http://schemas.openxmlformats.org/officeDocument/2006/relationships/hyperlink" Id="rId426"/>
    <Relationship TargetMode="External" Target="https://www.legis.iowa.gov/docs/ico/chapter/502.pdf" Type="http://schemas.openxmlformats.org/officeDocument/2006/relationships/hyperlink" Id="rId427"/>
    <Relationship TargetMode="External" Target="http://www.nasaa.org" Type="http://schemas.openxmlformats.org/officeDocument/2006/relationships/hyperlink" Id="rId428"/>
    <Relationship TargetMode="External" Target="https://www.legis.iowa.gov/docs/ico/chapter/502.102.pdf" Type="http://schemas.openxmlformats.org/officeDocument/2006/relationships/hyperlink" Id="rId429"/>
    <Relationship TargetMode="External" Target="https://www.legis.iowa.gov/docs/ico/chapter/502.202.pdf" Type="http://schemas.openxmlformats.org/officeDocument/2006/relationships/hyperlink" Id="rId430"/>
    <Relationship TargetMode="External" Target="https://www.legis.iowa.gov/docs/ico/chapter/502.202.pdf" Type="http://schemas.openxmlformats.org/officeDocument/2006/relationships/hyperlink" Id="rId431"/>
    <Relationship TargetMode="External" Target="https://www.legis.iowa.gov/docs/ico/chapter/502.202.pdf" Type="http://schemas.openxmlformats.org/officeDocument/2006/relationships/hyperlink" Id="rId432"/>
    <Relationship TargetMode="External" Target="https://www.legis.iowa.gov/docs/ico/chapter/502.202.pdf" Type="http://schemas.openxmlformats.org/officeDocument/2006/relationships/hyperlink" Id="rId433"/>
    <Relationship TargetMode="External" Target="http://www.nasaa.org/industry-resources/uniform-forms/" Type="http://schemas.openxmlformats.org/officeDocument/2006/relationships/hyperlink" Id="rId434"/>
    <Relationship TargetMode="External" Target="http://www.nasaa.org/industry-resources/uniform-forms/" Type="http://schemas.openxmlformats.org/officeDocument/2006/relationships/hyperlink" Id="rId435"/>
    <Relationship TargetMode="External" Target="https://www.legis.iowa.gov/docs/iac/rule/191.50.91.pdf" Type="http://schemas.openxmlformats.org/officeDocument/2006/relationships/hyperlink" Id="rId436"/>
    <Relationship TargetMode="External" Target="https://www.legis.iowa.gov/docs/iac/rule/191.50.91.pdf" Type="http://schemas.openxmlformats.org/officeDocument/2006/relationships/hyperlink" Id="rId437"/>
    <Relationship TargetMode="External" Target="http://www.nasaa.org/industry-resources/uniform-forms/" Type="http://schemas.openxmlformats.org/officeDocument/2006/relationships/hyperlink" Id="rId438"/>
    <Relationship TargetMode="External" Target="https://www.legis.iowa.gov/docs/ico/chapter/502.202.pdf" Type="http://schemas.openxmlformats.org/officeDocument/2006/relationships/hyperlink" Id="rId439"/>
    <Relationship TargetMode="External" Target="http://www.nasaa.org/industry-resources/uniform-forms/" Type="http://schemas.openxmlformats.org/officeDocument/2006/relationships/hyperlink" Id="rId440"/>
    <Relationship TargetMode="External" Target="http://www.nasaa.org/industry-resources/uniform-forms/" Type="http://schemas.openxmlformats.org/officeDocument/2006/relationships/hyperlink" Id="rId441"/>
    <Relationship TargetMode="External" Target="https://www.legis.iowa.gov/docs/iac/rule/191.50.92.pdf" Type="http://schemas.openxmlformats.org/officeDocument/2006/relationships/hyperlink" Id="rId442"/>
    <Relationship TargetMode="External" Target="http://www.nasaa.org/industry-resources/uniform-forms/" Type="http://schemas.openxmlformats.org/officeDocument/2006/relationships/hyperlink" Id="rId443"/>
    <Relationship TargetMode="External" Target="https://www.legis.iowa.gov/docs/ico/chapter/502.303.pdf" Type="http://schemas.openxmlformats.org/officeDocument/2006/relationships/hyperlink" Id="rId444"/>
    <Relationship TargetMode="External" Target="https://www.legis.iowa.gov/docs/ico/chapter/502.501.pdf" Type="http://schemas.openxmlformats.org/officeDocument/2006/relationships/hyperlink" Id="rId445"/>
    <Relationship TargetMode="External" Target="https://www.legis.iowa.gov/docs/ico/chapter/502.501.pdf" Type="http://schemas.openxmlformats.org/officeDocument/2006/relationships/hyperlink" Id="rId446"/>
    <Relationship TargetMode="External" Target="https://www.legis.iowa.gov/docs/ico/chapter/502.501.pdf" Type="http://schemas.openxmlformats.org/officeDocument/2006/relationships/hyperlink" Id="rId447"/>
    <Relationship TargetMode="External" Target="https://www.legis.iowa.gov/docs/ico/chapter/502.510.pdf" Type="http://schemas.openxmlformats.org/officeDocument/2006/relationships/hyperlink" Id="rId448"/>
    <Relationship TargetMode="External" Target="https://www.legis.iowa.gov/docs/ico/chapter/502.509.pdf" Type="http://schemas.openxmlformats.org/officeDocument/2006/relationships/hyperlink" Id="rId449"/>
    <Relationship TargetMode="External" Target="https://www.legis.iowa.gov/docs/ico/chapter/502.510.pdf" Type="http://schemas.openxmlformats.org/officeDocument/2006/relationships/hyperlink" Id="rId450"/>
    <Relationship TargetMode="External" Target="https://www.legis.iowa.gov/docs/ico/chapter/502.510.pdf" Type="http://schemas.openxmlformats.org/officeDocument/2006/relationships/hyperlink" Id="rId451"/>
    <Relationship TargetMode="External" Target="https://www.legis.iowa.gov/docs/ico/chapter/502.509.pdf" Type="http://schemas.openxmlformats.org/officeDocument/2006/relationships/hyperlink" Id="rId452"/>
    <Relationship TargetMode="External" Target="https://www.legis.iowa.gov/docs/ico/chapter/502.510.pdf" Type="http://schemas.openxmlformats.org/officeDocument/2006/relationships/hyperlink" Id="rId453"/>
    <Relationship TargetMode="External" Target="https://www.legis.iowa.gov/docs/ico/chapter/502.510.pdf" Type="http://schemas.openxmlformats.org/officeDocument/2006/relationships/hyperlink" Id="rId454"/>
    <Relationship TargetMode="External" Target="https://www.legis.iowa.gov/docs/ico/chapter/502.509.pdf" Type="http://schemas.openxmlformats.org/officeDocument/2006/relationships/hyperlink" Id="rId455"/>
    <Relationship TargetMode="External" Target="https://www.legis.iowa.gov/docs/ico/chapter/502.510.pdf" Type="http://schemas.openxmlformats.org/officeDocument/2006/relationships/hyperlink" Id="rId456"/>
    <Relationship TargetMode="External" Target="https://www.legis.iowa.gov/docs/ico/chapter/502.510.pdf" Type="http://schemas.openxmlformats.org/officeDocument/2006/relationships/hyperlink" Id="rId457"/>
    <Relationship TargetMode="External" Target="https://www.legis.iowa.gov/docs/ico/chapter/502.509.pdf" Type="http://schemas.openxmlformats.org/officeDocument/2006/relationships/hyperlink" Id="rId458"/>
    <Relationship TargetMode="External" Target="https://www.legis.iowa.gov/docs/ico/chapter/502.501.pdf" Type="http://schemas.openxmlformats.org/officeDocument/2006/relationships/hyperlink" Id="rId459"/>
    <Relationship TargetMode="External" Target="https://www.legis.iowa.gov/docs/ico/chapter/502.501A.pdf" Type="http://schemas.openxmlformats.org/officeDocument/2006/relationships/hyperlink" Id="rId460"/>
    <Relationship TargetMode="External" Target="https://www.legis.iowa.gov/docs/ico/chapter/502.505.pdf" Type="http://schemas.openxmlformats.org/officeDocument/2006/relationships/hyperlink" Id="rId461"/>
    <Relationship TargetMode="External" Target="https://www.legis.iowa.gov/docs/ico/chapter/502.506.pdf" Type="http://schemas.openxmlformats.org/officeDocument/2006/relationships/hyperlink" Id="rId462"/>
    <Relationship TargetMode="External" Target="https://www.legis.iowa.gov/docs/ico/chapter/502.506A.pdf" Type="http://schemas.openxmlformats.org/officeDocument/2006/relationships/hyperlink" Id="rId463"/>
    <Relationship TargetMode="External" Target="https://www.legis.iowa.gov/docs/ico/chapter/502.509.pdf" Type="http://schemas.openxmlformats.org/officeDocument/2006/relationships/hyperlink" Id="rId464"/>
    <Relationship TargetMode="External" Target="https://www.legis.iowa.gov/docs/ico/chapter/502.510.pdf" Type="http://schemas.openxmlformats.org/officeDocument/2006/relationships/hyperlink" Id="rId465"/>
    <Relationship TargetMode="External" Target="https://www.legis.iowa.gov/docs/ico/chapter/502.502.pdf" Type="http://schemas.openxmlformats.org/officeDocument/2006/relationships/hyperlink" Id="rId466"/>
    <Relationship TargetMode="External" Target="https://www.legis.iowa.gov/docs/ico/chapter/502.502.pdf" Type="http://schemas.openxmlformats.org/officeDocument/2006/relationships/hyperlink" Id="rId467"/>
    <Relationship TargetMode="External" Target="https://www.legis.iowa.gov/docs/iac/rule/191.50.103.pdf" Type="http://schemas.openxmlformats.org/officeDocument/2006/relationships/hyperlink" Id="rId468"/>
    <Relationship TargetMode="External" Target="https://www.legis.iowa.gov/docs/iac/rule/191.50.103.pdf" Type="http://schemas.openxmlformats.org/officeDocument/2006/relationships/hyperlink" Id="rId469"/>
    <Relationship TargetMode="External" Target="https://www.legis.iowa.gov/docs/ico/chapter/502.502.pdf" Type="http://schemas.openxmlformats.org/officeDocument/2006/relationships/hyperlink" Id="rId470"/>
    <Relationship TargetMode="External" Target="https://www.legis.iowa.gov/docs/iac/rule/191.50.110.pdf" Type="http://schemas.openxmlformats.org/officeDocument/2006/relationships/hyperlink" Id="rId471"/>
    <Relationship TargetMode="External" Target="https://www.legis.iowa.gov/docs/ico/chapter/502.102.pdf" Type="http://schemas.openxmlformats.org/officeDocument/2006/relationships/hyperlink" Id="rId472"/>
    <Relationship TargetMode="External" Target="https://www.legis.iowa.gov/docs/ico/chapter/502.301.pdf" Type="http://schemas.openxmlformats.org/officeDocument/2006/relationships/hyperlink" Id="rId473"/>
    <Relationship TargetMode="External" Target="https://www.legis.iowa.gov/docs/ico/chapter/502.402.pdf" Type="http://schemas.openxmlformats.org/officeDocument/2006/relationships/hyperlink" Id="rId474"/>
    <Relationship TargetMode="External" Target="https://www.legis.iowa.gov/docs/ico/chapter/502.102.pdf" Type="http://schemas.openxmlformats.org/officeDocument/2006/relationships/hyperlink" Id="rId475"/>
    <Relationship TargetMode="External" Target="https://www.legis.iowa.gov/docs/ico/chapter/502.201.pdf" Type="http://schemas.openxmlformats.org/officeDocument/2006/relationships/hyperlink" Id="rId476"/>
    <Relationship TargetMode="External" Target="https://www.legis.iowa.gov/docs/ico/chapter/502.301.pdf" Type="http://schemas.openxmlformats.org/officeDocument/2006/relationships/hyperlink" Id="rId477"/>
    <Relationship TargetMode="External" Target="https://www.legis.iowa.gov/docs/iac/rule/191.50.69.pdf" Type="http://schemas.openxmlformats.org/officeDocument/2006/relationships/hyperlink" Id="rId478"/>
    <Relationship TargetMode="External" Target="https://www.legis.iowa.gov/docs/ico/chapter/502.501.pdf" Type="http://schemas.openxmlformats.org/officeDocument/2006/relationships/hyperlink" Id="rId479"/>
    <Relationship TargetMode="External" Target="https://www.legis.iowa.gov/docs/ico/chapter/502.504.pdf" Type="http://schemas.openxmlformats.org/officeDocument/2006/relationships/hyperlink" Id="rId480"/>
    <Relationship TargetMode="External" Target="https://www.legis.iowa.gov/docs/ico/chapter/502.102.pdf" Type="http://schemas.openxmlformats.org/officeDocument/2006/relationships/hyperlink" Id="rId481"/>
    <Relationship TargetMode="External" Target="https://www.legis.iowa.gov/docs/ico/chapter/502.301.pdf" Type="http://schemas.openxmlformats.org/officeDocument/2006/relationships/hyperlink" Id="rId482"/>
    <Relationship TargetMode="External" Target="https://www.legis.iowa.gov/docs/ico/chapter/502.504.pdf" Type="http://schemas.openxmlformats.org/officeDocument/2006/relationships/hyperlink" Id="rId483"/>
    <Relationship TargetMode="External" Target="https://www.legis.iowa.gov/docs/ico/chapter/502.304.pdf" Type="http://schemas.openxmlformats.org/officeDocument/2006/relationships/hyperlink" Id="rId484"/>
    <Relationship TargetMode="External" Target="https://www.legis.iowa.gov/docs/ico/chapter/502.102.pdf" Type="http://schemas.openxmlformats.org/officeDocument/2006/relationships/hyperlink" Id="rId485"/>
    <Relationship TargetMode="External" Target="https://www.legis.iowa.gov/docs/ico/chapter/502.201.pdf" Type="http://schemas.openxmlformats.org/officeDocument/2006/relationships/hyperlink" Id="rId48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