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REGULATION OF INSURERS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REGULATION OF INSURERS—GENERAL PROVISIONS</w:t>
      </w:r>
    </w:p>
    <w:p>
      <w:pPr>
        <w:spacing w:before="0" w:after="0"/>
        <w:ind w:left="120"/>
        <w:jc w:val="center"/>
      </w:pPr>
      <w:r>
        <w:rPr>
          <w:rFonts w:ascii="Times New Roman" w:hAnsi="Times New Roman"/>
          <w:b w:val="false"/>
          <w:i w:val="false"/>
          <w:color w:val="000000"/>
          <w:sz w:val="14"/>
        </w:rPr>
        <w:t>[Prior to 10/22/86, Insurance Department [510]]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191—5.1</w:t>
      </w:r>
      <w:r>
        <w:rPr>
          <w:rFonts w:ascii="Times New Roman" w:hAnsi="Times New Roman"/>
          <w:b/>
          <w:i w:val="false"/>
          <w:color w:val="000000"/>
          <w:sz w:val="22"/>
        </w:rPr>
        <w:t xml:space="preserve">(505,507,508,515)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rule </w:t>
      </w:r>
      <w:hyperlink r:id="rId5">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(502,505) apply to this chapter.</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6">
        <w:r>
          <w:rPr>
            <w:rStyle w:val="Hyperlink"/>
            <w:rFonts w:ascii="Times New Roman" w:hAnsi="Times New Roman"/>
            <w:b w:val="false"/>
            <w:i w:val="false"/>
            <w:color w:val="000000"/>
            <w:sz w:val="22"/>
          </w:rPr>
          <w:t>505</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507</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191—5.2</w:t>
      </w:r>
      <w:r>
        <w:rPr>
          <w:rFonts w:ascii="Times New Roman" w:hAnsi="Times New Roman"/>
          <w:b/>
          <w:i w:val="false"/>
          <w:color w:val="000000"/>
          <w:sz w:val="22"/>
        </w:rPr>
        <w:t xml:space="preserve">(505,507) </w:t>
      </w:r>
      <w:r>
        <w:rPr>
          <w:rFonts w:ascii="Times New Roman" w:hAnsi="Times New Roman"/>
          <w:b/>
          <w:i w:val="false"/>
          <w:color w:val="000000"/>
          <w:sz w:val="22"/>
        </w:rPr>
        <w:t xml:space="preserve">Examination for admission. </w:t>
      </w:r>
      <w:r>
        <w:rPr>
          <w:rFonts w:ascii="Times New Roman" w:hAnsi="Times New Roman"/>
          <w:b w:val="false"/>
          <w:i w:val="false"/>
          <w:color w:val="000000"/>
          <w:sz w:val="22"/>
        </w:rPr>
        <w:t>Any foreign or alien insurance company seeking to be admitted to do business in the state of Iowa shall, at the discretion of the division, be subject to either or both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on-site examination by the division;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desk examination, if the applicant provides a financial examination report prepared by the insurance regulatory body of the applicant’s state or country of domicile. The examination report must be certified by the issuing regulatory body and must have an effective date of not more than two years prior to the date of application for admission.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507.2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191—5.3</w:t>
      </w:r>
      <w:r>
        <w:rPr>
          <w:rFonts w:ascii="Times New Roman" w:hAnsi="Times New Roman"/>
          <w:b/>
          <w:i w:val="false"/>
          <w:color w:val="000000"/>
          <w:sz w:val="22"/>
        </w:rPr>
        <w:t xml:space="preserve">(507,508,515) </w:t>
      </w:r>
      <w:r>
        <w:rPr>
          <w:rFonts w:ascii="Times New Roman" w:hAnsi="Times New Roman"/>
          <w:b/>
          <w:i w:val="false"/>
          <w:color w:val="000000"/>
          <w:sz w:val="22"/>
        </w:rPr>
        <w:t xml:space="preserve">Submission of quarterly financial information. </w:t>
      </w:r>
      <w:r>
        <w:rPr>
          <w:rFonts w:ascii="Times New Roman" w:hAnsi="Times New Roman"/>
          <w:b w:val="false"/>
          <w:i w:val="false"/>
          <w:color w:val="000000"/>
          <w:sz w:val="22"/>
        </w:rPr>
        <w:t>All insurers, corporations, associations, and other entities required to submit annual financial statements to the commissioner shall also submit a short form quarterly financial statement within 45 days of the close of each calendar quarter on a form as specified by the commissioner. Upon request of the commissioner an exhibit showing a count of policies in force by line of business as of the close of the quarter shall be submitted with the quarterly report. The quarterly financial statements shall also be filed with the National Association of Insurance Commissioners.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507.2</w:t>
        </w:r>
      </w:hyperlink>
      <w:r>
        <w:rPr>
          <w:rFonts w:ascii="Times New Roman" w:hAnsi="Times New Roman"/>
          <w:b w:val="false"/>
          <w:i w:val="false"/>
          <w:color w:val="000000"/>
          <w:sz w:val="22"/>
        </w:rPr>
        <w:t xml:space="preserve"> and Iowa Code chapters </w:t>
      </w:r>
      <w:hyperlink r:id="rId12">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515</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191—5.4</w:t>
      </w:r>
      <w:r>
        <w:rPr>
          <w:rFonts w:ascii="Times New Roman" w:hAnsi="Times New Roman"/>
          <w:b/>
          <w:i w:val="false"/>
          <w:color w:val="000000"/>
          <w:sz w:val="22"/>
        </w:rPr>
        <w:t xml:space="preserve">(505,508,515,520) </w:t>
      </w:r>
      <w:r>
        <w:rPr>
          <w:rFonts w:ascii="Times New Roman" w:hAnsi="Times New Roman"/>
          <w:b/>
          <w:i w:val="false"/>
          <w:color w:val="000000"/>
          <w:sz w:val="22"/>
        </w:rPr>
        <w:t xml:space="preserve">Surplus notes. </w:t>
      </w:r>
      <w:r>
        <w:rPr>
          <w:rFonts w:ascii="Times New Roman" w:hAnsi="Times New Roman"/>
          <w:b w:val="false"/>
          <w:i w:val="false"/>
          <w:color w:val="000000"/>
          <w:sz w:val="22"/>
        </w:rPr>
        <w:t>Surplus notes are recognized by the commissioner for both stock and mutual insurers. All payments of principal and interest on these notes require the prior approval of the commissioner.</w:t>
      </w:r>
    </w:p>
    <w:p>
      <w:pPr>
        <w:spacing w:before="0" w:after="0"/>
        <w:ind w:left="120"/>
        <w:jc w:val="both"/>
      </w:pPr>
      <w:r>
        <w:rPr>
          <w:rFonts w:ascii="Times New Roman" w:hAnsi="Times New Roman"/>
          <w:b/>
          <w:i w:val="false"/>
          <w:color w:val="000000"/>
          <w:sz w:val="22"/>
        </w:rPr>
        <w:t>191—5.5</w:t>
      </w:r>
      <w:r>
        <w:rPr>
          <w:rFonts w:ascii="Times New Roman" w:hAnsi="Times New Roman"/>
          <w:b/>
          <w:i w:val="false"/>
          <w:color w:val="000000"/>
          <w:sz w:val="22"/>
        </w:rPr>
        <w:t xml:space="preserve">(505,515,520) </w:t>
      </w:r>
      <w:r>
        <w:rPr>
          <w:rFonts w:ascii="Times New Roman" w:hAnsi="Times New Roman"/>
          <w:b/>
          <w:i w:val="false"/>
          <w:color w:val="000000"/>
          <w:sz w:val="22"/>
        </w:rPr>
        <w:t xml:space="preserve">Maximum allowable premium volume. </w:t>
      </w:r>
      <w:r>
        <w:rPr>
          <w:rFonts w:ascii="Times New Roman" w:hAnsi="Times New Roman"/>
          <w:b w:val="false"/>
          <w:i w:val="false"/>
          <w:color w:val="000000"/>
          <w:sz w:val="22"/>
        </w:rPr>
        <w:t>A domestic property/casualty insurer shall not cause the ratio of its net written premiums to its surplus as regards policyholders to exceed three to one without the approval of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191—5.6</w:t>
      </w:r>
      <w:r>
        <w:rPr>
          <w:rFonts w:ascii="Times New Roman" w:hAnsi="Times New Roman"/>
          <w:b/>
          <w:i w:val="false"/>
          <w:color w:val="000000"/>
          <w:sz w:val="22"/>
        </w:rPr>
        <w:t xml:space="preserve">(505,515,520) </w:t>
      </w:r>
      <w:r>
        <w:rPr>
          <w:rFonts w:ascii="Times New Roman" w:hAnsi="Times New Roman"/>
          <w:b/>
          <w:i w:val="false"/>
          <w:color w:val="000000"/>
          <w:sz w:val="22"/>
        </w:rPr>
        <w:t xml:space="preserve">Treatment of various items on the financial statement. </w:t>
      </w:r>
      <w:r>
        <w:rPr>
          <w:rFonts w:ascii="Times New Roman" w:hAnsi="Times New Roman"/>
          <w:b w:val="false"/>
          <w:i w:val="false"/>
          <w:color w:val="000000"/>
          <w:sz w:val="22"/>
        </w:rPr>
        <w:t>An admitted insurer shall at all times show the value of the following items on its financial statements in the following manner unless a different treatment is authorized by the state where the insurer is domiciled: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w:t>
      </w:r>
      <w:r>
        <w:rPr>
          <w:rFonts w:ascii="Times New Roman" w:hAnsi="Times New Roman"/>
          <w:b w:val="false"/>
          <w:i w:val="false"/>
          <w:color w:val="000000"/>
          <w:sz w:val="22"/>
        </w:rPr>
        <w:t> </w:t>
      </w:r>
      <w:r>
        <w:rPr>
          <w:rFonts w:ascii="Times New Roman" w:hAnsi="Times New Roman"/>
          <w:b w:val="false"/>
          <w:i/>
          <w:color w:val="000000"/>
          <w:sz w:val="22"/>
        </w:rPr>
        <w:t xml:space="preserve">Real estate. </w:t>
      </w:r>
      <w:r>
        <w:rPr>
          <w:rFonts w:ascii="Times New Roman" w:hAnsi="Times New Roman"/>
          <w:b w:val="false"/>
          <w:i w:val="false"/>
          <w:color w:val="000000"/>
          <w:sz w:val="22"/>
        </w:rPr>
        <w:t>At amortized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color w:val="000000"/>
          <w:sz w:val="22"/>
        </w:rPr>
        <w:t xml:space="preserve">Stocks. </w:t>
      </w:r>
      <w:r>
        <w:rPr>
          <w:rFonts w:ascii="Times New Roman" w:hAnsi="Times New Roman"/>
          <w:b w:val="false"/>
          <w:i w:val="false"/>
          <w:color w:val="000000"/>
          <w:sz w:val="22"/>
        </w:rPr>
        <w:t>At market value as determined by the Securities Valuation Office of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w:t>
      </w:r>
      <w:r>
        <w:rPr>
          <w:rFonts w:ascii="Times New Roman" w:hAnsi="Times New Roman"/>
          <w:b w:val="false"/>
          <w:i w:val="false"/>
          <w:color w:val="000000"/>
          <w:sz w:val="22"/>
        </w:rPr>
        <w:t> </w:t>
      </w:r>
      <w:r>
        <w:rPr>
          <w:rFonts w:ascii="Times New Roman" w:hAnsi="Times New Roman"/>
          <w:b w:val="false"/>
          <w:i/>
          <w:color w:val="000000"/>
          <w:sz w:val="22"/>
        </w:rPr>
        <w:t xml:space="preserve">Bonds. </w:t>
      </w:r>
      <w:r>
        <w:rPr>
          <w:rFonts w:ascii="Times New Roman" w:hAnsi="Times New Roman"/>
          <w:b w:val="false"/>
          <w:i w:val="false"/>
          <w:color w:val="000000"/>
          <w:sz w:val="22"/>
        </w:rPr>
        <w:t>At amortized cost, unless directed otherwise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w:t>
      </w:r>
      <w:r>
        <w:rPr>
          <w:rFonts w:ascii="Times New Roman" w:hAnsi="Times New Roman"/>
          <w:b w:val="false"/>
          <w:i w:val="false"/>
          <w:color w:val="000000"/>
          <w:sz w:val="22"/>
        </w:rPr>
        <w:t> </w:t>
      </w:r>
      <w:r>
        <w:rPr>
          <w:rFonts w:ascii="Times New Roman" w:hAnsi="Times New Roman"/>
          <w:b w:val="false"/>
          <w:i/>
          <w:color w:val="000000"/>
          <w:sz w:val="22"/>
        </w:rPr>
        <w:t xml:space="preserve">Artwork. </w:t>
      </w:r>
      <w:r>
        <w:rPr>
          <w:rFonts w:ascii="Times New Roman" w:hAnsi="Times New Roman"/>
          <w:b w:val="false"/>
          <w:i w:val="false"/>
          <w:color w:val="000000"/>
          <w:sz w:val="22"/>
        </w:rPr>
        <w:t>Nonadmitted.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w:t>
      </w:r>
      <w:r>
        <w:rPr>
          <w:rFonts w:ascii="Times New Roman" w:hAnsi="Times New Roman"/>
          <w:b w:val="false"/>
          <w:i w:val="false"/>
          <w:color w:val="000000"/>
          <w:sz w:val="22"/>
        </w:rPr>
        <w:t> </w:t>
      </w:r>
      <w:r>
        <w:rPr>
          <w:rFonts w:ascii="Times New Roman" w:hAnsi="Times New Roman"/>
          <w:b w:val="false"/>
          <w:i/>
          <w:color w:val="000000"/>
          <w:sz w:val="22"/>
        </w:rPr>
        <w:t xml:space="preserve">Other assets not listed. </w:t>
      </w:r>
      <w:r>
        <w:rPr>
          <w:rFonts w:ascii="Times New Roman" w:hAnsi="Times New Roman"/>
          <w:b w:val="false"/>
          <w:i w:val="false"/>
          <w:color w:val="000000"/>
          <w:sz w:val="22"/>
        </w:rPr>
        <w:t>As treated by the applicable accounting practices and procedures manual of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w:t>
      </w:r>
      <w:r>
        <w:rPr>
          <w:rFonts w:ascii="Times New Roman" w:hAnsi="Times New Roman"/>
          <w:b w:val="false"/>
          <w:i w:val="false"/>
          <w:color w:val="000000"/>
          <w:sz w:val="22"/>
        </w:rPr>
        <w:t> </w:t>
      </w:r>
      <w:r>
        <w:rPr>
          <w:rFonts w:ascii="Times New Roman" w:hAnsi="Times New Roman"/>
          <w:b w:val="false"/>
          <w:i/>
          <w:color w:val="000000"/>
          <w:sz w:val="22"/>
        </w:rPr>
        <w:t xml:space="preserve">Liabilities. </w:t>
      </w:r>
      <w:r>
        <w:rPr>
          <w:rFonts w:ascii="Times New Roman" w:hAnsi="Times New Roman"/>
          <w:b w:val="false"/>
          <w:i w:val="false"/>
          <w:color w:val="000000"/>
          <w:sz w:val="22"/>
        </w:rPr>
        <w:t>Liabilities, including active life reserves, unearned premium reserves, and liabilities for claims and losses unpaid and for incurred but not reported claims. As determined by the applicable accounting practices and procedures manual of the National Association of Insurance Commissioners.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515.20</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515.49</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515.63</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520.21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191—5.7</w:t>
      </w:r>
      <w:r>
        <w:rPr>
          <w:rFonts w:ascii="Times New Roman" w:hAnsi="Times New Roman"/>
          <w:b/>
          <w:i w:val="false"/>
          <w:color w:val="000000"/>
          <w:sz w:val="22"/>
        </w:rPr>
        <w:t xml:space="preserve">(505) </w:t>
      </w:r>
      <w:r>
        <w:rPr>
          <w:rFonts w:ascii="Times New Roman" w:hAnsi="Times New Roman"/>
          <w:b/>
          <w:i w:val="false"/>
          <w:color w:val="000000"/>
          <w:sz w:val="22"/>
        </w:rPr>
        <w:t xml:space="preserve">Ordering withdrawal of domestic insurers from states. </w:t>
      </w:r>
      <w:r>
        <w:rPr>
          <w:rFonts w:ascii="Times New Roman" w:hAnsi="Times New Roman"/>
          <w:b w:val="false"/>
          <w:i w:val="false"/>
          <w:color w:val="000000"/>
          <w:sz w:val="22"/>
        </w:rPr>
        <w:t>Upon a finding, after notice and opportunity for hearing, of substantial likelihood of future financial impairment of a domestic insurer due to persistent operating losses in any line of business in any state where the insurer does business, the commissioner may order a domestic insurer to withdraw and cease doing business in that line of business in that state or in the alternative, order the insurer to withdraw and cease doing business in all lines, pending further order. For the purposes of this rule, impaired or threatened financial solvency is deemed to exist where an insurer experiences a reduction of 5 percent or greater in surplus in any 12-month period from all cases, including the regulatory environment in a state.</w:t>
      </w:r>
    </w:p>
    <w:p>
      <w:pPr>
        <w:spacing w:before="210" w:after="0"/>
        <w:ind w:left="120"/>
        <w:jc w:val="both"/>
      </w:pPr>
      <w:r>
        <w:rPr>
          <w:rFonts w:ascii="Times New Roman" w:hAnsi="Times New Roman"/>
          <w:b/>
          <w:i w:val="false"/>
          <w:color w:val="000000"/>
          <w:sz w:val="22"/>
        </w:rPr>
        <w:t>191—5.8</w:t>
      </w:r>
      <w:r>
        <w:rPr>
          <w:rFonts w:ascii="Times New Roman" w:hAnsi="Times New Roman"/>
          <w:b/>
          <w:i w:val="false"/>
          <w:color w:val="000000"/>
          <w:sz w:val="22"/>
        </w:rPr>
        <w:t xml:space="preserve">(505) </w:t>
      </w:r>
      <w:r>
        <w:rPr>
          <w:rFonts w:ascii="Times New Roman" w:hAnsi="Times New Roman"/>
          <w:b/>
          <w:i w:val="false"/>
          <w:color w:val="000000"/>
          <w:sz w:val="22"/>
        </w:rPr>
        <w:t xml:space="preserve">Monitoring. </w:t>
      </w:r>
      <w:r>
        <w:rPr>
          <w:rFonts w:ascii="Times New Roman" w:hAnsi="Times New Roman"/>
          <w:b w:val="false"/>
          <w:i w:val="false"/>
          <w:color w:val="000000"/>
          <w:sz w:val="22"/>
        </w:rPr>
        <w:t>Upon request of the commissioner, a domestic insurer shall provide all relevant information as to its business in any state identified by the commissioner and found by the commissioner to have a consistently oppressive and confiscatory regulatory environment: The commissioner’s request shall identify the state and shall include a basis for the commissioner’s findings that the state has a consistently oppressive and confiscatory regulatory environment.</w:t>
      </w:r>
    </w:p>
    <w:p>
      <w:pPr>
        <w:spacing w:before="210" w:after="0"/>
        <w:ind w:left="120"/>
        <w:jc w:val="both"/>
      </w:pPr>
      <w:r>
        <w:rPr>
          <w:rFonts w:ascii="Times New Roman" w:hAnsi="Times New Roman"/>
          <w:b/>
          <w:i w:val="false"/>
          <w:color w:val="000000"/>
          <w:sz w:val="22"/>
        </w:rPr>
        <w:t>191—5.9</w:t>
      </w:r>
      <w:r>
        <w:rPr>
          <w:rFonts w:ascii="Times New Roman" w:hAnsi="Times New Roman"/>
          <w:b/>
          <w:i w:val="false"/>
          <w:color w:val="000000"/>
          <w:sz w:val="22"/>
        </w:rPr>
        <w:t xml:space="preserve">(505) </w:t>
      </w:r>
      <w:r>
        <w:rPr>
          <w:rFonts w:ascii="Times New Roman" w:hAnsi="Times New Roman"/>
          <w:b/>
          <w:i w:val="false"/>
          <w:color w:val="000000"/>
          <w:sz w:val="22"/>
        </w:rPr>
        <w:t xml:space="preserve">Rate and form filings. </w:t>
      </w:r>
      <w:r>
        <w:rPr>
          <w:rFonts w:ascii="Times New Roman" w:hAnsi="Times New Roman"/>
          <w:b w:val="false"/>
          <w:i w:val="false"/>
          <w:color w:val="000000"/>
          <w:sz w:val="22"/>
        </w:rPr>
        <w:t xml:space="preserve">Insurers doing business in Iowa shall file rates and forms in accordance with applicable law and with </w:t>
      </w:r>
      <w:hyperlink r:id="rId19">
        <w:r>
          <w:rPr>
            <w:rStyle w:val="Hyperlink"/>
            <w:rFonts w:ascii="Times New Roman" w:hAnsi="Times New Roman"/>
            <w:b w:val="false"/>
            <w:i w:val="false"/>
            <w:color w:val="000000"/>
            <w:sz w:val="22"/>
          </w:rPr>
          <w:t>191—Chapters 20</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30</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31</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34</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36</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37</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i w:val="false"/>
          <w:color w:val="000000"/>
          <w:sz w:val="22"/>
        </w:rPr>
        <w:t>191—5.10</w:t>
      </w:r>
      <w:r>
        <w:rPr>
          <w:rFonts w:ascii="Times New Roman" w:hAnsi="Times New Roman"/>
          <w:b/>
          <w:i w:val="false"/>
          <w:color w:val="000000"/>
          <w:sz w:val="22"/>
        </w:rPr>
        <w:t xml:space="preserve">(511) </w:t>
      </w:r>
      <w:r>
        <w:rPr>
          <w:rFonts w:ascii="Times New Roman" w:hAnsi="Times New Roman"/>
          <w:b/>
          <w:i w:val="false"/>
          <w:color w:val="000000"/>
          <w:sz w:val="22"/>
        </w:rPr>
        <w:t xml:space="preserve">Life companies—permissible investments.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phrase “preferred dividend requirements as of the date of acquisition” in Iowa Code section </w:t>
      </w:r>
      <w:hyperlink r:id="rId27">
        <w:r>
          <w:rPr>
            <w:rStyle w:val="Hyperlink"/>
            <w:rFonts w:ascii="Times New Roman" w:hAnsi="Times New Roman"/>
            <w:b w:val="false"/>
            <w:i w:val="false"/>
            <w:color w:val="000000"/>
            <w:sz w:val="22"/>
          </w:rPr>
          <w:t>511.8(6)</w:t>
        </w:r>
      </w:hyperlink>
      <w:r>
        <w:rPr>
          <w:rFonts w:ascii="Times New Roman" w:hAnsi="Times New Roman"/>
          <w:b w:val="false"/>
          <w:i w:val="false"/>
          <w:color w:val="000000"/>
          <w:sz w:val="22"/>
        </w:rPr>
        <w:t xml:space="preserve"> is construed to include the dividend requirements of a new issue. Consequently, a new preferred issue will qualify if the net earnings of the corporation for each of the five preceding years have been not less than one and one-half times the sum of the annual fixed charges, contingent interest and the annual preferred dividend requirements including the new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phrase “the obligations are adequately secured and have investment qualities and characteristics wherein the speculative elements are not predominant” in Iowa Code section </w:t>
      </w:r>
      <w:hyperlink r:id="rId28">
        <w:r>
          <w:rPr>
            <w:rStyle w:val="Hyperlink"/>
            <w:rFonts w:ascii="Times New Roman" w:hAnsi="Times New Roman"/>
            <w:b w:val="false"/>
            <w:i w:val="false"/>
            <w:color w:val="000000"/>
            <w:sz w:val="22"/>
          </w:rPr>
          <w:t>511.8(5)</w:t>
        </w:r>
      </w:hyperlink>
      <w:r>
        <w:rPr>
          <w:rFonts w:ascii="Times New Roman" w:hAnsi="Times New Roman"/>
          <w:b w:val="false"/>
          <w:i w:val="false"/>
          <w:color w:val="000000"/>
          <w:sz w:val="22"/>
        </w:rPr>
        <w:t xml:space="preserve"> means “investment grade” as defined in </w:t>
      </w:r>
      <w:hyperlink r:id="rId29">
        <w:r>
          <w:rPr>
            <w:rStyle w:val="Hyperlink"/>
            <w:rFonts w:ascii="Times New Roman" w:hAnsi="Times New Roman"/>
            <w:b w:val="false"/>
            <w:i w:val="false"/>
            <w:color w:val="000000"/>
            <w:sz w:val="22"/>
          </w:rPr>
          <w:t>191—subrule 22.1(4)</w:t>
        </w:r>
      </w:hyperlink>
      <w:r>
        <w:rPr>
          <w:rFonts w:ascii="Times New Roman" w:hAnsi="Times New Roman"/>
          <w:b w:val="false"/>
          <w:i w:val="false"/>
          <w:color w:val="000000"/>
          <w:sz w:val="22"/>
        </w:rPr>
        <w:t xml:space="preserve">. As a result, except as permitted by the commissioner in exceptional circumstances, corporate obligations must be “investment grade” in order to meet legal reserve requirements unless the other requirements of Iowa Code section </w:t>
      </w:r>
      <w:hyperlink r:id="rId30">
        <w:r>
          <w:rPr>
            <w:rStyle w:val="Hyperlink"/>
            <w:rFonts w:ascii="Times New Roman" w:hAnsi="Times New Roman"/>
            <w:b w:val="false"/>
            <w:i w:val="false"/>
            <w:color w:val="000000"/>
            <w:sz w:val="22"/>
          </w:rPr>
          <w:t>511.8(5)</w:t>
        </w:r>
      </w:hyperlink>
      <w:r>
        <w:rPr>
          <w:rFonts w:ascii="Times New Roman" w:hAnsi="Times New Roman"/>
          <w:b w:val="false"/>
          <w:i/>
          <w:color w:val="000000"/>
          <w:sz w:val="22"/>
        </w:rPr>
        <w:t>“a”</w:t>
      </w:r>
      <w:r>
        <w:rPr>
          <w:rFonts w:ascii="Times New Roman" w:hAnsi="Times New Roman"/>
          <w:b w:val="false"/>
          <w:i w:val="false"/>
          <w:color w:val="000000"/>
          <w:sz w:val="22"/>
        </w:rPr>
        <w:t xml:space="preserve"> regarding the financial condition of the issuer of the obligation are met. The legal reserve investment limitations of Iowa Code section </w:t>
      </w:r>
      <w:hyperlink r:id="rId31">
        <w:r>
          <w:rPr>
            <w:rStyle w:val="Hyperlink"/>
            <w:rFonts w:ascii="Times New Roman" w:hAnsi="Times New Roman"/>
            <w:b w:val="false"/>
            <w:i w:val="false"/>
            <w:color w:val="000000"/>
            <w:sz w:val="22"/>
          </w:rPr>
          <w:t>511.8</w:t>
        </w:r>
      </w:hyperlink>
      <w:r>
        <w:rPr>
          <w:rFonts w:ascii="Times New Roman" w:hAnsi="Times New Roman"/>
          <w:b w:val="false"/>
          <w:i w:val="false"/>
          <w:color w:val="000000"/>
          <w:sz w:val="22"/>
        </w:rPr>
        <w:t xml:space="preserve"> regarding less than investment grade obligations, but not the deposit requirements of that section, are applicable to foreign insurers.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511.8(5)</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191—5.11</w:t>
      </w:r>
      <w:r>
        <w:rPr>
          <w:rFonts w:ascii="Times New Roman" w:hAnsi="Times New Roman"/>
          <w:b/>
          <w:i w:val="false"/>
          <w:color w:val="000000"/>
          <w:sz w:val="22"/>
        </w:rPr>
        <w:t xml:space="preserve">(511) </w:t>
      </w:r>
      <w:r>
        <w:rPr>
          <w:rFonts w:ascii="Times New Roman" w:hAnsi="Times New Roman"/>
          <w:b/>
          <w:i w:val="false"/>
          <w:color w:val="000000"/>
          <w:sz w:val="22"/>
        </w:rPr>
        <w:t xml:space="preserve">Investment of funds.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5515C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3/10/21</w:t>
      </w:r>
      <w:r>
        <w:rPr>
          <w:rFonts w:ascii="Times New Roman" w:hAnsi="Times New Roman"/>
          <w:b w:val="false"/>
          <w:i w:val="false"/>
          <w:color w:val="000000"/>
          <w:sz w:val="22"/>
        </w:rPr>
        <w:t xml:space="preserve">, effective 4/14/21. </w:t>
      </w:r>
    </w:p>
    <w:p>
      <w:pPr>
        <w:spacing w:before="0" w:after="0"/>
        <w:ind w:left="120"/>
        <w:jc w:val="both"/>
      </w:pPr>
      <w:r>
        <w:rPr>
          <w:rFonts w:ascii="Times New Roman" w:hAnsi="Times New Roman"/>
          <w:b/>
          <w:i w:val="false"/>
          <w:color w:val="000000"/>
          <w:sz w:val="22"/>
        </w:rPr>
        <w:t>191—5.12</w:t>
      </w:r>
      <w:r>
        <w:rPr>
          <w:rFonts w:ascii="Times New Roman" w:hAnsi="Times New Roman"/>
          <w:b/>
          <w:i w:val="false"/>
          <w:color w:val="000000"/>
          <w:sz w:val="22"/>
        </w:rPr>
        <w:t xml:space="preserve">(515) </w:t>
      </w:r>
      <w:r>
        <w:rPr>
          <w:rFonts w:ascii="Times New Roman" w:hAnsi="Times New Roman"/>
          <w:b/>
          <w:i w:val="false"/>
          <w:color w:val="000000"/>
          <w:sz w:val="22"/>
        </w:rPr>
        <w:t xml:space="preserve">Collateral loans. </w:t>
      </w:r>
      <w:r>
        <w:rPr>
          <w:rFonts w:ascii="Times New Roman" w:hAnsi="Times New Roman"/>
          <w:b w:val="false"/>
          <w:i w:val="false"/>
          <w:color w:val="000000"/>
          <w:sz w:val="22"/>
        </w:rPr>
        <w:t xml:space="preserve">The collateral pledged to secure a loan must qualify as a legal investment for insurance companies before the loan it secures may so qualify [Iowa Code section </w:t>
      </w:r>
      <w:hyperlink r:id="rId33">
        <w:r>
          <w:rPr>
            <w:rStyle w:val="Hyperlink"/>
            <w:rFonts w:ascii="Times New Roman" w:hAnsi="Times New Roman"/>
            <w:b w:val="false"/>
            <w:i w:val="false"/>
            <w:color w:val="000000"/>
            <w:sz w:val="22"/>
          </w:rPr>
          <w:t>515.35(3)</w:t>
        </w:r>
      </w:hyperlink>
      <w:r>
        <w:rPr>
          <w:rFonts w:ascii="Times New Roman" w:hAnsi="Times New Roman"/>
          <w:b w:val="false"/>
          <w:i/>
          <w:color w:val="000000"/>
          <w:sz w:val="22"/>
        </w:rPr>
        <w:t>“a”</w:t>
      </w:r>
      <w:r>
        <w:rPr>
          <w:rFonts w:ascii="Times New Roman" w:hAnsi="Times New Roman"/>
          <w:b w:val="false"/>
          <w:i w:val="false"/>
          <w:color w:val="000000"/>
          <w:sz w:val="22"/>
        </w:rPr>
        <w:t>(2)]. The statute provides that a company may not invest in excess of 30 percent of its capital and funds in stocks and not more than 10 percent of its capital and surplus in the stock or bonds, or both, of any one corporation.</w:t>
      </w:r>
    </w:p>
    <w:p>
      <w:pPr>
        <w:spacing w:before="0" w:after="0"/>
        <w:ind w:left="120"/>
        <w:jc w:val="both"/>
      </w:pPr>
      <w:r>
        <w:rPr>
          <w:rFonts w:ascii="Times New Roman" w:hAnsi="Times New Roman"/>
          <w:b w:val="false"/>
          <w:i w:val="false"/>
          <w:color w:val="000000"/>
          <w:sz w:val="22"/>
        </w:rPr>
        <w:t>Normally, a loan is little better than the collateral securing it. Therefore, in order to conform to the intent and purpose of the legislature it would appear that the same limitations should likewise be applied to the stock securing a collateral loan. The statute also provides that the value of the collateral must exceed the amount of the loan by 10 percent.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191—5.13</w:t>
      </w:r>
      <w:r>
        <w:rPr>
          <w:rFonts w:ascii="Times New Roman" w:hAnsi="Times New Roman"/>
          <w:b/>
          <w:i w:val="false"/>
          <w:color w:val="000000"/>
          <w:sz w:val="22"/>
        </w:rPr>
        <w:t xml:space="preserve">(508,515) </w:t>
      </w:r>
      <w:r>
        <w:rPr>
          <w:rFonts w:ascii="Times New Roman" w:hAnsi="Times New Roman"/>
          <w:b/>
          <w:i w:val="false"/>
          <w:color w:val="000000"/>
          <w:sz w:val="22"/>
        </w:rPr>
        <w:t xml:space="preserve">Loans to officers, directors, employees, etc. </w:t>
      </w:r>
      <w:r>
        <w:rPr>
          <w:rFonts w:ascii="Times New Roman" w:hAnsi="Times New Roman"/>
          <w:b w:val="false"/>
          <w:i w:val="false"/>
          <w:color w:val="000000"/>
          <w:sz w:val="22"/>
        </w:rPr>
        <w:t>No insurance company or association of any kind, domiciled in the state of Iowa, shall loan any portion of its funds to an officer, director, stockholder, employee or any relative or immediate member of the family of an officer or director.</w:t>
      </w:r>
    </w:p>
    <w:p>
      <w:pPr>
        <w:spacing w:before="0" w:after="0"/>
        <w:ind w:left="120"/>
        <w:jc w:val="both"/>
      </w:pPr>
      <w:r>
        <w:rPr>
          <w:rFonts w:ascii="Times New Roman" w:hAnsi="Times New Roman"/>
          <w:b w:val="false"/>
          <w:i w:val="false"/>
          <w:color w:val="000000"/>
          <w:sz w:val="22"/>
        </w:rPr>
        <w:t xml:space="preserve">The provisions of Iowa Code sections </w:t>
      </w:r>
      <w:hyperlink r:id="rId34">
        <w:r>
          <w:rPr>
            <w:rStyle w:val="Hyperlink"/>
            <w:rFonts w:ascii="Times New Roman" w:hAnsi="Times New Roman"/>
            <w:b w:val="false"/>
            <w:i w:val="false"/>
            <w:color w:val="000000"/>
            <w:sz w:val="22"/>
          </w:rPr>
          <w:t>508.8</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511.12</w:t>
        </w:r>
      </w:hyperlink>
      <w:r>
        <w:rPr>
          <w:rFonts w:ascii="Times New Roman" w:hAnsi="Times New Roman"/>
          <w:b w:val="false"/>
          <w:i w:val="false"/>
          <w:color w:val="000000"/>
          <w:sz w:val="22"/>
        </w:rPr>
        <w:t xml:space="preserve"> shall likewise be applicable to fire and casualty companies.</w:t>
      </w:r>
    </w:p>
    <w:p>
      <w:pPr>
        <w:spacing w:before="210" w:after="0"/>
        <w:ind w:left="120"/>
        <w:jc w:val="both"/>
      </w:pPr>
      <w:r>
        <w:rPr>
          <w:rFonts w:ascii="Times New Roman" w:hAnsi="Times New Roman"/>
          <w:b/>
          <w:i w:val="false"/>
          <w:color w:val="000000"/>
          <w:sz w:val="22"/>
        </w:rPr>
        <w:t>191—5.14</w:t>
      </w:r>
      <w:r>
        <w:rPr>
          <w:rFonts w:ascii="Times New Roman" w:hAnsi="Times New Roman"/>
          <w:b/>
          <w:i w:val="false"/>
          <w:color w:val="000000"/>
          <w:sz w:val="22"/>
        </w:rPr>
        <w:t xml:space="preserve">(515) </w:t>
      </w:r>
      <w:r>
        <w:rPr>
          <w:rFonts w:ascii="Times New Roman" w:hAnsi="Times New Roman"/>
          <w:b/>
          <w:i w:val="false"/>
          <w:color w:val="000000"/>
          <w:sz w:val="22"/>
        </w:rPr>
        <w:t xml:space="preserve">Salvage as an asset.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11/25/92</w:t>
      </w:r>
      <w:r>
        <w:rPr>
          <w:rFonts w:ascii="Times New Roman" w:hAnsi="Times New Roman"/>
          <w:b w:val="false"/>
          <w:i w:val="false"/>
          <w:color w:val="000000"/>
          <w:sz w:val="22"/>
        </w:rPr>
        <w:t>, effective 11/6/92.</w:t>
      </w:r>
    </w:p>
    <w:p>
      <w:pPr>
        <w:spacing w:before="0" w:after="0"/>
        <w:ind w:left="120"/>
        <w:jc w:val="both"/>
      </w:pPr>
      <w:r>
        <w:rPr>
          <w:rFonts w:ascii="Times New Roman" w:hAnsi="Times New Roman"/>
          <w:b/>
          <w:i w:val="false"/>
          <w:color w:val="000000"/>
          <w:sz w:val="22"/>
        </w:rPr>
        <w:t>191—5.15</w:t>
      </w:r>
      <w:r>
        <w:rPr>
          <w:rFonts w:ascii="Times New Roman" w:hAnsi="Times New Roman"/>
          <w:b/>
          <w:i w:val="false"/>
          <w:color w:val="000000"/>
          <w:sz w:val="22"/>
        </w:rPr>
        <w:t xml:space="preserve">(508,512B,514,514B,515,520) </w:t>
      </w:r>
      <w:r>
        <w:rPr>
          <w:rFonts w:ascii="Times New Roman" w:hAnsi="Times New Roman"/>
          <w:b/>
          <w:i w:val="false"/>
          <w:color w:val="000000"/>
          <w:sz w:val="22"/>
        </w:rPr>
        <w:t xml:space="preserve">Accounting practices and procedures manual and annual statement instructions.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this rule is to adopt the National Association of Insurance Commissioners’ accounting practices and procedures manual which has been revised to provide a comprehensive guide to statutory accounting principles, commonly referred to as the “codification project.” Additionally, the rule adopts by reference the annual statement instructions promulgated by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5.15(2)</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statements. </w:t>
      </w:r>
      <w:r>
        <w:rPr>
          <w:rFonts w:ascii="Times New Roman" w:hAnsi="Times New Roman"/>
          <w:b w:val="false"/>
          <w:i w:val="false"/>
          <w:color w:val="000000"/>
          <w:sz w:val="22"/>
        </w:rPr>
        <w:t>Effective January 1, 2001, all information reflected in the financial statements of insurance companies authorized to do business in Iowa shall conform with the accounting practices and procedures manual of the National Association of Insurance Commissioners.</w:t>
      </w:r>
    </w:p>
    <w:p>
      <w:pPr>
        <w:spacing w:before="0" w:after="0"/>
        <w:ind w:left="120"/>
        <w:jc w:val="both"/>
      </w:pPr>
      <w:r>
        <w:rPr>
          <w:rFonts w:ascii="Times New Roman" w:hAnsi="Times New Roman"/>
          <w:b w:val="false"/>
          <w:i w:val="false"/>
          <w:color w:val="000000"/>
          <w:sz w:val="22"/>
        </w:rPr>
        <w:t>All annual financial statements filed with the commissioner shall conform to the annual statement instructions and manuals promulgated by the National Association of Insurance Commissioners.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508.11(43)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512B.24</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514.9</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514B.12</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515.63</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520.10</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191—5.16</w:t>
      </w:r>
      <w:r>
        <w:rPr>
          <w:rFonts w:ascii="Times New Roman" w:hAnsi="Times New Roman"/>
          <w:b w:val="false"/>
          <w:i w:val="false"/>
          <w:color w:val="000000"/>
          <w:sz w:val="22"/>
        </w:rPr>
        <w:t xml:space="preserve"> to </w:t>
      </w:r>
      <w:r>
        <w:rPr>
          <w:rFonts w:ascii="Times New Roman" w:hAnsi="Times New Roman"/>
          <w:b/>
          <w:i w:val="false"/>
          <w:color w:val="000000"/>
          <w:sz w:val="22"/>
        </w:rPr>
        <w:t>5.19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191—5.20</w:t>
      </w:r>
      <w:r>
        <w:rPr>
          <w:rFonts w:ascii="Times New Roman" w:hAnsi="Times New Roman"/>
          <w:b/>
          <w:i w:val="false"/>
          <w:color w:val="000000"/>
          <w:sz w:val="22"/>
        </w:rPr>
        <w:t xml:space="preserve">(508) </w:t>
      </w:r>
      <w:r>
        <w:rPr>
          <w:rFonts w:ascii="Times New Roman" w:hAnsi="Times New Roman"/>
          <w:b/>
          <w:i w:val="false"/>
          <w:color w:val="000000"/>
          <w:sz w:val="22"/>
        </w:rPr>
        <w:t xml:space="preserve">Computation of reserves. </w:t>
      </w:r>
      <w:r>
        <w:rPr>
          <w:rFonts w:ascii="Times New Roman" w:hAnsi="Times New Roman"/>
          <w:b w:val="false"/>
          <w:i w:val="false"/>
          <w:color w:val="000000"/>
          <w:sz w:val="22"/>
        </w:rPr>
        <w:t>Iowa life insurance companies may report the nonadmitted excess item to this division on the basis of the true reserve instead of the mean reserve as has been the practice in the past. Under the true reserve system there will be no excess excepting in the case of indebtedness in excess of policy liabilities. The true reserve system eliminates all excess on account of due and deferred premiums, but there may be an excess equal to or in excess of the loading depending upon what premium the note represents, and how long it has been running when a premium note is taken for the gross premiums or when there is an overloan.</w:t>
      </w:r>
    </w:p>
    <w:p>
      <w:pPr>
        <w:spacing w:before="0" w:after="0"/>
        <w:ind w:left="120"/>
        <w:jc w:val="both"/>
      </w:pPr>
      <w:r>
        <w:rPr>
          <w:rFonts w:ascii="Times New Roman" w:hAnsi="Times New Roman"/>
          <w:b w:val="false"/>
          <w:i w:val="false"/>
          <w:color w:val="000000"/>
          <w:sz w:val="22"/>
        </w:rPr>
        <w:t>This concession is made to Iowa companies with the conviction that it removes many of the defects and disadvantages of the present practice of requiring the excess of the mean reserve.</w:t>
      </w:r>
    </w:p>
    <w:p>
      <w:pPr>
        <w:spacing w:before="0" w:after="0"/>
        <w:ind w:left="120"/>
        <w:jc w:val="both"/>
      </w:pPr>
      <w:r>
        <w:rPr>
          <w:rFonts w:ascii="Times New Roman" w:hAnsi="Times New Roman"/>
          <w:b w:val="false"/>
          <w:i w:val="false"/>
          <w:color w:val="000000"/>
          <w:sz w:val="22"/>
        </w:rPr>
        <w:t>As a corollary to the proposed system of determining this excess item, the business of the company must be reported upon a strictly paid for basis.</w:t>
      </w:r>
    </w:p>
    <w:p>
      <w:pPr>
        <w:spacing w:before="0" w:after="0"/>
        <w:ind w:left="120"/>
        <w:jc w:val="both"/>
      </w:pPr>
      <w:r>
        <w:rPr>
          <w:rFonts w:ascii="Times New Roman" w:hAnsi="Times New Roman"/>
          <w:b w:val="false"/>
          <w:i w:val="false"/>
          <w:color w:val="000000"/>
          <w:sz w:val="22"/>
        </w:rPr>
        <w:t>This division will not require that policies be lapsed if premium is not paid within a limited time after the due date, but no credit for an uncollected premium may be taken if more than 60 days past due, unless a premium note of the proper form has been taken therefor.</w:t>
      </w:r>
    </w:p>
    <w:p>
      <w:pPr>
        <w:pBdr>
          <w:top w:space="10"/>
        </w:pBdr>
        <w:spacing w:before="0" w:after="0"/>
        <w:ind w:left="120"/>
        <w:jc w:val="center"/>
      </w:pPr>
      <w:r>
        <w:rPr>
          <w:rFonts w:ascii="Times New Roman" w:hAnsi="Times New Roman"/>
          <w:b w:val="false"/>
          <w:i w:val="false"/>
          <w:color w:val="000000"/>
          <w:sz w:val="16"/>
        </w:rPr>
        <w:t>UNEARNED PREMIUM RESERVES ON MORTGAGE GUARANTY INSURANCE POLICIES</w:t>
      </w:r>
    </w:p>
    <w:p>
      <w:pPr>
        <w:spacing w:before="0" w:after="0"/>
        <w:ind w:left="120"/>
        <w:jc w:val="both"/>
      </w:pPr>
      <w:r>
        <w:rPr>
          <w:rFonts w:ascii="Times New Roman" w:hAnsi="Times New Roman"/>
          <w:b/>
          <w:i w:val="false"/>
          <w:color w:val="000000"/>
          <w:sz w:val="22"/>
        </w:rPr>
        <w:t>191—5.21</w:t>
      </w:r>
      <w:r>
        <w:rPr>
          <w:rFonts w:ascii="Times New Roman" w:hAnsi="Times New Roman"/>
          <w:b/>
          <w:i w:val="false"/>
          <w:color w:val="000000"/>
          <w:sz w:val="22"/>
        </w:rPr>
        <w:t xml:space="preserve">(515C) </w:t>
      </w:r>
      <w:r>
        <w:rPr>
          <w:rFonts w:ascii="Times New Roman" w:hAnsi="Times New Roman"/>
          <w:b/>
          <w:i w:val="false"/>
          <w:color w:val="000000"/>
          <w:sz w:val="22"/>
        </w:rPr>
        <w:t xml:space="preserve">Unearned premium reserve factors. </w:t>
      </w:r>
      <w:r>
        <w:rPr>
          <w:rFonts w:ascii="Times New Roman" w:hAnsi="Times New Roman"/>
          <w:b w:val="false"/>
          <w:i w:val="false"/>
          <w:color w:val="000000"/>
          <w:sz w:val="22"/>
        </w:rPr>
        <w:t>In the case of premiums paid in advance on ten-year policies, mortgage guaranty insurers shall apply the following annual factors or comparable monthly factors in determining the unearned premium reserve:</w:t>
      </w:r>
    </w:p>
    <w:tbl>
      <w:tblPr>
        <w:tblW w:w="5000" w:type="pct"/>
        <w:tblCellSpacing w:w="0" w:type="auto"/>
        <w:tblBorders>
          <w:top w:val="none"/>
          <w:left w:val="none"/>
          <w:bottom w:val="none"/>
          <w:right w:val="none"/>
          <w:insideH w:val="none"/>
          <w:insideV w:val="none"/>
        </w:tblBorders>
        <w:tblLayout w:type="fixed"/>
      </w:tblPr>
      <w:tblGrid>
        <w:gridCol w:w="2767"/>
        <w:gridCol w:w="2808"/>
        <w:gridCol w:w="2808"/>
        <w:gridCol w:w="2807"/>
      </w:tblGrid>
      <w:tr>
        <w:trPr>
          <w:trHeight w:val="390" w:hRule="atLeast"/>
        </w:trPr>
        <w:tc>
          <w:tcPr>
            <w:tcW w:w="2767"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Years policy</w:t>
            </w:r>
          </w:p>
          <w:p>
            <w:pPr>
              <w:spacing w:before="0" w:after="0"/>
              <w:ind w:left="160"/>
              <w:jc w:val="center"/>
            </w:pPr>
            <w:r>
              <w:rPr>
                <w:rFonts w:ascii="Times New Roman" w:hAnsi="Times New Roman"/>
                <w:b w:val="false"/>
                <w:i w:val="false"/>
                <w:color w:val="000000"/>
                <w:sz w:val="16"/>
              </w:rPr>
              <w:t>is in force</w:t>
            </w:r>
          </w:p>
        </w:tc>
        <w:tc>
          <w:tcPr>
            <w:tcW w:w="2808"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Unearned</w:t>
            </w:r>
          </w:p>
          <w:p>
            <w:pPr>
              <w:spacing w:before="0" w:after="0"/>
              <w:ind w:left="160"/>
              <w:jc w:val="center"/>
            </w:pPr>
            <w:r>
              <w:rPr>
                <w:rFonts w:ascii="Times New Roman" w:hAnsi="Times New Roman"/>
                <w:b w:val="false"/>
                <w:i w:val="false"/>
                <w:color w:val="000000"/>
                <w:sz w:val="16"/>
              </w:rPr>
              <w:t>premium factor</w:t>
            </w:r>
          </w:p>
        </w:tc>
        <w:tc>
          <w:tcPr>
            <w:tcW w:w="2808"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Years policy</w:t>
            </w:r>
          </w:p>
          <w:p>
            <w:pPr>
              <w:spacing w:before="0" w:after="0"/>
              <w:ind w:left="160"/>
              <w:jc w:val="center"/>
            </w:pPr>
            <w:r>
              <w:rPr>
                <w:rFonts w:ascii="Times New Roman" w:hAnsi="Times New Roman"/>
                <w:b w:val="false"/>
                <w:i w:val="false"/>
                <w:color w:val="000000"/>
                <w:sz w:val="16"/>
              </w:rPr>
              <w:t>is in force</w:t>
            </w:r>
          </w:p>
        </w:tc>
        <w:tc>
          <w:tcPr>
            <w:tcW w:w="2807"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Unearned</w:t>
            </w:r>
          </w:p>
          <w:p>
            <w:pPr>
              <w:spacing w:before="0" w:after="0"/>
              <w:ind w:left="160"/>
              <w:jc w:val="center"/>
            </w:pPr>
            <w:r>
              <w:rPr>
                <w:rFonts w:ascii="Times New Roman" w:hAnsi="Times New Roman"/>
                <w:b w:val="false"/>
                <w:i w:val="false"/>
                <w:color w:val="000000"/>
                <w:sz w:val="16"/>
              </w:rPr>
              <w:t>premium factor</w:t>
            </w:r>
          </w:p>
        </w:tc>
      </w:tr>
      <w:tr>
        <w:trPr>
          <w:trHeight w:val="210" w:hRule="atLeast"/>
        </w:trPr>
        <w:tc>
          <w:tcPr>
            <w:tcW w:w="27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28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81.8</w:t>
            </w:r>
          </w:p>
        </w:tc>
        <w:tc>
          <w:tcPr>
            <w:tcW w:w="28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6</w:t>
            </w:r>
          </w:p>
        </w:tc>
        <w:tc>
          <w:tcPr>
            <w:tcW w:w="28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18.2</w:t>
            </w:r>
          </w:p>
        </w:tc>
      </w:tr>
      <w:tr>
        <w:trPr>
          <w:trHeight w:val="210" w:hRule="atLeast"/>
        </w:trPr>
        <w:tc>
          <w:tcPr>
            <w:tcW w:w="27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28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65.5</w:t>
            </w:r>
          </w:p>
        </w:tc>
        <w:tc>
          <w:tcPr>
            <w:tcW w:w="28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7</w:t>
            </w:r>
          </w:p>
        </w:tc>
        <w:tc>
          <w:tcPr>
            <w:tcW w:w="28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10.9</w:t>
            </w:r>
          </w:p>
        </w:tc>
      </w:tr>
      <w:tr>
        <w:trPr>
          <w:trHeight w:val="210" w:hRule="atLeast"/>
        </w:trPr>
        <w:tc>
          <w:tcPr>
            <w:tcW w:w="27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28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50.9</w:t>
            </w:r>
          </w:p>
        </w:tc>
        <w:tc>
          <w:tcPr>
            <w:tcW w:w="28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8</w:t>
            </w:r>
          </w:p>
        </w:tc>
        <w:tc>
          <w:tcPr>
            <w:tcW w:w="28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5.5</w:t>
            </w:r>
          </w:p>
        </w:tc>
      </w:tr>
      <w:tr>
        <w:trPr>
          <w:trHeight w:val="210" w:hRule="atLeast"/>
        </w:trPr>
        <w:tc>
          <w:tcPr>
            <w:tcW w:w="27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28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38.2</w:t>
            </w:r>
          </w:p>
        </w:tc>
        <w:tc>
          <w:tcPr>
            <w:tcW w:w="28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9</w:t>
            </w:r>
          </w:p>
        </w:tc>
        <w:tc>
          <w:tcPr>
            <w:tcW w:w="28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w:t>
            </w:r>
          </w:p>
        </w:tc>
      </w:tr>
      <w:tr>
        <w:trPr>
          <w:trHeight w:val="210" w:hRule="atLeast"/>
        </w:trPr>
        <w:tc>
          <w:tcPr>
            <w:tcW w:w="27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28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27.3</w:t>
            </w:r>
          </w:p>
        </w:tc>
        <w:tc>
          <w:tcPr>
            <w:tcW w:w="280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280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r>
    </w:tbl>
    <w:p>
      <w:pPr>
        <w:spacing w:before="210" w:after="0"/>
        <w:ind w:left="120"/>
        <w:jc w:val="both"/>
      </w:pPr>
      <w:r>
        <w:rPr>
          <w:rFonts w:ascii="Times New Roman" w:hAnsi="Times New Roman"/>
          <w:b/>
          <w:i w:val="false"/>
          <w:color w:val="000000"/>
          <w:sz w:val="22"/>
        </w:rPr>
        <w:t>191—5.22</w:t>
      </w:r>
      <w:r>
        <w:rPr>
          <w:rFonts w:ascii="Times New Roman" w:hAnsi="Times New Roman"/>
          <w:b/>
          <w:i w:val="false"/>
          <w:color w:val="000000"/>
          <w:sz w:val="22"/>
        </w:rPr>
        <w:t xml:space="preserve">(515C) </w:t>
      </w:r>
      <w:r>
        <w:rPr>
          <w:rFonts w:ascii="Times New Roman" w:hAnsi="Times New Roman"/>
          <w:b/>
          <w:i w:val="false"/>
          <w:color w:val="000000"/>
          <w:sz w:val="22"/>
        </w:rPr>
        <w:t xml:space="preserve">Contingency reserve. </w:t>
      </w:r>
      <w:r>
        <w:rPr>
          <w:rFonts w:ascii="Times New Roman" w:hAnsi="Times New Roman"/>
          <w:b w:val="false"/>
          <w:i w:val="false"/>
          <w:color w:val="000000"/>
          <w:sz w:val="22"/>
        </w:rPr>
        <w:t xml:space="preserve">From the premium remaining after applying the appropriate factor from the table in </w:t>
      </w:r>
      <w:hyperlink r:id="rId42">
        <w:r>
          <w:rPr>
            <w:rStyle w:val="Hyperlink"/>
            <w:rFonts w:ascii="Times New Roman" w:hAnsi="Times New Roman"/>
            <w:b w:val="false"/>
            <w:i w:val="false"/>
            <w:color w:val="000000"/>
            <w:sz w:val="22"/>
          </w:rPr>
          <w:t>191—5.21</w:t>
        </w:r>
      </w:hyperlink>
      <w:r>
        <w:rPr>
          <w:rFonts w:ascii="Times New Roman" w:hAnsi="Times New Roman"/>
          <w:b w:val="false"/>
          <w:i w:val="false"/>
          <w:color w:val="000000"/>
          <w:sz w:val="22"/>
        </w:rPr>
        <w:t xml:space="preserve">(515C) above, there shall be maintained a contingency reserve as prescribed in Iowa Code section </w:t>
      </w:r>
      <w:hyperlink r:id="rId43">
        <w:r>
          <w:rPr>
            <w:rStyle w:val="Hyperlink"/>
            <w:rFonts w:ascii="Times New Roman" w:hAnsi="Times New Roman"/>
            <w:b w:val="false"/>
            <w:i w:val="false"/>
            <w:color w:val="000000"/>
            <w:sz w:val="22"/>
          </w:rPr>
          <w:t>515C.4</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4">
        <w:r>
          <w:rPr>
            <w:rStyle w:val="Hyperlink"/>
            <w:rFonts w:ascii="Times New Roman" w:hAnsi="Times New Roman"/>
            <w:b w:val="false"/>
            <w:i w:val="false"/>
            <w:color w:val="000000"/>
            <w:sz w:val="22"/>
          </w:rPr>
          <w:t>515C.3</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515C.4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191—5.23</w:t>
      </w:r>
      <w:r>
        <w:rPr>
          <w:rFonts w:ascii="Times New Roman" w:hAnsi="Times New Roman"/>
          <w:b/>
          <w:i w:val="false"/>
          <w:color w:val="000000"/>
          <w:sz w:val="22"/>
        </w:rPr>
        <w:t xml:space="preserve">(507C) </w:t>
      </w:r>
      <w:r>
        <w:rPr>
          <w:rFonts w:ascii="Times New Roman" w:hAnsi="Times New Roman"/>
          <w:b/>
          <w:i w:val="false"/>
          <w:color w:val="000000"/>
          <w:sz w:val="22"/>
        </w:rPr>
        <w:t xml:space="preserve">Standards. </w:t>
      </w:r>
      <w:r>
        <w:rPr>
          <w:rFonts w:ascii="Times New Roman" w:hAnsi="Times New Roman"/>
          <w:b w:val="false"/>
          <w:i w:val="false"/>
          <w:color w:val="000000"/>
          <w:sz w:val="22"/>
        </w:rPr>
        <w:t xml:space="preserve">Rescinded </w:t>
      </w:r>
      <w:r>
        <w:rPr>
          <w:rFonts w:ascii="Times New Roman" w:hAnsi="Times New Roman"/>
          <w:b/>
          <w:i w:val="false"/>
          <w:color w:val="000000"/>
          <w:sz w:val="22"/>
        </w:rPr>
        <w:t>ARC 5515C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3/10/21</w:t>
      </w:r>
      <w:r>
        <w:rPr>
          <w:rFonts w:ascii="Times New Roman" w:hAnsi="Times New Roman"/>
          <w:b w:val="false"/>
          <w:i w:val="false"/>
          <w:color w:val="000000"/>
          <w:sz w:val="22"/>
        </w:rPr>
        <w:t xml:space="preserve">, effective 4/14/21. </w:t>
      </w:r>
    </w:p>
    <w:p>
      <w:pPr>
        <w:spacing w:before="210" w:after="0"/>
        <w:ind w:left="120"/>
        <w:jc w:val="both"/>
      </w:pPr>
      <w:r>
        <w:rPr>
          <w:rFonts w:ascii="Times New Roman" w:hAnsi="Times New Roman"/>
          <w:b/>
          <w:i w:val="false"/>
          <w:color w:val="000000"/>
          <w:sz w:val="22"/>
        </w:rPr>
        <w:t>191—5.24</w:t>
      </w:r>
      <w:r>
        <w:rPr>
          <w:rFonts w:ascii="Times New Roman" w:hAnsi="Times New Roman"/>
          <w:b/>
          <w:i w:val="false"/>
          <w:color w:val="000000"/>
          <w:sz w:val="22"/>
        </w:rPr>
        <w:t xml:space="preserve">(507C) </w:t>
      </w:r>
      <w:r>
        <w:rPr>
          <w:rFonts w:ascii="Times New Roman" w:hAnsi="Times New Roman"/>
          <w:b/>
          <w:i w:val="false"/>
          <w:color w:val="000000"/>
          <w:sz w:val="22"/>
        </w:rPr>
        <w:t xml:space="preserve">Commissioner’s authority. </w:t>
      </w:r>
      <w:r>
        <w:rPr>
          <w:rFonts w:ascii="Times New Roman" w:hAnsi="Times New Roman"/>
          <w:b w:val="false"/>
          <w:i w:val="false"/>
          <w:color w:val="000000"/>
          <w:sz w:val="22"/>
        </w:rPr>
        <w:t xml:space="preserve">Rescinded </w:t>
      </w:r>
      <w:r>
        <w:rPr>
          <w:rFonts w:ascii="Times New Roman" w:hAnsi="Times New Roman"/>
          <w:b/>
          <w:i w:val="false"/>
          <w:color w:val="000000"/>
          <w:sz w:val="22"/>
        </w:rPr>
        <w:t>ARC 5515C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3/10/21</w:t>
      </w:r>
      <w:r>
        <w:rPr>
          <w:rFonts w:ascii="Times New Roman" w:hAnsi="Times New Roman"/>
          <w:b w:val="false"/>
          <w:i w:val="false"/>
          <w:color w:val="000000"/>
          <w:sz w:val="22"/>
        </w:rPr>
        <w:t xml:space="preserve">, effective 4/14/21. </w:t>
      </w:r>
    </w:p>
    <w:p>
      <w:pPr>
        <w:spacing w:before="210" w:after="0"/>
        <w:ind w:left="120"/>
        <w:jc w:val="both"/>
      </w:pPr>
      <w:r>
        <w:rPr>
          <w:rFonts w:ascii="Times New Roman" w:hAnsi="Times New Roman"/>
          <w:b/>
          <w:i w:val="false"/>
          <w:color w:val="000000"/>
          <w:sz w:val="22"/>
        </w:rPr>
        <w:t>191—5.25</w:t>
      </w:r>
      <w:r>
        <w:rPr>
          <w:rFonts w:ascii="Times New Roman" w:hAnsi="Times New Roman"/>
          <w:b/>
          <w:i w:val="false"/>
          <w:color w:val="000000"/>
          <w:sz w:val="22"/>
        </w:rPr>
        <w:t xml:space="preserve">(505) </w:t>
      </w:r>
      <w:r>
        <w:rPr>
          <w:rFonts w:ascii="Times New Roman" w:hAnsi="Times New Roman"/>
          <w:b/>
          <w:i w:val="false"/>
          <w:color w:val="000000"/>
          <w:sz w:val="22"/>
        </w:rPr>
        <w:t xml:space="preserve">Annual audited financial reports.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11/17/10</w:t>
      </w:r>
      <w:r>
        <w:rPr>
          <w:rFonts w:ascii="Times New Roman" w:hAnsi="Times New Roman"/>
          <w:b w:val="false"/>
          <w:i w:val="false"/>
          <w:color w:val="000000"/>
          <w:sz w:val="22"/>
        </w:rPr>
        <w:t>, effective 12/22/10.</w:t>
      </w:r>
    </w:p>
    <w:p>
      <w:pPr>
        <w:spacing w:before="0" w:after="0"/>
        <w:ind w:left="120"/>
        <w:jc w:val="both"/>
      </w:pPr>
      <w:r>
        <w:rPr>
          <w:rFonts w:ascii="Times New Roman" w:hAnsi="Times New Roman"/>
          <w:b/>
          <w:i w:val="false"/>
          <w:color w:val="000000"/>
          <w:sz w:val="22"/>
        </w:rPr>
        <w:t>191—5.26</w:t>
      </w:r>
      <w:r>
        <w:rPr>
          <w:rFonts w:ascii="Times New Roman" w:hAnsi="Times New Roman"/>
          <w:b/>
          <w:i w:val="false"/>
          <w:color w:val="000000"/>
          <w:sz w:val="22"/>
        </w:rPr>
        <w:t xml:space="preserve">(508,515) </w:t>
      </w:r>
      <w:r>
        <w:rPr>
          <w:rFonts w:ascii="Times New Roman" w:hAnsi="Times New Roman"/>
          <w:b/>
          <w:i w:val="false"/>
          <w:color w:val="000000"/>
          <w:sz w:val="22"/>
        </w:rPr>
        <w:t xml:space="preserve">Participation in the NAIC Insurance Regulatory Information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5.26(1)</w:t>
      </w:r>
      <w:r>
        <w:rPr>
          <w:rFonts w:ascii="Times New Roman" w:hAnsi="Times New Roman"/>
          <w:b w:val="false"/>
          <w:i w:val="false"/>
          <w:color w:val="000000"/>
          <w:sz w:val="22"/>
        </w:rPr>
        <w:t> </w:t>
      </w:r>
      <w:r>
        <w:rPr>
          <w:rFonts w:ascii="Times New Roman" w:hAnsi="Times New Roman"/>
          <w:b w:val="false"/>
          <w:i w:val="false"/>
          <w:color w:val="000000"/>
          <w:sz w:val="22"/>
        </w:rPr>
        <w:t>This rule applies to all domestic, foreign and alien insurers who are authorized to transact business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domestic, foreign and alien insurer, except entities organized under Iowa Code chapters </w:t>
      </w:r>
      <w:hyperlink r:id="rId46">
        <w:r>
          <w:rPr>
            <w:rStyle w:val="Hyperlink"/>
            <w:rFonts w:ascii="Times New Roman" w:hAnsi="Times New Roman"/>
            <w:b w:val="false"/>
            <w:i w:val="false"/>
            <w:color w:val="000000"/>
            <w:sz w:val="22"/>
          </w:rPr>
          <w:t>512A</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512B</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514B</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518</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518A</w:t>
        </w:r>
      </w:hyperlink>
      <w:r>
        <w:rPr>
          <w:rFonts w:ascii="Times New Roman" w:hAnsi="Times New Roman"/>
          <w:b w:val="false"/>
          <w:i w:val="false"/>
          <w:color w:val="000000"/>
          <w:sz w:val="22"/>
        </w:rPr>
        <w:t xml:space="preserve"> and those which write only in this state, who is authorized to transact insurance in this state shall annually on or before March 1 of each year, file with the National Association of Insurance Commissioners (NAIC) a copy of its annual statement convention blank, along with such additional filings as prescribed by the commissioner for the preceding year. The information filed with the NAIC shall be in the same format and scope as that required by the commissioner and shall include the signed jurat page and the actuarial certification. Any amendments and addendums to the annual statement filing subsequently filed with the commissioner shall also be filed with the NAIC.</w:t>
      </w:r>
    </w:p>
    <w:p>
      <w:pPr>
        <w:spacing w:before="0" w:after="0"/>
        <w:ind w:left="120"/>
        <w:jc w:val="both"/>
      </w:pPr>
      <w:r>
        <w:rPr>
          <w:rFonts w:ascii="Times New Roman" w:hAnsi="Times New Roman"/>
          <w:b w:val="false"/>
          <w:i w:val="false"/>
          <w:color w:val="000000"/>
          <w:sz w:val="22"/>
        </w:rPr>
        <w:t>Foreign insurers that are domiciled in a state which has a law substantially similar to the requirement in the previous sentence shall be deemed in compliance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5.26(3)</w:t>
      </w:r>
      <w:r>
        <w:rPr>
          <w:rFonts w:ascii="Times New Roman" w:hAnsi="Times New Roman"/>
          <w:b w:val="false"/>
          <w:i w:val="false"/>
          <w:color w:val="000000"/>
          <w:sz w:val="22"/>
        </w:rPr>
        <w:t> </w:t>
      </w:r>
      <w:r>
        <w:rPr>
          <w:rFonts w:ascii="Times New Roman" w:hAnsi="Times New Roman"/>
          <w:b w:val="false"/>
          <w:i w:val="false"/>
          <w:color w:val="000000"/>
          <w:sz w:val="22"/>
        </w:rPr>
        <w:t>Members of the NAIC, their duly authorized committees, subcommittees, and task forces, their delegates, NAIC employees, and all others charged with the responsibility of collecting, reviewing, analyzing and disseminating the information developed from the filing of the annual statement convention blanks shall be deemed to be acting on behalf of the commissioner by virtue of their collection, review, and analysis or dissemination of the data and information collected from the filings required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5.26(4)</w:t>
      </w:r>
      <w:r>
        <w:rPr>
          <w:rFonts w:ascii="Times New Roman" w:hAnsi="Times New Roman"/>
          <w:b w:val="false"/>
          <w:i w:val="false"/>
          <w:color w:val="000000"/>
          <w:sz w:val="22"/>
        </w:rPr>
        <w:t> </w:t>
      </w:r>
      <w:r>
        <w:rPr>
          <w:rFonts w:ascii="Times New Roman" w:hAnsi="Times New Roman"/>
          <w:b w:val="false"/>
          <w:i w:val="false"/>
          <w:color w:val="000000"/>
          <w:sz w:val="22"/>
        </w:rPr>
        <w:t xml:space="preserve">All financial analysis ratios and examination synopses concerning insurance companies that are submitted to the insurance division by the NAIC Insurance Regulatory Information System are confidential as provided in </w:t>
      </w:r>
      <w:hyperlink r:id="rId52">
        <w:r>
          <w:rPr>
            <w:rStyle w:val="Hyperlink"/>
            <w:rFonts w:ascii="Times New Roman" w:hAnsi="Times New Roman"/>
            <w:b w:val="false"/>
            <w:i w:val="false"/>
            <w:color w:val="000000"/>
            <w:sz w:val="22"/>
          </w:rPr>
          <w:t>191—subrule 1.3(11), paragraph </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5.26(5)</w:t>
      </w:r>
      <w:r>
        <w:rPr>
          <w:rFonts w:ascii="Times New Roman" w:hAnsi="Times New Roman"/>
          <w:b w:val="false"/>
          <w:i w:val="false"/>
          <w:color w:val="000000"/>
          <w:sz w:val="22"/>
        </w:rPr>
        <w:t> </w:t>
      </w:r>
      <w:r>
        <w:rPr>
          <w:rFonts w:ascii="Times New Roman" w:hAnsi="Times New Roman"/>
          <w:b w:val="false"/>
          <w:i w:val="false"/>
          <w:color w:val="000000"/>
          <w:sz w:val="22"/>
        </w:rPr>
        <w:t>The commissioner may suspend, revoke or refuse to renew the certificate of authority of any insurer failing to file its annual statement when due or within any extension of time which the commissioner, for good cause, may have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5.26(6)</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 filing. The annual financial statement filings required of domestic insurers pursuant to Iowa Code sections </w:t>
      </w:r>
      <w:hyperlink r:id="rId53">
        <w:r>
          <w:rPr>
            <w:rStyle w:val="Hyperlink"/>
            <w:rFonts w:ascii="Times New Roman" w:hAnsi="Times New Roman"/>
            <w:b w:val="false"/>
            <w:i w:val="false"/>
            <w:color w:val="000000"/>
            <w:sz w:val="22"/>
          </w:rPr>
          <w:t>508.11</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515.63</w:t>
        </w:r>
      </w:hyperlink>
      <w:r>
        <w:rPr>
          <w:rFonts w:ascii="Times New Roman" w:hAnsi="Times New Roman"/>
          <w:b w:val="false"/>
          <w:i w:val="false"/>
          <w:color w:val="000000"/>
          <w:sz w:val="22"/>
        </w:rPr>
        <w:t xml:space="preserve"> and the quarterly statement filings required pursuant to rule </w:t>
      </w:r>
      <w:hyperlink r:id="rId55">
        <w:r>
          <w:rPr>
            <w:rStyle w:val="Hyperlink"/>
            <w:rFonts w:ascii="Times New Roman" w:hAnsi="Times New Roman"/>
            <w:b w:val="false"/>
            <w:i w:val="false"/>
            <w:color w:val="000000"/>
            <w:sz w:val="22"/>
          </w:rPr>
          <w:t>191—5.3</w:t>
        </w:r>
      </w:hyperlink>
      <w:r>
        <w:rPr>
          <w:rFonts w:ascii="Times New Roman" w:hAnsi="Times New Roman"/>
          <w:b w:val="false"/>
          <w:i w:val="false"/>
          <w:color w:val="000000"/>
          <w:sz w:val="22"/>
        </w:rPr>
        <w:t xml:space="preserve">(507,508,515) must be filed electronically with the National Association of Insurance Commissioners. Electronic filing shall include filing via the Internet or by diskette. The electronic filing must be prepared in accordance with the NAIC Directive to Companies, Coding Conventions, Field Names and Definitions, Data Elements, and Reporting Requirements for Annual/Quarterly Statement Submission on Diskettes. Electronic filings are in addition to and due at the time of the filing of the annual/quarterly financial statement blank with the National Association of Insurance Commissioners. Diskette filings do not need to be filed with the division unless the insurer is directed by the commissioner to submit the filing(s) on diskette. This diskette filing requirement does not apply to entities organized pursuant to Iowa Code chapters </w:t>
      </w:r>
      <w:hyperlink r:id="rId56">
        <w:r>
          <w:rPr>
            <w:rStyle w:val="Hyperlink"/>
            <w:rFonts w:ascii="Times New Roman" w:hAnsi="Times New Roman"/>
            <w:b w:val="false"/>
            <w:i w:val="false"/>
            <w:color w:val="000000"/>
            <w:sz w:val="22"/>
          </w:rPr>
          <w:t>512A</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512B</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514B</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518</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518A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2">
        <w:r>
          <w:rPr>
            <w:rStyle w:val="Hyperlink"/>
            <w:rFonts w:ascii="Times New Roman" w:hAnsi="Times New Roman"/>
            <w:b w:val="false"/>
            <w:i w:val="false"/>
            <w:color w:val="000000"/>
            <w:sz w:val="22"/>
          </w:rPr>
          <w:t>508.11</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515.63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191—5.27</w:t>
      </w:r>
      <w:r>
        <w:rPr>
          <w:rFonts w:ascii="Times New Roman" w:hAnsi="Times New Roman"/>
          <w:b/>
          <w:i w:val="false"/>
          <w:color w:val="000000"/>
          <w:sz w:val="22"/>
        </w:rPr>
        <w:t xml:space="preserve">(508,515,520) </w:t>
      </w:r>
      <w:r>
        <w:rPr>
          <w:rFonts w:ascii="Times New Roman" w:hAnsi="Times New Roman"/>
          <w:b/>
          <w:i w:val="false"/>
          <w:color w:val="000000"/>
          <w:sz w:val="22"/>
        </w:rPr>
        <w:t xml:space="preserve">Asset 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5.27(1)</w:t>
      </w:r>
      <w:r>
        <w:rPr>
          <w:rFonts w:ascii="Times New Roman" w:hAnsi="Times New Roman"/>
          <w:b w:val="false"/>
          <w:i w:val="false"/>
          <w:color w:val="000000"/>
          <w:sz w:val="22"/>
        </w:rPr>
        <w:t> </w:t>
      </w:r>
      <w:r>
        <w:rPr>
          <w:rFonts w:ascii="Times New Roman" w:hAnsi="Times New Roman"/>
          <w:b w:val="false"/>
          <w:i w:val="false"/>
          <w:color w:val="000000"/>
          <w:sz w:val="22"/>
        </w:rPr>
        <w:t>All bonds or other evidences of debt having a fixed term and rate of interest held by an insurer may, if amply secured and not in default as to principal or interest, be valued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purchased at par, at the par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purchased above or below par, on the basis of the purchase price adjusted so as to bring the value to par at maturity and so as to yield in the meantime the effective rate of interest at which the purchase was made or, in lieu of such method, according to such accepted method of valuation as is approved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Purchase price shall in no case be taken at a higher figure than the actual market value at the time of purchase, plus actual brokerage, transfer, postage or express charges paid in the acquisition of such securities.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5.27(2)</w:t>
      </w:r>
      <w:r>
        <w:rPr>
          <w:rFonts w:ascii="Times New Roman" w:hAnsi="Times New Roman"/>
          <w:b w:val="false"/>
          <w:i w:val="false"/>
          <w:color w:val="000000"/>
          <w:sz w:val="22"/>
        </w:rPr>
        <w:t> </w:t>
      </w:r>
      <w:r>
        <w:rPr>
          <w:rFonts w:ascii="Times New Roman" w:hAnsi="Times New Roman"/>
          <w:b w:val="false"/>
          <w:i w:val="false"/>
          <w:color w:val="000000"/>
          <w:sz w:val="22"/>
        </w:rPr>
        <w:t>The division shall have full discretion in determining the method of calculating values according to the procedures set forth in this rule, but no such method or valuation shall be inconsistent with any applicable valuation or method used by insurers in general, or any method formulated or approved by the National Association of Insurance Commissioners or its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5.27(3)</w:t>
      </w:r>
      <w:r>
        <w:rPr>
          <w:rFonts w:ascii="Times New Roman" w:hAnsi="Times New Roman"/>
          <w:b w:val="false"/>
          <w:i w:val="false"/>
          <w:color w:val="000000"/>
          <w:sz w:val="22"/>
        </w:rPr>
        <w:t> </w:t>
      </w:r>
      <w:r>
        <w:rPr>
          <w:rFonts w:ascii="Times New Roman" w:hAnsi="Times New Roman"/>
          <w:b w:val="false"/>
          <w:i w:val="false"/>
          <w:color w:val="000000"/>
          <w:sz w:val="22"/>
        </w:rPr>
        <w:t xml:space="preserve">Securities, other than those referred to in subrule </w:t>
      </w:r>
      <w:hyperlink r:id="rId64">
        <w:r>
          <w:rPr>
            <w:rStyle w:val="Hyperlink"/>
            <w:rFonts w:ascii="Times New Roman" w:hAnsi="Times New Roman"/>
            <w:b w:val="false"/>
            <w:i w:val="false"/>
            <w:color w:val="000000"/>
            <w:sz w:val="22"/>
          </w:rPr>
          <w:t>5.27(1)</w:t>
        </w:r>
      </w:hyperlink>
      <w:r>
        <w:rPr>
          <w:rFonts w:ascii="Times New Roman" w:hAnsi="Times New Roman"/>
          <w:b w:val="false"/>
          <w:i w:val="false"/>
          <w:color w:val="000000"/>
          <w:sz w:val="22"/>
        </w:rPr>
        <w:t>, held by an insurer shall be valued, in the discretion of the division, at their market value, or at their appraised value, or at prices determined by it as representing their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5.27(4)</w:t>
      </w:r>
      <w:r>
        <w:rPr>
          <w:rFonts w:ascii="Times New Roman" w:hAnsi="Times New Roman"/>
          <w:b w:val="false"/>
          <w:i w:val="false"/>
          <w:color w:val="000000"/>
          <w:sz w:val="22"/>
        </w:rPr>
        <w:t> </w:t>
      </w:r>
      <w:r>
        <w:rPr>
          <w:rFonts w:ascii="Times New Roman" w:hAnsi="Times New Roman"/>
          <w:b w:val="false"/>
          <w:i w:val="false"/>
          <w:color w:val="000000"/>
          <w:sz w:val="22"/>
        </w:rPr>
        <w:t>Preferred or guaranteed stocks or shares while paying full dividends may be carried at a fixed value in lieu of market value, at the discretion of the division and in accordance with such method of valuation as it may approve.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5.27(5)</w:t>
      </w:r>
      <w:r>
        <w:rPr>
          <w:rFonts w:ascii="Times New Roman" w:hAnsi="Times New Roman"/>
          <w:b w:val="false"/>
          <w:i w:val="false"/>
          <w:color w:val="000000"/>
          <w:sz w:val="22"/>
        </w:rPr>
        <w:t> </w:t>
      </w:r>
      <w:r>
        <w:rPr>
          <w:rFonts w:ascii="Times New Roman" w:hAnsi="Times New Roman"/>
          <w:b w:val="false"/>
          <w:i w:val="false"/>
          <w:color w:val="000000"/>
          <w:sz w:val="22"/>
        </w:rPr>
        <w:t xml:space="preserve">Stock of a subsidiary corporation of an insurer shall not be valued at an amount in excess of the net value of the subsidiary as based upon only those assets of the subsidiary which would be eligible under Iowa Code section </w:t>
      </w:r>
      <w:hyperlink r:id="rId65">
        <w:r>
          <w:rPr>
            <w:rStyle w:val="Hyperlink"/>
            <w:rFonts w:ascii="Times New Roman" w:hAnsi="Times New Roman"/>
            <w:b w:val="false"/>
            <w:i w:val="false"/>
            <w:color w:val="000000"/>
            <w:sz w:val="22"/>
          </w:rPr>
          <w:t>521A.2</w:t>
        </w:r>
      </w:hyperlink>
      <w:r>
        <w:rPr>
          <w:rFonts w:ascii="Times New Roman" w:hAnsi="Times New Roman"/>
          <w:b w:val="false"/>
          <w:i w:val="false"/>
          <w:color w:val="000000"/>
          <w:sz w:val="22"/>
        </w:rPr>
        <w:t xml:space="preserve"> had investment of the funds of the insurer been made directly.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5.27(6)</w:t>
      </w:r>
      <w:r>
        <w:rPr>
          <w:rFonts w:ascii="Times New Roman" w:hAnsi="Times New Roman"/>
          <w:b w:val="false"/>
          <w:i w:val="false"/>
          <w:color w:val="000000"/>
          <w:sz w:val="22"/>
        </w:rPr>
        <w:t> </w:t>
      </w:r>
      <w:r>
        <w:rPr>
          <w:rFonts w:ascii="Times New Roman" w:hAnsi="Times New Roman"/>
          <w:b w:val="false"/>
          <w:i w:val="false"/>
          <w:color w:val="000000"/>
          <w:sz w:val="22"/>
        </w:rPr>
        <w:t>No valuations under this rule shall be inconsistent with any applicable valuation or method formulated or approved by the National Association of Insurance Commissioners.</w:t>
      </w:r>
    </w:p>
    <w:p>
      <w:pPr>
        <w:spacing w:before="0" w:after="0"/>
        <w:ind w:left="120"/>
        <w:jc w:val="both"/>
      </w:pPr>
      <w:r>
        <w:rPr>
          <w:rFonts w:ascii="Times New Roman" w:hAnsi="Times New Roman"/>
          <w:b/>
          <w:i w:val="false"/>
          <w:color w:val="000000"/>
          <w:sz w:val="22"/>
        </w:rPr>
        <w:t>191—5.28</w:t>
      </w:r>
      <w:r>
        <w:rPr>
          <w:rFonts w:ascii="Times New Roman" w:hAnsi="Times New Roman"/>
          <w:b/>
          <w:i w:val="false"/>
          <w:color w:val="000000"/>
          <w:sz w:val="22"/>
        </w:rPr>
        <w:t xml:space="preserve">(508,515,518,518A,520) </w:t>
      </w:r>
      <w:r>
        <w:rPr>
          <w:rFonts w:ascii="Times New Roman" w:hAnsi="Times New Roman"/>
          <w:b/>
          <w:i w:val="false"/>
          <w:color w:val="000000"/>
          <w:sz w:val="22"/>
        </w:rPr>
        <w:t xml:space="preserve">Risk-based capital and surplus. </w:t>
      </w:r>
      <w:r>
        <w:rPr>
          <w:rFonts w:ascii="Times New Roman" w:hAnsi="Times New Roman"/>
          <w:b w:val="false"/>
          <w:i w:val="false"/>
          <w:color w:val="000000"/>
          <w:sz w:val="22"/>
        </w:rPr>
        <w:t xml:space="preserve">Capital and surplus requirements in Iowa Code chapters </w:t>
      </w:r>
      <w:hyperlink r:id="rId66">
        <w:r>
          <w:rPr>
            <w:rStyle w:val="Hyperlink"/>
            <w:rFonts w:ascii="Times New Roman" w:hAnsi="Times New Roman"/>
            <w:b w:val="false"/>
            <w:i w:val="false"/>
            <w:color w:val="000000"/>
            <w:sz w:val="22"/>
          </w:rPr>
          <w:t>508</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515</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518</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518A</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520</w:t>
        </w:r>
      </w:hyperlink>
      <w:r>
        <w:rPr>
          <w:rFonts w:ascii="Times New Roman" w:hAnsi="Times New Roman"/>
          <w:b w:val="false"/>
          <w:i w:val="false"/>
          <w:color w:val="000000"/>
          <w:sz w:val="22"/>
        </w:rPr>
        <w:t xml:space="preserve"> are minimums. The commissioner retains the discretion to require greater amounts than set forth in those chapters when the risk-based circumstances of a particular insurer, including the type, nature and volume of business being written, require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191—5.29</w:t>
      </w:r>
      <w:r>
        <w:rPr>
          <w:rFonts w:ascii="Times New Roman" w:hAnsi="Times New Roman"/>
          <w:b/>
          <w:i w:val="false"/>
          <w:color w:val="000000"/>
          <w:sz w:val="22"/>
        </w:rPr>
        <w:t xml:space="preserve">(508,515) </w:t>
      </w:r>
      <w:r>
        <w:rPr>
          <w:rFonts w:ascii="Times New Roman" w:hAnsi="Times New Roman"/>
          <w:b/>
          <w:i w:val="false"/>
          <w:color w:val="000000"/>
          <w:sz w:val="22"/>
        </w:rPr>
        <w:t xml:space="preserve">Actuarial certification of reserves. </w:t>
      </w:r>
      <w:r>
        <w:rPr>
          <w:rFonts w:ascii="Times New Roman" w:hAnsi="Times New Roman"/>
          <w:b w:val="false"/>
          <w:i w:val="false"/>
          <w:color w:val="000000"/>
          <w:sz w:val="22"/>
        </w:rPr>
        <w:t>An opinion on life and health policy and claim reserves and property and casualty loss and loss adjustment expense reserves by a qualified actuary is required in the annual statement blank for all domestic insurers under the terms and conditions contained in the annual statement instructions handbook of the National Association of Insurance Commissioners. All other provisions of the handbook shall be applicable to annual and quarterly financial statements filed with the division.</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1">
        <w:r>
          <w:rPr>
            <w:rStyle w:val="Hyperlink"/>
            <w:rFonts w:ascii="Times New Roman" w:hAnsi="Times New Roman"/>
            <w:b w:val="false"/>
            <w:i w:val="false"/>
            <w:color w:val="000000"/>
            <w:sz w:val="22"/>
          </w:rPr>
          <w:t>508.5</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508.9</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508.10</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508.11</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515.8</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515.10</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515.12</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515.63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191—5.30</w:t>
      </w:r>
      <w:r>
        <w:rPr>
          <w:rFonts w:ascii="Times New Roman" w:hAnsi="Times New Roman"/>
          <w:b/>
          <w:i w:val="false"/>
          <w:color w:val="000000"/>
          <w:sz w:val="22"/>
        </w:rPr>
        <w:t xml:space="preserve">(515) </w:t>
      </w:r>
      <w:r>
        <w:rPr>
          <w:rFonts w:ascii="Times New Roman" w:hAnsi="Times New Roman"/>
          <w:b/>
          <w:i w:val="false"/>
          <w:color w:val="000000"/>
          <w:sz w:val="22"/>
        </w:rPr>
        <w:t xml:space="preserve">Single maximum risk—fidelity and surety risks. </w:t>
      </w:r>
      <w:r>
        <w:rPr>
          <w:rFonts w:ascii="Times New Roman" w:hAnsi="Times New Roman"/>
          <w:b w:val="false"/>
          <w:i w:val="false"/>
          <w:color w:val="000000"/>
          <w:sz w:val="22"/>
        </w:rPr>
        <w:t xml:space="preserve">No insurance company is permitted under the limitations of Iowa Code section </w:t>
      </w:r>
      <w:hyperlink r:id="rId79">
        <w:r>
          <w:rPr>
            <w:rStyle w:val="Hyperlink"/>
            <w:rFonts w:ascii="Times New Roman" w:hAnsi="Times New Roman"/>
            <w:b w:val="false"/>
            <w:i w:val="false"/>
            <w:color w:val="000000"/>
            <w:sz w:val="22"/>
          </w:rPr>
          <w:t>515.49</w:t>
        </w:r>
      </w:hyperlink>
      <w:r>
        <w:rPr>
          <w:rFonts w:ascii="Times New Roman" w:hAnsi="Times New Roman"/>
          <w:b w:val="false"/>
          <w:i w:val="false"/>
          <w:color w:val="000000"/>
          <w:sz w:val="22"/>
        </w:rPr>
        <w:t xml:space="preserve"> to expose itself to any risk on a fidelity or surety bond in excess of 10 percent of its surplus to policyholders, unless such excess shall be reinsured in accordance with the provisions of the statute.</w:t>
      </w:r>
    </w:p>
    <w:p>
      <w:pPr>
        <w:spacing w:before="0" w:after="0"/>
        <w:ind w:left="120"/>
        <w:jc w:val="both"/>
      </w:pPr>
      <w:r>
        <w:rPr>
          <w:rFonts w:ascii="Times New Roman" w:hAnsi="Times New Roman"/>
          <w:b/>
          <w:i w:val="false"/>
          <w:color w:val="000000"/>
          <w:sz w:val="22"/>
        </w:rPr>
        <w:t>191—5.31</w:t>
      </w:r>
      <w:r>
        <w:rPr>
          <w:rFonts w:ascii="Times New Roman" w:hAnsi="Times New Roman"/>
          <w:b/>
          <w:i w:val="false"/>
          <w:color w:val="000000"/>
          <w:sz w:val="22"/>
        </w:rPr>
        <w:t xml:space="preserve">(515) </w:t>
      </w:r>
      <w:r>
        <w:rPr>
          <w:rFonts w:ascii="Times New Roman" w:hAnsi="Times New Roman"/>
          <w:b/>
          <w:i w:val="false"/>
          <w:color w:val="000000"/>
          <w:sz w:val="22"/>
        </w:rPr>
        <w:t xml:space="preserve">Reinsurance contracts. </w:t>
      </w:r>
      <w:r>
        <w:rPr>
          <w:rFonts w:ascii="Times New Roman" w:hAnsi="Times New Roman"/>
          <w:b w:val="false"/>
          <w:i w:val="false"/>
          <w:color w:val="000000"/>
          <w:sz w:val="22"/>
        </w:rPr>
        <w:t>No credit will be given the ceding insurer for reinsurance made, ceded, or renewed unless the reinsurance agreements (treaty, facultative or otherwise) substantially provide, or are amended by a supplemental contract to read in substance as follows:</w:t>
      </w:r>
    </w:p>
    <w:p>
      <w:pPr>
        <w:spacing w:before="0" w:after="0"/>
        <w:ind w:left="120"/>
        <w:jc w:val="both"/>
      </w:pPr>
      <w:r>
        <w:rPr>
          <w:rFonts w:ascii="Times New Roman" w:hAnsi="Times New Roman"/>
          <w:b w:val="false"/>
          <w:i w:val="false"/>
          <w:color w:val="000000"/>
          <w:sz w:val="22"/>
        </w:rPr>
        <w:t>In consideration of the continuing benefits to accrue hereunder to the assuming insurer, the assuming insurer hereby agrees that, as to all reinsurance made, ceded, or renewed the reinsurance shall be payable by the assuming insurer on the basis of the liability of the ceding insurer under the contract or contracts reinsured without diminution because of the insolvency of the ceding insurer.</w:t>
      </w:r>
    </w:p>
    <w:p>
      <w:pPr>
        <w:spacing w:before="0" w:after="0"/>
        <w:ind w:left="120"/>
        <w:jc w:val="both"/>
      </w:pPr>
      <w:r>
        <w:rPr>
          <w:rFonts w:ascii="Times New Roman" w:hAnsi="Times New Roman"/>
          <w:b/>
          <w:i w:val="false"/>
          <w:color w:val="000000"/>
          <w:sz w:val="22"/>
        </w:rPr>
        <w:t>191—5.32</w:t>
      </w:r>
      <w:r>
        <w:rPr>
          <w:rFonts w:ascii="Times New Roman" w:hAnsi="Times New Roman"/>
          <w:b/>
          <w:i w:val="false"/>
          <w:color w:val="000000"/>
          <w:sz w:val="22"/>
        </w:rPr>
        <w:t xml:space="preserve">(511,515) </w:t>
      </w:r>
      <w:r>
        <w:rPr>
          <w:rFonts w:ascii="Times New Roman" w:hAnsi="Times New Roman"/>
          <w:b/>
          <w:i w:val="false"/>
          <w:color w:val="000000"/>
          <w:sz w:val="22"/>
        </w:rPr>
        <w:t xml:space="preserve">Investments in medium grade and lower grade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5.32(1)</w:t>
      </w:r>
      <w:r>
        <w:rPr>
          <w:rFonts w:ascii="Times New Roman" w:hAnsi="Times New Roman"/>
          <w:b w:val="false"/>
          <w:i w:val="false"/>
          <w:color w:val="000000"/>
          <w:sz w:val="22"/>
        </w:rPr>
        <w:t> </w:t>
      </w:r>
      <w:r>
        <w:rPr>
          <w:rFonts w:ascii="Times New Roman" w:hAnsi="Times New Roman"/>
          <w:b w:val="false"/>
          <w:i/>
          <w:color w:val="000000"/>
          <w:sz w:val="22"/>
        </w:rPr>
        <w:t xml:space="preserve">Reason for promulgation. </w:t>
      </w:r>
      <w:r>
        <w:rPr>
          <w:rFonts w:ascii="Times New Roman" w:hAnsi="Times New Roman"/>
          <w:b w:val="false"/>
          <w:i w:val="false"/>
          <w:color w:val="000000"/>
          <w:sz w:val="22"/>
        </w:rPr>
        <w:t>The division is concerned that changes in economic conditions and other market variables could adversely affect domestic insurers having a high concentration of these investments. Accordingly, the division has concluded that a limitation on the percentage of total admitted assets that a domestic insurer may prudently invest in such obligations is reasonable, necessary and required in order to carry out the division’s responsibilities under relevant statutory law.</w:t>
      </w:r>
    </w:p>
    <w:p>
      <w:pPr>
        <w:spacing w:before="0" w:after="0"/>
        <w:ind w:left="120"/>
        <w:jc w:val="both"/>
      </w:pPr>
      <w:r>
        <w:rPr>
          <w:rFonts w:ascii="Times New Roman" w:hAnsi="Times New Roman"/>
          <w:b w:val="false"/>
          <w:i w:val="false"/>
          <w:color w:val="000000"/>
          <w:sz w:val="22"/>
        </w:rPr>
        <w:t>The division understands that medium grade and lower grade obligations can have a place in a well diversified portfolio. However, it is also understood that the special risks associated with these investments require a high degree of management even when they are held within an aggregate limit. While this rule will leave all domestic insurers with authority to invest a substantial portion of their assets in medium grade and lower grade obligations, the prudent management of the attendant risk will remain an essential element of such investing.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5.32(2)</w:t>
      </w:r>
      <w:r>
        <w:rPr>
          <w:rFonts w:ascii="Times New Roman" w:hAnsi="Times New Roman"/>
          <w:b w:val="false"/>
          <w:i w:val="false"/>
          <w:color w:val="000000"/>
          <w:sz w:val="22"/>
        </w:rPr>
        <w:t> </w:t>
      </w:r>
      <w:r>
        <w:rPr>
          <w:rFonts w:ascii="Times New Roman" w:hAnsi="Times New Roman"/>
          <w:b w:val="false"/>
          <w:i/>
          <w:color w:val="000000"/>
          <w:sz w:val="22"/>
        </w:rPr>
        <w:t xml:space="preserve">Purposes. </w:t>
      </w:r>
      <w:r>
        <w:rPr>
          <w:rFonts w:ascii="Times New Roman" w:hAnsi="Times New Roman"/>
          <w:b w:val="false"/>
          <w:i w:val="false"/>
          <w:color w:val="000000"/>
          <w:sz w:val="22"/>
        </w:rPr>
        <w:t>The purposes of this rule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protect the interests of the insurance-buying public by establishing limitations on the concentration of medium grade and lower grade obligations in which a domestic insurer can invest;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regulate the acts and practices of domestic insurers with respect to the concentration of investments in medium grade and lower grade obligations. An insurer’s obligations of these classifications shall not exceed the greater of those allowed in subrule </w:t>
      </w:r>
      <w:hyperlink r:id="rId80">
        <w:r>
          <w:rPr>
            <w:rStyle w:val="Hyperlink"/>
            <w:rFonts w:ascii="Times New Roman" w:hAnsi="Times New Roman"/>
            <w:b w:val="false"/>
            <w:i w:val="false"/>
            <w:color w:val="000000"/>
            <w:sz w:val="22"/>
          </w:rPr>
          <w:t>5.10(2)</w:t>
        </w:r>
      </w:hyperlink>
      <w:r>
        <w:rPr>
          <w:rFonts w:ascii="Times New Roman" w:hAnsi="Times New Roman"/>
          <w:b w:val="false"/>
          <w:i w:val="false"/>
          <w:color w:val="000000"/>
          <w:sz w:val="22"/>
        </w:rPr>
        <w:t xml:space="preserve"> or Iowa Code section </w:t>
      </w:r>
      <w:hyperlink r:id="rId81">
        <w:r>
          <w:rPr>
            <w:rStyle w:val="Hyperlink"/>
            <w:rFonts w:ascii="Times New Roman" w:hAnsi="Times New Roman"/>
            <w:b w:val="false"/>
            <w:i w:val="false"/>
            <w:color w:val="000000"/>
            <w:sz w:val="22"/>
          </w:rPr>
          <w:t>515.35(4)</w:t>
        </w:r>
        <w:r>
          <w:rPr>
            <w:rFonts w:ascii="Times New Roman" w:hAnsi="Times New Roman"/>
            <w:b w:val="false"/>
            <w:i/>
            <w:color w:val="000000"/>
            <w:sz w:val="22"/>
          </w:rPr>
          <w:t>“e,”</w:t>
        </w:r>
      </w:hyperlink>
      <w:r>
        <w:rPr>
          <w:rFonts w:ascii="Times New Roman" w:hAnsi="Times New Roman"/>
          <w:b w:val="false"/>
          <w:i w:val="false"/>
          <w:color w:val="000000"/>
          <w:sz w:val="22"/>
        </w:rPr>
        <w:t xml:space="preserve"> whichever is applicable, or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“Admitted assets” </w:t>
      </w:r>
      <w:r>
        <w:rPr>
          <w:rFonts w:ascii="Times New Roman" w:hAnsi="Times New Roman"/>
          <w:b w:val="false"/>
          <w:i w:val="false"/>
          <w:color w:val="000000"/>
          <w:sz w:val="22"/>
        </w:rPr>
        <w:t xml:space="preserve">means the amount thereof as of the last day of the most recently concluded annual statement year, computed in accordance with rule </w:t>
      </w:r>
      <w:hyperlink r:id="rId82">
        <w:r>
          <w:rPr>
            <w:rStyle w:val="Hyperlink"/>
            <w:rFonts w:ascii="Times New Roman" w:hAnsi="Times New Roman"/>
            <w:b w:val="false"/>
            <w:i w:val="false"/>
            <w:color w:val="000000"/>
            <w:sz w:val="22"/>
          </w:rPr>
          <w:t>191—5.6</w:t>
        </w:r>
      </w:hyperlink>
      <w:r>
        <w:rPr>
          <w:rFonts w:ascii="Times New Roman" w:hAnsi="Times New Roman"/>
          <w:b w:val="false"/>
          <w:i w:val="false"/>
          <w:color w:val="000000"/>
          <w:sz w:val="22"/>
        </w:rPr>
        <w:t>(505,515,520).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“Aggregate amount” </w:t>
      </w:r>
      <w:r>
        <w:rPr>
          <w:rFonts w:ascii="Times New Roman" w:hAnsi="Times New Roman"/>
          <w:b w:val="false"/>
          <w:i w:val="false"/>
          <w:color w:val="000000"/>
          <w:sz w:val="22"/>
        </w:rPr>
        <w:t>of medium grade and lower grade obligations means the aggregate statutory statement value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 </w:t>
      </w:r>
      <w:r>
        <w:rPr>
          <w:rFonts w:ascii="Times New Roman" w:hAnsi="Times New Roman"/>
          <w:b w:val="false"/>
          <w:i w:val="false"/>
          <w:color w:val="000000"/>
          <w:sz w:val="22"/>
        </w:rPr>
        <w:t>means a corporation, a joint-stock company, an association, a trust, a business partnership, a business joint venture or similar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“Lower grade obligations” </w:t>
      </w:r>
      <w:r>
        <w:rPr>
          <w:rFonts w:ascii="Times New Roman" w:hAnsi="Times New Roman"/>
          <w:b w:val="false"/>
          <w:i w:val="false"/>
          <w:color w:val="000000"/>
          <w:sz w:val="22"/>
        </w:rPr>
        <w:t>means obligations which are rated four, five or six by the Securities Valuation Office of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“Medium grade obligations” </w:t>
      </w:r>
      <w:r>
        <w:rPr>
          <w:rFonts w:ascii="Times New Roman" w:hAnsi="Times New Roman"/>
          <w:b w:val="false"/>
          <w:i w:val="false"/>
          <w:color w:val="000000"/>
          <w:sz w:val="22"/>
        </w:rPr>
        <w:t>means obligations which are rated three by the Securities Valuation Office of the National Association of Insurance Commissioners.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5.32(4)</w:t>
      </w:r>
      <w:r>
        <w:rPr>
          <w:rFonts w:ascii="Times New Roman" w:hAnsi="Times New Roman"/>
          <w:b w:val="false"/>
          <w:i w:val="false"/>
          <w:color w:val="000000"/>
          <w:sz w:val="22"/>
        </w:rPr>
        <w:t> </w:t>
      </w:r>
      <w:r>
        <w:rPr>
          <w:rFonts w:ascii="Times New Roman" w:hAnsi="Times New Roman"/>
          <w:b w:val="false"/>
          <w:i/>
          <w:color w:val="000000"/>
          <w:sz w:val="22"/>
        </w:rPr>
        <w:t xml:space="preserve">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domestic insurer shall acquire, directly or indirectly, any medium grade or lower grade obligation of any institution if, after giving effect to any such acquisition, the aggregate amount of all medium grade and lower grade obligations then held by the domestic insurer would exceed 20 percent of its admitted assets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more than 10 percent of its admitted assets consists of obligations rated four, five or six by the Securities Valuation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more than 3 percent of its admitted assets consists of obligations rated five or six by the Securities Valuation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more than 1 percent of its admitted assets consists of obligations rated six by the Securities Valuation Office. Attaining or exceeding the limit of any one category shall not preclude an insurer from acquiring obligations in other categories subject to the specific and multicategory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domestic insurer may invest more than an aggregate of 1 percent of its admitted assets in medium grade obligations issued, guaranteed or insured by any one institution, nor may it invest more than one-half of 1 percent of its admitted assets in lower grade obligations issued, guaranteed or insured by any one institution. In no event, however, may a domestic insurer invest more than 1 percent of its admitted assets in any medium or lower grade obligations issued, guaranteed or insured by any one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Nothing contained in this rule shall prohibit a domestic insurer from acquiring any obligations which it has committed to acquire if the insurer would have been permitted to acquire that obligation pursuant to this rule on the date on which such insurer committed to purchase that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Notwithstanding the foregoing, a domestic insurer may acquire an obligation of an institution in which the insurer already has one or more obligations if the obligation is acquired in order to protect an investment previously made in the obligations of the institution, provided that all such acquired obligations shall not exceed one-half of 1 percent of the insurer’s admitted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Nothing contained in this rule shall prohibit a domestic insurer from acquiring an obligation as a result of a restructuring of a medium or lower grade obligation already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Nothing contained in this rule shall require a domestic insurer to sell or otherwise dispose of any obligation legally acquired prior to January 29, 1991.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of any domestic insurance company which acquires or invests, directly or indirectly, more than 2 percent of its admitted assets in medium grade and lower grade obligations of any institution shall adopt a written plan for the making of such investments. The plan, in addition to guidelines with respect to the quality of the issues invested in, shall contain diversification standards including, but not limited to, standards for issuer, industry, duration, liquidity and geographic location.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3">
        <w:r>
          <w:rPr>
            <w:rStyle w:val="Hyperlink"/>
            <w:rFonts w:ascii="Times New Roman" w:hAnsi="Times New Roman"/>
            <w:b w:val="false"/>
            <w:i w:val="false"/>
            <w:color w:val="000000"/>
            <w:sz w:val="22"/>
          </w:rPr>
          <w:t>511.8</w:t>
        </w:r>
      </w:hyperlink>
      <w:r>
        <w:rPr>
          <w:rFonts w:ascii="Times New Roman" w:hAnsi="Times New Roman"/>
          <w:b w:val="false"/>
          <w:i w:val="false"/>
          <w:color w:val="000000"/>
          <w:sz w:val="22"/>
        </w:rPr>
        <w:t xml:space="preserve"> and </w:t>
      </w:r>
      <w:hyperlink r:id="rId84">
        <w:r>
          <w:rPr>
            <w:rStyle w:val="Hyperlink"/>
            <w:rFonts w:ascii="Times New Roman" w:hAnsi="Times New Roman"/>
            <w:b w:val="false"/>
            <w:i w:val="false"/>
            <w:color w:val="000000"/>
            <w:sz w:val="22"/>
          </w:rPr>
          <w:t>515.35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191—5.33</w:t>
      </w:r>
      <w:r>
        <w:rPr>
          <w:rFonts w:ascii="Times New Roman" w:hAnsi="Times New Roman"/>
          <w:b/>
          <w:i w:val="false"/>
          <w:color w:val="000000"/>
          <w:sz w:val="22"/>
        </w:rPr>
        <w:t xml:space="preserve">(510) </w:t>
      </w:r>
      <w:r>
        <w:rPr>
          <w:rFonts w:ascii="Times New Roman" w:hAnsi="Times New Roman"/>
          <w:b/>
          <w:i w:val="false"/>
          <w:color w:val="000000"/>
          <w:sz w:val="22"/>
        </w:rPr>
        <w:t xml:space="preserve">Credit for reinsurance.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set forth the procedural requirements which the insurance commissioner deems necessary to carry out the provisions of Iowa Code sections </w:t>
      </w:r>
      <w:hyperlink r:id="rId85">
        <w:r>
          <w:rPr>
            <w:rStyle w:val="Hyperlink"/>
            <w:rFonts w:ascii="Times New Roman" w:hAnsi="Times New Roman"/>
            <w:b w:val="false"/>
            <w:i w:val="false"/>
            <w:color w:val="000000"/>
            <w:sz w:val="22"/>
          </w:rPr>
          <w:t>521B.1 to 521B.5</w:t>
        </w:r>
      </w:hyperlink>
      <w:r>
        <w:rPr>
          <w:rFonts w:ascii="Times New Roman" w:hAnsi="Times New Roman"/>
          <w:b w:val="false"/>
          <w:i w:val="false"/>
          <w:color w:val="000000"/>
          <w:sz w:val="22"/>
        </w:rPr>
        <w:t>. The actions and information required by this rule are hereby declared to be necessary and appropriate to the public interest and for the protection of the ceding insurers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shall have no applicability to reinsurance ceded and assumed pursuant to a pooling arrangement among insurers in the same holding company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5.33(3)</w:t>
      </w:r>
      <w:r>
        <w:rPr>
          <w:rFonts w:ascii="Times New Roman" w:hAnsi="Times New Roman"/>
          <w:b w:val="false"/>
          <w:i w:val="false"/>
          <w:color w:val="000000"/>
          <w:sz w:val="22"/>
        </w:rPr>
        <w:t> </w:t>
      </w:r>
      <w:r>
        <w:rPr>
          <w:rFonts w:ascii="Times New Roman" w:hAnsi="Times New Roman"/>
          <w:b w:val="false"/>
          <w:i/>
          <w:color w:val="000000"/>
          <w:sz w:val="22"/>
        </w:rPr>
        <w:t xml:space="preserve">Reinsurer licensed in this state. </w:t>
      </w:r>
      <w:r>
        <w:rPr>
          <w:rFonts w:ascii="Times New Roman" w:hAnsi="Times New Roman"/>
          <w:b w:val="false"/>
          <w:i w:val="false"/>
          <w:color w:val="000000"/>
          <w:sz w:val="22"/>
        </w:rPr>
        <w:t>The commissioner shall allow credit for reinsurance ceded by a domestic insurer to assuming insurers which were licensed in this state as of the date of the ceding insurer’s statutory financial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5.33(4)</w:t>
      </w:r>
      <w:r>
        <w:rPr>
          <w:rFonts w:ascii="Times New Roman" w:hAnsi="Times New Roman"/>
          <w:b w:val="false"/>
          <w:i w:val="false"/>
          <w:color w:val="000000"/>
          <w:sz w:val="22"/>
        </w:rPr>
        <w:t> </w:t>
      </w:r>
      <w:r>
        <w:rPr>
          <w:rFonts w:ascii="Times New Roman" w:hAnsi="Times New Roman"/>
          <w:b w:val="false"/>
          <w:i/>
          <w:color w:val="000000"/>
          <w:sz w:val="22"/>
        </w:rPr>
        <w:t xml:space="preserve">Accredited reinsurers.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allow credit for reinsurance ceded by a domestic insurer to an assuming insurer which is accredited as a reinsurer in this state as of the date of the ceding insurer’s statutory financial statement. An accredited reinsurer is one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Files a properly executed Form AR-1</w:t>
      </w:r>
      <w:r>
        <w:rPr>
          <w:rFonts w:ascii="Times New Roman" w:hAnsi="Times New Roman"/>
          <w:b w:val="false"/>
          <w:i w:val="false"/>
          <w:color w:val="000000"/>
          <w:sz w:val="10"/>
        </w:rPr>
        <w:t>1</w:t>
      </w:r>
      <w:r>
        <w:rPr>
          <w:rFonts w:ascii="Times New Roman" w:hAnsi="Times New Roman"/>
          <w:b w:val="false"/>
          <w:i w:val="false"/>
          <w:color w:val="000000"/>
          <w:sz w:val="22"/>
        </w:rPr>
        <w:t xml:space="preserve"> as evidence of its submission to this state’s jurisdiction and to this state’s authority to examine its books and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Files with the commissioner a certified copy of a letter or a certificate of authority or of compliance as evidence that it is licensed to transact insurance or reinsurance in at least one state, or, in the case of a United States branch of an alien assuming insurer, is entered through and licensed to transact insurance or reinsurance in at least one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Files annually with the commissioner a copy of its annual statement filed with the insurance department of its state of domicile or, in the case of an alien assuming insurer, with the state through which it is entered and in which it is licensed to transact insurance or reinsurance, and a copy of its most recent audited financial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Maintains a surplus as regards policyholders in an amount not less than $20 million or obtains the affirmative approval of the commissioner upon a finding that the accredited reinsurer has adequate financial capacity to meet its reinsurance obligations and is otherwise qualified to assume reinsurance from domestic insurers.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commissioner determines that the assuming insurer has failed to meet or maintain any of these qualifications, the commissioner may upon written notice and hearing suspend or revoke the accreditation. A domestic ceding insurer shall not be allowed credit under this subrule if the assuming insurer’s accreditation has been revoked by the commissioner or if the reinsurance was ceded while the assuming insurer’s accreditation was under suspension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5.33(5)</w:t>
      </w:r>
      <w:r>
        <w:rPr>
          <w:rFonts w:ascii="Times New Roman" w:hAnsi="Times New Roman"/>
          <w:b w:val="false"/>
          <w:i w:val="false"/>
          <w:color w:val="000000"/>
          <w:sz w:val="22"/>
        </w:rPr>
        <w:t> </w:t>
      </w:r>
      <w:r>
        <w:rPr>
          <w:rFonts w:ascii="Times New Roman" w:hAnsi="Times New Roman"/>
          <w:b w:val="false"/>
          <w:i/>
          <w:color w:val="000000"/>
          <w:sz w:val="22"/>
        </w:rPr>
        <w:t xml:space="preserve">Reinsurer domiciled and licensed in another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allow credit for reinsurance ceded by a domestic insurer to an assuming insurer which as of the date of the ceding insurer’s statutory financial 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domiciled and licensed in (or, in the case of a United States branch of an alien assuming insurer, is entered through and licensed in) a state which employs standards regarding credit for reinsurance substantially similar to those applicable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Maintains a surplus as regards policyholders in an amount not less than $20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Files a properly executed Form AR-1</w:t>
      </w:r>
      <w:r>
        <w:rPr>
          <w:rFonts w:ascii="Times New Roman" w:hAnsi="Times New Roman"/>
          <w:b w:val="false"/>
          <w:i w:val="false"/>
          <w:color w:val="000000"/>
          <w:sz w:val="10"/>
        </w:rPr>
        <w:t>1</w:t>
      </w:r>
      <w:r>
        <w:rPr>
          <w:rFonts w:ascii="Times New Roman" w:hAnsi="Times New Roman"/>
          <w:b w:val="false"/>
          <w:i w:val="false"/>
          <w:color w:val="000000"/>
          <w:sz w:val="22"/>
        </w:rPr>
        <w:t xml:space="preserve"> with the commissioner as evidence of its submission to this state’s authority to examine its books and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subrule relating to surplus as regards policyholders shall not apply to reinsurance ceded and assumed pursuant to pooling arrangements among insurers in the same holding company system. As used herein, “substantially similar standards” means credit for reinsurance standards which the commissioner determines equal or exceed the standards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5.33(6)</w:t>
      </w:r>
      <w:r>
        <w:rPr>
          <w:rFonts w:ascii="Times New Roman" w:hAnsi="Times New Roman"/>
          <w:b w:val="false"/>
          <w:i w:val="false"/>
          <w:color w:val="000000"/>
          <w:sz w:val="22"/>
        </w:rPr>
        <w:t> </w:t>
      </w:r>
      <w:r>
        <w:rPr>
          <w:rFonts w:ascii="Times New Roman" w:hAnsi="Times New Roman"/>
          <w:b w:val="false"/>
          <w:i/>
          <w:color w:val="000000"/>
          <w:sz w:val="22"/>
        </w:rPr>
        <w:t xml:space="preserve">Reinsurers maintaining trust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allow credit for reinsurance ceded by a domestic insurer to an assuming insurer which, as of the date of the ceding insurer’s statutory financial statement, maintains a trust fund in an amount prescribed below in a qualified United States financial institution, as determined by the commissioner, for the payment of the valid claims of its United States policyholders and ceding insurers, their assigns and successors in interests. The assuming insurer shall report annually to the commissioner substantially the same information as that required to be reported on the NAIC annual statement form by licensed insurers, to enable the commissioner to determine the sufficiency of the trust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apply to the following categories of assuming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trust fund for a single assuming insurer shall consist of funds in trust in an amount not less than the assuming insurer’s liabilities attributable to reinsurance ceded by United States domiciled insurers, and in addition, the assuming insurer shall maintain a trusteed surplus of not less than $20 million, except as provided in subparagraph </w:t>
      </w:r>
      <w:hyperlink r:id="rId86">
        <w:r>
          <w:rPr>
            <w:rStyle w:val="Hyperlink"/>
            <w:rFonts w:ascii="Times New Roman" w:hAnsi="Times New Roman"/>
            <w:b w:val="false"/>
            <w:i w:val="false"/>
            <w:color w:val="000000"/>
            <w:sz w:val="22"/>
          </w:rPr>
          <w:t>5.33(6)</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trust fund for a group of individual unincorporated underwriters shall consist of funds in trust in an amount not less than the group’s aggregate liabilities attributable to business written in the United States and, in addition, the group shall maintain a trusteed surplus of which $100 million shall be held jointly for the benefit of the United States ceding insurers of any member of the group. The group shall make available to the commissioner annual certifications by the group’s domiciliary regulator and its independent public accountants of the solvency of each underwriter member of the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trust fund for a group of incorporated insurers under common administration, whose members possess aggregate policyholder surplus of $10 billion (calculated and reported in substantially the same manner as prescribed by the annual statement instructions and Accounting Practices and Procedures Manual of the National Association of Insurance Commissioners) and which has continuously transacted an insurance business outside the United States for at least three years immediately prior to making application for accreditation, shall consist of funds in trust in an amount not less than the assuming insurers’ liabilities attributable to business ceded by United States ceding insurers to any members of the group pursuant to reinsurance contracts issued in the name of such group and, in addition, the group shall maintain a joint trusteed surplus of which $100 million shall be held jointly for the benefit of United States ceding insurers of any member of the group. The group shall file a properly executed Form AR-1 as evidence of the submission to this state’s authority to examine the books and records of any of its members and shall certify that any member examined will bear the expense of any such examination. The group shall make available to the commissioner annual certifications by the members’ domiciliary regulators and their independent public accountants of the solvency of each member of the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 any time after the assuming insurer has permanently discontinued underwriting new business secured by the trust for at least three full years, the commissioner with principal regulatory oversight of the trust may authorize a reduction in the required trusteed surplus, but only after a finding, based on an assessment of the risk, that the new required surplus level is adequate for the protection of United States ceding insurers, policyholders and claimants in light of reasonably foreseeable adverse loss development. The risk assessment may involve an actuarial review, including an independent analysis of reserves and cash flows, and shall consider all material risk factors, including, when applicable, the lines of business involved, the stability of the incurred loss estimates and the effect of the surplus requirements on the assuming insurer’s liquidity or solvency. The minimum required trusteed surplus may not be reduced to an amount less than 30 percent of the assuming insurer’s liabilities attributable to reinsurance ceded by United States ceding insurers covered by the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trust shall be established in a form approved by the commissioner. The trust instrument shall provide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Contested claims shall be valid and enforceable out of funds in trust to the extent remaining unsatisfied 30 days after entry of the final order of any court of competent jurisdiction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Legal title to the assets of the trust shall be vested in the trustee for the benefit of the grantor’s United States policyholders and ceding insurers, their assigns and successors in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trust shall be subject to examination as determined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trust shall remain in effect for as long as the assuming insurer, or any member or former member of a group of insurers, shall have outstanding obligations under reinsurance agreements subject to the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later than February 28 of each year the trustees of the trust shall report to the commissioner in writing setting forth the balance in the trust and listing the trust’s investments at the preceding year end, and shall certify the date of termination of the trust, if so planned, or certify that the trust shall not expire prior to the next following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amendment to the trust shall be effective unless reviewed and approved in advance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5.33(7)</w:t>
      </w:r>
      <w:r>
        <w:rPr>
          <w:rFonts w:ascii="Times New Roman" w:hAnsi="Times New Roman"/>
          <w:b w:val="false"/>
          <w:i w:val="false"/>
          <w:color w:val="000000"/>
          <w:sz w:val="22"/>
        </w:rPr>
        <w:t> </w:t>
      </w:r>
      <w:r>
        <w:rPr>
          <w:rFonts w:ascii="Times New Roman" w:hAnsi="Times New Roman"/>
          <w:b w:val="false"/>
          <w:i/>
          <w:color w:val="000000"/>
          <w:sz w:val="22"/>
        </w:rPr>
        <w:t xml:space="preserve">Certified reinsurers.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allow credit for reinsurance ceded by a domestic insurer to an assuming insurer that has been certified as a reinsurer in this state at all times for which statutory financial statement credit for reinsurance is claimed under this subrule. The credit allowed shall be based upon the security held by or on behalf of the ceding insurer in accordance with a rating assigned to the certified reinsurer by the commissioner. The security shall be in a form consistent with subrules </w:t>
      </w:r>
      <w:hyperlink r:id="rId87">
        <w:r>
          <w:rPr>
            <w:rStyle w:val="Hyperlink"/>
            <w:rFonts w:ascii="Times New Roman" w:hAnsi="Times New Roman"/>
            <w:b w:val="false"/>
            <w:i w:val="false"/>
            <w:color w:val="000000"/>
            <w:sz w:val="22"/>
          </w:rPr>
          <w:t>5.33(11)</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5.33(12)</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5.33(13)</w:t>
        </w:r>
      </w:hyperlink>
      <w:r>
        <w:rPr>
          <w:rFonts w:ascii="Times New Roman" w:hAnsi="Times New Roman"/>
          <w:b w:val="false"/>
          <w:i w:val="false"/>
          <w:color w:val="000000"/>
          <w:sz w:val="22"/>
        </w:rPr>
        <w:t xml:space="preserve"> of this rule and Iowa Code sections </w:t>
      </w:r>
      <w:hyperlink r:id="rId90">
        <w:r>
          <w:rPr>
            <w:rStyle w:val="Hyperlink"/>
            <w:rFonts w:ascii="Times New Roman" w:hAnsi="Times New Roman"/>
            <w:b w:val="false"/>
            <w:i w:val="false"/>
            <w:color w:val="000000"/>
            <w:sz w:val="22"/>
          </w:rPr>
          <w:t>521B.102(5)</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521B.103</w:t>
        </w:r>
      </w:hyperlink>
      <w:r>
        <w:rPr>
          <w:rFonts w:ascii="Times New Roman" w:hAnsi="Times New Roman"/>
          <w:b w:val="false"/>
          <w:i w:val="false"/>
          <w:color w:val="000000"/>
          <w:sz w:val="22"/>
        </w:rPr>
        <w:t>. The amount of security required in order for full credit to be allowed shall correspond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Ratings/security.</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55" w:hRule="atLeast"/>
        </w:trPr>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 </w:t>
            </w:r>
          </w:p>
          <w:p>
            <w:pPr>
              <w:spacing w:before="0" w:after="0"/>
              <w:ind w:left="0"/>
              <w:jc w:val="center"/>
            </w:pPr>
            <w:r>
              <w:rPr>
                <w:rFonts w:ascii="Times New Roman" w:hAnsi="Times New Roman"/>
                <w:b w:val="false"/>
                <w:i w:val="false"/>
                <w:color w:val="000000"/>
                <w:sz w:val="20"/>
              </w:rPr>
              <w:t xml:space="preserve"> Ratings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Security Required</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Secure – 1</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 </w:t>
            </w:r>
          </w:p>
          <w:p>
            <w:pPr>
              <w:spacing w:before="0" w:after="0"/>
              <w:ind w:left="0"/>
              <w:jc w:val="center"/>
            </w:pPr>
            <w:r>
              <w:rPr>
                <w:rFonts w:ascii="Times New Roman" w:hAnsi="Times New Roman"/>
                <w:b w:val="false"/>
                <w:i w:val="false"/>
                <w:color w:val="000000"/>
                <w:sz w:val="20"/>
              </w:rPr>
              <w:t>0%</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Secure – 2</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 </w:t>
            </w:r>
          </w:p>
          <w:p>
            <w:pPr>
              <w:spacing w:before="0" w:after="0"/>
              <w:ind w:left="0"/>
              <w:jc w:val="center"/>
            </w:pPr>
            <w:r>
              <w:rPr>
                <w:rFonts w:ascii="Times New Roman" w:hAnsi="Times New Roman"/>
                <w:b w:val="false"/>
                <w:i w:val="false"/>
                <w:color w:val="000000"/>
                <w:sz w:val="20"/>
              </w:rPr>
              <w:t>10%</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Secure – 3</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 </w:t>
            </w:r>
          </w:p>
          <w:p>
            <w:pPr>
              <w:spacing w:before="0" w:after="0"/>
              <w:ind w:left="0"/>
              <w:jc w:val="center"/>
            </w:pPr>
            <w:r>
              <w:rPr>
                <w:rFonts w:ascii="Times New Roman" w:hAnsi="Times New Roman"/>
                <w:b w:val="false"/>
                <w:i w:val="false"/>
                <w:color w:val="000000"/>
                <w:sz w:val="20"/>
              </w:rPr>
              <w:t>20%</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Secure – 4</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 </w:t>
            </w:r>
          </w:p>
          <w:p>
            <w:pPr>
              <w:spacing w:before="0" w:after="0"/>
              <w:ind w:left="0"/>
              <w:jc w:val="center"/>
            </w:pPr>
            <w:r>
              <w:rPr>
                <w:rFonts w:ascii="Times New Roman" w:hAnsi="Times New Roman"/>
                <w:b w:val="false"/>
                <w:i w:val="false"/>
                <w:color w:val="000000"/>
                <w:sz w:val="20"/>
              </w:rPr>
              <w:t>50%</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Secure – 5</w:t>
            </w:r>
          </w:p>
        </w:tc>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 </w:t>
            </w:r>
          </w:p>
          <w:p>
            <w:pPr>
              <w:spacing w:before="0" w:after="0"/>
              <w:ind w:left="0"/>
              <w:jc w:val="center"/>
            </w:pPr>
            <w:r>
              <w:rPr>
                <w:rFonts w:ascii="Times New Roman" w:hAnsi="Times New Roman"/>
                <w:b w:val="false"/>
                <w:i w:val="false"/>
                <w:color w:val="000000"/>
                <w:sz w:val="20"/>
              </w:rPr>
              <w:t>75%</w:t>
            </w:r>
          </w:p>
        </w:tc>
      </w:tr>
      <w:tr>
        <w:trPr>
          <w:trHeight w:val="255" w:hRule="atLeast"/>
        </w:trPr>
        <w:tc>
          <w:tcPr>
            <w:tcW w:w="559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 </w:t>
            </w:r>
          </w:p>
          <w:p>
            <w:pPr>
              <w:spacing w:before="0" w:after="0"/>
              <w:ind w:left="0"/>
              <w:jc w:val="center"/>
            </w:pPr>
            <w:r>
              <w:rPr>
                <w:rFonts w:ascii="Times New Roman" w:hAnsi="Times New Roman"/>
                <w:b w:val="false"/>
                <w:i w:val="false"/>
                <w:color w:val="000000"/>
                <w:sz w:val="20"/>
              </w:rPr>
              <w:t>Vulnerable – 6</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Affiliated reinsurance transactions shall receive the same opportunity for reduced security requirements as all other reinsurance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require the certified reinsurer to post 100 percent, for the benefit of the ceding insurer or its estate, security upon the entry of an order of rehabilitation, liquidation or conservation against the ceding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order to facilitate the prompt payment of claims, a certified reinsurer shall not be required to post security for catastrophe recoverables for a period of one year from the date of the first instance of a liability reserve entry by the ceding company as a result of a loss from a catastrophic occurrence as recognized by the commissioner. When determining what constitutes a catastrophic occurrence, the commissioner will consult with the NAIC and consider both natural and human events. The one-year deferral period is contingent upon the certified reinsurer’s continuing to pay claims in a timely manner. Reinsurance recoverables for only the following lines of business as reported on the NAIC annual financial statement related specifically to the catastrophic occurrence will be included in the deferral: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Line 1: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Line 2: Allied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Line 3: Farmowners multiple peril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Line 4: Homeowners multiple peril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Line 5: Commercial multiple peril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Line 9: Inland Marine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Line 12: Earthquake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Line 21: Auto physical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Credit for reinsurance under this subrule shall apply only to reinsurance contracts entered into or renewed on or after the effective date of the certification of the assuming insurer. Any reinsurance contract entered into prior to the effective date of the certification of the assuming insurer that is subsequently amended after the effective date of the certification of the assuming insurer, or a new reinsurance contract, covering any risk for which collateral was provided previously, shall only be subject to this subrule with respect to losses incurred and reserves reported from and after the effective date of the amendment or new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shall prohibit the parties to a reinsurance agreement from agreeing to provisions establishing security requirements that exceed the minimum security requirements established for certified reinsurers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Certification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post notice on the division’s website promptly upon receipt of any application for certification, including instructions on how members of the public may respond to the application. The commissioner may not take final action on the application until at least 30 days after posting the notice required by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issue written notice to an assuming insurer that has made application and been approved as a certified reinsurer. Included in such notice shall be the rating assigned the certified reinsurer in accordance with paragraph </w:t>
      </w:r>
      <w:hyperlink r:id="rId92">
        <w:r>
          <w:rPr>
            <w:rStyle w:val="Hyperlink"/>
            <w:rFonts w:ascii="Times New Roman" w:hAnsi="Times New Roman"/>
            <w:b w:val="false"/>
            <w:i w:val="false"/>
            <w:color w:val="000000"/>
            <w:sz w:val="22"/>
          </w:rPr>
          <w:t>5.33(7)</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commissioner shall publish a list of all certified reinsurers and their ratings.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order to be eligible for certification, the assuming insurer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assuming insurer must be domiciled and licensed to transact insurance or reinsurance in a qualified jurisdiction, as determined by the commissioner pursuant to paragraph </w:t>
      </w:r>
      <w:hyperlink r:id="rId93">
        <w:r>
          <w:rPr>
            <w:rStyle w:val="Hyperlink"/>
            <w:rFonts w:ascii="Times New Roman" w:hAnsi="Times New Roman"/>
            <w:b w:val="false"/>
            <w:i w:val="false"/>
            <w:color w:val="000000"/>
            <w:sz w:val="22"/>
          </w:rPr>
          <w:t>5.33(7)</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assuming insurer must maintain capital and surplus, or their equivalents, of no less than $250 million calculated in accordance with paragraph </w:t>
      </w:r>
      <w:hyperlink r:id="rId94">
        <w:r>
          <w:rPr>
            <w:rStyle w:val="Hyperlink"/>
            <w:rFonts w:ascii="Times New Roman" w:hAnsi="Times New Roman"/>
            <w:b w:val="false"/>
            <w:i w:val="false"/>
            <w:color w:val="000000"/>
            <w:sz w:val="22"/>
          </w:rPr>
          <w:t>5.33(7)</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“8.” This requirement may also be satisfied by an association including incorporated and individual unincorporated underwriters having minimum capital and surplus equivalents (net of liabilities) of at least $250 million and a central fund containing a balance of at least $250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assuming insurer must maintain financial strength ratings from two or more rating agencies deemed acceptable by the commissioner. These ratings shall be based on interactive communication between the rating agency and the assuming insurer and shall not be based solely on publicly available information. These financial strength ratings will be one factor used by the commissioner in determining the rating that is assigned to the assuming insurer. Acceptable rating agencies include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Standard &amp; Poor’s;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Moody’s Investors Service;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Fitch Ratings;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A.M. Best Company;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other nationally recognized statistical rating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certified reinsurer must comply with any other requirements reasonably imposed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certified reinsurer shall be rated on a legal entity basis, with due consideration being given to the group rating where appropriate, except that an association including incorporated and individual unincorporated underwriters that has been approved to do business as a single certified reinsurer may be evaluated on the basis of its group rating. Factors that may be considered as part of the evaluation process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reinsurer’s financial strength rating from an acceptable rating agency. The maximum rating that a certified reinsurer may be assigned will correspond to its financial strength rating as outlined in the table below. The commissioner shall use the lowest financial strength rating received from an approved rating agency in establishing the maximum rating of a certified reinsurer. Failure to obtain or maintain at least two financial strength ratings from acceptable rating agencies will result in loss of eligibility for certification.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50"/>
        <w:gridCol w:w="1950"/>
        <w:gridCol w:w="2430"/>
        <w:gridCol w:w="2430"/>
        <w:gridCol w:w="2430"/>
      </w:tblGrid>
      <w:tr>
        <w:trPr>
          <w:trHeight w:val="270" w:hRule="atLeast"/>
        </w:trPr>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Ratings</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Best</w:t>
            </w:r>
          </w:p>
        </w:tc>
        <w:tc>
          <w:tcPr>
            <w:tcW w:w="24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S&amp;P</w:t>
            </w:r>
          </w:p>
        </w:tc>
        <w:tc>
          <w:tcPr>
            <w:tcW w:w="24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Moody’s</w:t>
            </w:r>
          </w:p>
        </w:tc>
        <w:tc>
          <w:tcPr>
            <w:tcW w:w="24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Fitch</w:t>
            </w:r>
          </w:p>
        </w:tc>
      </w:tr>
      <w:tr>
        <w:trPr>
          <w:trHeight w:val="270" w:hRule="atLeast"/>
        </w:trPr>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Secure – 1</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w:t>
            </w:r>
          </w:p>
        </w:tc>
        <w:tc>
          <w:tcPr>
            <w:tcW w:w="24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AAA</w:t>
            </w:r>
          </w:p>
        </w:tc>
        <w:tc>
          <w:tcPr>
            <w:tcW w:w="24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Aaa</w:t>
            </w:r>
          </w:p>
        </w:tc>
        <w:tc>
          <w:tcPr>
            <w:tcW w:w="24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AAA</w:t>
            </w:r>
          </w:p>
        </w:tc>
      </w:tr>
      <w:tr>
        <w:trPr>
          <w:trHeight w:val="270" w:hRule="atLeast"/>
        </w:trPr>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Secure – 2</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w:t>
            </w:r>
          </w:p>
        </w:tc>
        <w:tc>
          <w:tcPr>
            <w:tcW w:w="24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AA+, AA, AA-</w:t>
            </w:r>
          </w:p>
        </w:tc>
        <w:tc>
          <w:tcPr>
            <w:tcW w:w="24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Aa1, Aa2, Aa3</w:t>
            </w:r>
          </w:p>
        </w:tc>
        <w:tc>
          <w:tcPr>
            <w:tcW w:w="24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AA+, AA, AA-</w:t>
            </w:r>
          </w:p>
        </w:tc>
      </w:tr>
      <w:tr>
        <w:trPr>
          <w:trHeight w:val="270" w:hRule="atLeast"/>
        </w:trPr>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Secure – 3</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w:t>
            </w:r>
          </w:p>
        </w:tc>
        <w:tc>
          <w:tcPr>
            <w:tcW w:w="24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 A</w:t>
            </w:r>
          </w:p>
        </w:tc>
        <w:tc>
          <w:tcPr>
            <w:tcW w:w="24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A1, A2</w:t>
            </w:r>
          </w:p>
        </w:tc>
        <w:tc>
          <w:tcPr>
            <w:tcW w:w="24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 A</w:t>
            </w:r>
          </w:p>
        </w:tc>
      </w:tr>
      <w:tr>
        <w:trPr>
          <w:trHeight w:val="270" w:hRule="atLeast"/>
        </w:trPr>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Secure – 4</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w:t>
            </w:r>
          </w:p>
        </w:tc>
        <w:tc>
          <w:tcPr>
            <w:tcW w:w="24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w:t>
            </w:r>
          </w:p>
        </w:tc>
        <w:tc>
          <w:tcPr>
            <w:tcW w:w="24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A3</w:t>
            </w:r>
          </w:p>
        </w:tc>
        <w:tc>
          <w:tcPr>
            <w:tcW w:w="24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w:t>
            </w:r>
          </w:p>
        </w:tc>
      </w:tr>
      <w:tr>
        <w:trPr>
          <w:trHeight w:val="270" w:hRule="atLeast"/>
        </w:trPr>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Secure – 5</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 B+</w:t>
            </w:r>
          </w:p>
        </w:tc>
        <w:tc>
          <w:tcPr>
            <w:tcW w:w="24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BBB+, BBB, BBB-</w:t>
            </w:r>
          </w:p>
        </w:tc>
        <w:tc>
          <w:tcPr>
            <w:tcW w:w="24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Baa1, Baa2, Baa3</w:t>
            </w:r>
          </w:p>
        </w:tc>
        <w:tc>
          <w:tcPr>
            <w:tcW w:w="24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BBB+, BBB, BBB-</w:t>
            </w:r>
          </w:p>
        </w:tc>
      </w:tr>
      <w:tr>
        <w:trPr>
          <w:trHeight w:val="720" w:hRule="atLeast"/>
        </w:trPr>
        <w:tc>
          <w:tcPr>
            <w:tcW w:w="195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Vulnerable – 6</w:t>
            </w:r>
          </w:p>
        </w:tc>
        <w:tc>
          <w:tcPr>
            <w:tcW w:w="195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 B-, C++, C+, C, C-, D, E, F</w:t>
            </w:r>
          </w:p>
        </w:tc>
        <w:tc>
          <w:tcPr>
            <w:tcW w:w="243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BB+, BB, BB-, B+, B, B-, CCC, CC, C, D, R</w:t>
            </w:r>
          </w:p>
        </w:tc>
        <w:tc>
          <w:tcPr>
            <w:tcW w:w="243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Ba1, Ba2, Ba3, B1, B2, B3, Caa, Ca, C</w:t>
            </w:r>
          </w:p>
        </w:tc>
        <w:tc>
          <w:tcPr>
            <w:tcW w:w="24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BB+, BB, BB-, B+, B, B-, CCC+, CC, CCC-, DD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business practices of the certified reinsurer in dealing with its ceding insurers, including its record of compliance with reinsurance contractual terms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certified reinsurers domiciled in the United States, a review of the most recent applicable NAIC Annual Statement Blank, either Schedule F (for property/casualty reinsurers) or Schedule S (for life and health reinsurers).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certified reinsurers not domiciled in the United States, a review annually of Form CR-F (for property/casualty reinsurers) or Form CR-S (for life and health reinsurers) (Forms CR-F and CR-S are available from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reputation of the certified reinsurer for prompt payment of claims under reinsurance agreements, based on an analysis of ceding insurers’ Schedule F reporting of overdue reinsurance recoverables, including the proportion of obligations that are more than 90 days past due or are in dispute, with specific attention given to obligations payable to companies that are in administrative supervision or receivership.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Regulatory actions against the certified reinsurer.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 of the independent auditor on the financial statements of the insurance enterprise, on the basis described in </w:t>
      </w:r>
      <w:hyperlink r:id="rId95">
        <w:r>
          <w:rPr>
            <w:rStyle w:val="Hyperlink"/>
            <w:rFonts w:ascii="Times New Roman" w:hAnsi="Times New Roman"/>
            <w:b w:val="false"/>
            <w:i w:val="false"/>
            <w:color w:val="000000"/>
            <w:sz w:val="22"/>
          </w:rPr>
          <w:t>paragraph 5.33(7)</w:t>
        </w:r>
      </w:hyperlink>
      <w:r>
        <w:rPr>
          <w:rFonts w:ascii="Times New Roman" w:hAnsi="Times New Roman"/>
          <w:b w:val="false"/>
          <w:i/>
          <w:color w:val="000000"/>
          <w:sz w:val="22"/>
        </w:rPr>
        <w:t>“b”</w:t>
      </w:r>
      <w:r>
        <w:rPr>
          <w:rFonts w:ascii="Times New Roman" w:hAnsi="Times New Roman"/>
          <w:b w:val="false"/>
          <w:i w:val="false"/>
          <w:color w:val="000000"/>
          <w:sz w:val="22"/>
        </w:rPr>
        <w:t>(4)“8.”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For certified reinsurers not domiciled in the United States, audited financial statements, regulatory filings, and actuarial opinion (as filed with the non-United States jurisdiction supervisor, with a translation into English). Upon the initial application for certification, the commissioner will consider audited financial statements for the last two years filed with the certified reinsurer’s non-United States jurisdiction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liquidation priority of obligations to a ceding insurer in the certified reinsurer’s domiciliary jurisdiction in the context of an insolvency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certified reinsurer’s participation in any solvent scheme of arrangement, or similar procedure, which involves United States ceding insurers. The commissioner shall receive prior notice from a certified reinsurer that proposes participation by the certified reinsurer in a solvent scheme of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Any other information deemed relevant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Based on the analysis conducted under paragraph </w:t>
      </w:r>
      <w:hyperlink r:id="rId96">
        <w:r>
          <w:rPr>
            <w:rStyle w:val="Hyperlink"/>
            <w:rFonts w:ascii="Times New Roman" w:hAnsi="Times New Roman"/>
            <w:b w:val="false"/>
            <w:i w:val="false"/>
            <w:color w:val="000000"/>
            <w:sz w:val="22"/>
          </w:rPr>
          <w:t>5.33(7)</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“5” of a certified reinsurer’s reputation for prompt payment of claims, the commissioner may make appropriate adjustments in the security that the certified reinsurer is required to post to protect its liabilities to United States ceding insurers, provided that the commissioner shall, at a minimum, increase the security that the certified reinsurer is required to post by one rating level under paragraph </w:t>
      </w:r>
      <w:hyperlink r:id="rId97">
        <w:r>
          <w:rPr>
            <w:rStyle w:val="Hyperlink"/>
            <w:rFonts w:ascii="Times New Roman" w:hAnsi="Times New Roman"/>
            <w:b w:val="false"/>
            <w:i w:val="false"/>
            <w:color w:val="000000"/>
            <w:sz w:val="22"/>
          </w:rPr>
          <w:t>5.33(7)</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“1” if the commissioner finds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More than 15 percent of the certified reinsurer’s ceding insurance clients have overdue reinsurance recoverables on paid losses of 90 days or more which are not in dispute and which exceed $100,000 for each cedent;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aggregate amount of reinsurance recoverables on paid losses which are not in dispute that are overdue by 90 days or more exceeds $50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assuming insurer must submit a properly executed Form CR-1 as evidence of its submission to the jurisdiction of this state, appointment of the commissioner as an agent for service of process in this state, and agreement to provide security for 100 percent of the assuming insurer’s liabilities attributable to reinsurance ceded by United States ceding insurers if the assuming insurer resists enforcement of a final United States judgment. The commissioner shall not certify any assuming insurer that is domiciled in a jurisdiction that the commissioner has determined does not adequately and promptly enforce final United States judgments or arbitration awards.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reinsurer must agree to meet applicable information filing requirements as determined by the commissioner, both with respect to an initial application for certification and on an ongoing basis. All information submitted by certified reinsurers which is not otherwise public information subject to disclosure shall be exempted from disclosure under Iowa Code chapter </w:t>
      </w:r>
      <w:hyperlink r:id="rId9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shall be withheld from public disclosure. The applicable information filing requirements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Notification within ten days of any regulatory actions taken against the certified reinsurer, any change in the provisions of its domiciliary license or any change in rating by an approved rating agency, including a statement describing such changes and the reasons therefor.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Annually, Form CR-F or CR-S,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Annually, the report of the independent auditor on the financial statements of the insurance enterprise, on the basis described in </w:t>
      </w:r>
      <w:hyperlink r:id="rId99">
        <w:r>
          <w:rPr>
            <w:rStyle w:val="Hyperlink"/>
            <w:rFonts w:ascii="Times New Roman" w:hAnsi="Times New Roman"/>
            <w:b w:val="false"/>
            <w:i w:val="false"/>
            <w:color w:val="000000"/>
            <w:sz w:val="22"/>
          </w:rPr>
          <w:t>paragraph 5.33(7)</w:t>
        </w:r>
      </w:hyperlink>
      <w:r>
        <w:rPr>
          <w:rFonts w:ascii="Times New Roman" w:hAnsi="Times New Roman"/>
          <w:b w:val="false"/>
          <w:i/>
          <w:color w:val="000000"/>
          <w:sz w:val="22"/>
        </w:rPr>
        <w:t>“b”</w:t>
      </w:r>
      <w:r>
        <w:rPr>
          <w:rFonts w:ascii="Times New Roman" w:hAnsi="Times New Roman"/>
          <w:b w:val="false"/>
          <w:i w:val="false"/>
          <w:color w:val="000000"/>
          <w:sz w:val="22"/>
        </w:rPr>
        <w:t>(7)“4.”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Annually, the most recent audited financial statements, regulatory filings, and actuarial opinion (as filed with the certified reinsurer’s supervisor, with a translation into English). Upon the initial certification, audited financial statements for the last two years filed with the certified reinsurer’s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At least annually, an updated list of all disputed and overdue reinsurance claims regarding reinsurance assumed from United States domestic ceding insurers.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certification from the certified reinsurer’s domestic regulator that the certified reinsurer is in good standing and maintains capital in excess of the jurisdiction’s highest regulatory action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other information that the commissioner may reasonably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Change in rating or revocation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downgrade by a rating agency or other disqualifying circumstance, the commissioner shall upon written notice assign a new rating to the certified reinsurer in accordance with the requirements of </w:t>
      </w:r>
      <w:hyperlink r:id="rId100">
        <w:r>
          <w:rPr>
            <w:rStyle w:val="Hyperlink"/>
            <w:rFonts w:ascii="Times New Roman" w:hAnsi="Times New Roman"/>
            <w:b w:val="false"/>
            <w:i w:val="false"/>
            <w:color w:val="000000"/>
            <w:sz w:val="22"/>
          </w:rPr>
          <w:t>paragraph 5.33(7)</w:t>
        </w:r>
      </w:hyperlink>
      <w:r>
        <w:rPr>
          <w:rFonts w:ascii="Times New Roman" w:hAnsi="Times New Roman"/>
          <w:b w:val="false"/>
          <w:i/>
          <w:color w:val="000000"/>
          <w:sz w:val="22"/>
        </w:rPr>
        <w:t>“b”</w:t>
      </w:r>
      <w:r>
        <w:rPr>
          <w:rFonts w:ascii="Times New Roman" w:hAnsi="Times New Roman"/>
          <w:b w:val="false"/>
          <w:i w:val="false"/>
          <w:color w:val="000000"/>
          <w:sz w:val="22"/>
        </w:rPr>
        <w:t>(4)“1.”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have the authority to suspend, revoke, or otherwise modify a certified reinsurer’s certification at any time if the certified reinsurer fails to meet its obligations or security requirements under this subrule, or if other financial or operating results of the certified reinsurer, or documented significant delays in payment by the certified reinsurer, lead the commissioner to reconsider the certified reinsurer’s ability or willingness to meet its contractual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rating of a certified reinsurer is upgraded by the commissioner, the certified reinsurer may meet the security requirements applicable to its new rating on a prospective basis, but the commissioner shall require the certified reinsurer to post security under the previously applicable security requirements as to all contracts in force on or before the effective date of the upgraded rating. If the rating of a certified reinsurer is downgraded by the commissioner, the commissioner shall require the certified reinsurer to meet the security requirements applicable to its new rating for all business it has assumed as a certified reinsurer.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revocation of the certification of a certified reinsurer by the commissioner, the assuming insurer shall be required to post security in accordance with subrule </w:t>
      </w:r>
      <w:hyperlink r:id="rId101">
        <w:r>
          <w:rPr>
            <w:rStyle w:val="Hyperlink"/>
            <w:rFonts w:ascii="Times New Roman" w:hAnsi="Times New Roman"/>
            <w:b w:val="false"/>
            <w:i w:val="false"/>
            <w:color w:val="000000"/>
            <w:sz w:val="22"/>
          </w:rPr>
          <w:t>5.33(10)</w:t>
        </w:r>
      </w:hyperlink>
      <w:r>
        <w:rPr>
          <w:rFonts w:ascii="Times New Roman" w:hAnsi="Times New Roman"/>
          <w:b w:val="false"/>
          <w:i w:val="false"/>
          <w:color w:val="000000"/>
          <w:sz w:val="22"/>
        </w:rPr>
        <w:t xml:space="preserve"> of this rule in order for the ceding insurer to continue to take credit for reinsurance ceded to the assuming insurer. If funds continue to be held in trust in accordance with </w:t>
      </w:r>
      <w:hyperlink r:id="rId102">
        <w:r>
          <w:rPr>
            <w:rStyle w:val="Hyperlink"/>
            <w:rFonts w:ascii="Times New Roman" w:hAnsi="Times New Roman"/>
            <w:b w:val="false"/>
            <w:i w:val="false"/>
            <w:color w:val="000000"/>
            <w:sz w:val="22"/>
          </w:rPr>
          <w:t>subrule 5.33(6)</w:t>
        </w:r>
      </w:hyperlink>
      <w:r>
        <w:rPr>
          <w:rFonts w:ascii="Times New Roman" w:hAnsi="Times New Roman"/>
          <w:b w:val="false"/>
          <w:i w:val="false"/>
          <w:color w:val="000000"/>
          <w:sz w:val="22"/>
        </w:rPr>
        <w:t xml:space="preserve"> of this rule, the commissioner may allow additional credit equal to the ceding insurer’s pro rata share of such funds, discounted to reflect the risk of uncollectibility and anticipated expenses of trust administration. Notwithstanding the change of a certified reinsurer’s rating or revocation of its certification, a domestic insurer that has ceded reinsurance to that certified reinsurer may not be denied credit for reinsurance for a period of three months for all reinsurance ceded to that certified reinsurer, unless the reinsurance is found by the commissioner to be at high risk of uncollectibility.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Qualified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upon conducting an evaluation under this subrule with respect to the reinsurance supervisory system of any non-United States assuming insurer, the commissioner determines that the jurisdiction qualifies to be recognized as a qualified jurisdiction, the commissioner shall publish notice and evidence of such recognition in an appropriate manner. The commissioner may establish a procedure to withdraw recognition of those jurisdictions that are no longer 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determine whether the domiciliary jurisdiction of a non-United States assuming insurer is eligible to be recognized as a qualified jurisdiction, the commissioner shall evaluate the reinsurance supervisory system of the non-United States jurisdiction, both initially and on an ongoing basis, and consider the rights, benefits and the extent of reciprocal recognition afforded by the non-United States jurisdiction to reinsurers licensed and domiciled in the United States. The commissioner shall determine the appropriate approach for evaluating the qualifications of such jurisdictions, and create and publish a list of jurisdictions whose reinsurers may be approved by the commissioner as eligible for certification. A qualified jurisdiction must agree to share information and cooperate with the commissioner with respect to all certified reinsurers domiciled within that jurisdiction. Additional factors to be considered in determining whether to recognize a qualified jurisdiction, in the discretion of the commissioner, include but are not limited to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framework under which the assuming insurer is regulated.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structure and authority of the domiciliary regulator with regard to solvency regulation requirements and financial surveillance.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substance of financial and operating standards for assuming insurers in the domiciliary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form and substance of financial reports required to be filed or made publicly available by reinsurers in the domiciliary jurisdiction and the accounting principles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domiciliary regulator’s willingness to cooperate with United States regulators in general and the commissioner in particular.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history of performance by assuming insurers in the domiciliary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documented evidence of substantial problems with the enforcement of final United States judgments in the domiciliary jurisdiction. A jurisdiction will not be considered to be a qualified jurisdiction if the commissioner has determined that it does not adequately and promptly enforce final United States judgments or arbitration awards.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relevant international standards or guidance with respect to mutual recognition of reinsurance supervision adopted by the International Association of Insurance Supervisors or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list of qualified jurisdictions shall be published through the NAIC committee process. The commissioner shall consider this list in determining qualified jurisdictions. If the commissioner approves a jurisdiction as qualified that does not appear on the list of qualified jurisdictions, the commissioner shall provide thoroughly documented justification with respect to the criteria provided under paragraphs </w:t>
      </w:r>
      <w:hyperlink r:id="rId103">
        <w:r>
          <w:rPr>
            <w:rStyle w:val="Hyperlink"/>
            <w:rFonts w:ascii="Times New Roman" w:hAnsi="Times New Roman"/>
            <w:b w:val="false"/>
            <w:i w:val="false"/>
            <w:color w:val="000000"/>
            <w:sz w:val="22"/>
          </w:rPr>
          <w:t>5.33(7)</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“1” to “9.”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United States jurisdictions that meet the requirements for accreditation under the NAIC Financial Standards and Accreditation Program shall be recognized as qualified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Recognition of certification issued by an NAIC-accredited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 applicant for certification has been certified as a reinsurer in an NAIC-accredited jurisdiction, the commissioner has the discretion to defer to that jurisdiction’s certification, and to defer to the rating assigned by that jurisdiction, if the assuming insurer submits a properly executed Form CR-1 and such additional information as the commissioner requires. The assuming insurer shall be considered to be a certified reinsurer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change in the certified reinsurer’s status or rating in the other jurisdiction shall apply automatically in this state as of the date it takes effect in the other jurisdiction. The certified reinsurer shall notify the commissioner of any change in its status or rating within ten days after receiving notice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withdraw recognition of the other jurisdiction’s rating at any time and assign a new rating in accordance with paragraph </w:t>
      </w:r>
      <w:hyperlink r:id="rId104">
        <w:r>
          <w:rPr>
            <w:rStyle w:val="Hyperlink"/>
            <w:rFonts w:ascii="Times New Roman" w:hAnsi="Times New Roman"/>
            <w:b w:val="false"/>
            <w:i w:val="false"/>
            <w:color w:val="000000"/>
            <w:sz w:val="22"/>
          </w:rPr>
          <w:t>5.33(7)</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withdraw recognition of the other jurisdiction’s certification at any time, with written notice to the certified reinsurer. Unless the commissioner suspends or revokes the certified reinsurer’s certification in accordance with paragraph </w:t>
      </w:r>
      <w:hyperlink r:id="rId105">
        <w:r>
          <w:rPr>
            <w:rStyle w:val="Hyperlink"/>
            <w:rFonts w:ascii="Times New Roman" w:hAnsi="Times New Roman"/>
            <w:b w:val="false"/>
            <w:i w:val="false"/>
            <w:color w:val="000000"/>
            <w:sz w:val="22"/>
          </w:rPr>
          <w:t>5.33(7)</w:t>
        </w:r>
        <w:r>
          <w:rPr>
            <w:rFonts w:ascii="Times New Roman" w:hAnsi="Times New Roman"/>
            <w:b w:val="false"/>
            <w:i/>
            <w:color w:val="000000"/>
            <w:sz w:val="22"/>
          </w:rPr>
          <w:t>“b”</w:t>
        </w:r>
        <w:r>
          <w:rPr>
            <w:rFonts w:ascii="Times New Roman" w:hAnsi="Times New Roman"/>
            <w:b w:val="false"/>
            <w:i w:val="false"/>
            <w:color w:val="000000"/>
            <w:sz w:val="22"/>
          </w:rPr>
          <w:t>(7)</w:t>
        </w:r>
      </w:hyperlink>
      <w:r>
        <w:rPr>
          <w:rFonts w:ascii="Times New Roman" w:hAnsi="Times New Roman"/>
          <w:b w:val="false"/>
          <w:i w:val="false"/>
          <w:color w:val="000000"/>
          <w:sz w:val="22"/>
        </w:rPr>
        <w:t>“2,” the certified reinsurer’s certification shall remain in good standing in this state for a period of three months, which shall be extended if additional time is necessary to consider the assuming insurer’s application for certification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Mandatory funding clause. In addition to the clauses required under subrule </w:t>
      </w:r>
      <w:hyperlink r:id="rId106">
        <w:r>
          <w:rPr>
            <w:rStyle w:val="Hyperlink"/>
            <w:rFonts w:ascii="Times New Roman" w:hAnsi="Times New Roman"/>
            <w:b w:val="false"/>
            <w:i w:val="false"/>
            <w:color w:val="000000"/>
            <w:sz w:val="22"/>
          </w:rPr>
          <w:t>5.33(14)</w:t>
        </w:r>
      </w:hyperlink>
      <w:r>
        <w:rPr>
          <w:rFonts w:ascii="Times New Roman" w:hAnsi="Times New Roman"/>
          <w:b w:val="false"/>
          <w:i w:val="false"/>
          <w:color w:val="000000"/>
          <w:sz w:val="22"/>
        </w:rPr>
        <w:t xml:space="preserve"> of this rule, reinsurance contracts entered into or renewed under this subrule shall include a proper funding clause, which requires the certified reinsurer to provide and maintain security in an amount sufficient to avoid the imposition of any financial statement penalty on the ceding insurer under this subrule for reinsurance ceded to the certified reinsurer.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comply with all reporting and notification requirements that may be established by the NAIC with respect to certified reinsurers and qualified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5.33(8)</w:t>
      </w:r>
      <w:r>
        <w:rPr>
          <w:rFonts w:ascii="Times New Roman" w:hAnsi="Times New Roman"/>
          <w:b w:val="false"/>
          <w:i w:val="false"/>
          <w:color w:val="000000"/>
          <w:sz w:val="22"/>
        </w:rPr>
        <w:t> </w:t>
      </w:r>
      <w:r>
        <w:rPr>
          <w:rFonts w:ascii="Times New Roman" w:hAnsi="Times New Roman"/>
          <w:b w:val="false"/>
          <w:i/>
          <w:color w:val="000000"/>
          <w:sz w:val="22"/>
        </w:rPr>
        <w:t xml:space="preserve">Credit for reinsurance—reciprocal jurisdictions.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07">
        <w:r>
          <w:rPr>
            <w:rStyle w:val="Hyperlink"/>
            <w:rFonts w:ascii="Times New Roman" w:hAnsi="Times New Roman"/>
            <w:b w:val="false"/>
            <w:i w:val="false"/>
            <w:color w:val="000000"/>
            <w:sz w:val="22"/>
          </w:rPr>
          <w:t>521B.102</w:t>
        </w:r>
      </w:hyperlink>
      <w:r>
        <w:rPr>
          <w:rFonts w:ascii="Times New Roman" w:hAnsi="Times New Roman"/>
          <w:b w:val="false"/>
          <w:i w:val="false"/>
          <w:color w:val="000000"/>
          <w:sz w:val="22"/>
        </w:rPr>
        <w:t>(5A), the commissioner shall allow credit for reinsurance ceded by a domestic insurer to an assuming insurer that is licensed to write reinsurance by, and has its head office or is domiciled in, a reciprocal jurisdiction, and which meets the other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“reciprocal jurisdiction” is a jurisdiction, as designated by the commissioner pursuant to </w:t>
      </w:r>
      <w:hyperlink r:id="rId108">
        <w:r>
          <w:rPr>
            <w:rStyle w:val="Hyperlink"/>
            <w:rFonts w:ascii="Times New Roman" w:hAnsi="Times New Roman"/>
            <w:b w:val="false"/>
            <w:i w:val="false"/>
            <w:color w:val="000000"/>
            <w:sz w:val="22"/>
          </w:rPr>
          <w:t>paragraph 5.33(8)</w:t>
        </w:r>
      </w:hyperlink>
      <w:r>
        <w:rPr>
          <w:rFonts w:ascii="Times New Roman" w:hAnsi="Times New Roman"/>
          <w:b w:val="false"/>
          <w:i/>
          <w:color w:val="000000"/>
          <w:sz w:val="22"/>
        </w:rPr>
        <w:t>“d,”</w:t>
      </w:r>
      <w:r>
        <w:rPr>
          <w:rFonts w:ascii="Times New Roman" w:hAnsi="Times New Roman"/>
          <w:b w:val="false"/>
          <w:i w:val="false"/>
          <w:color w:val="000000"/>
          <w:sz w:val="22"/>
        </w:rPr>
        <w:t xml:space="preserve"> that meets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non-U.S. jurisdiction that is subject to an in-force covered agreement with the United States, each within its legal authority, or, in the case of a covered agreement between the United States and the European Union, is a member state of the European Union. For the purposes of this subrule, a “covered agreement” is an agreement entered into pursuant to the Dodd-Frank Wall Street Reform and Consumer Protection Act, </w:t>
      </w:r>
      <w:r>
        <w:rPr>
          <w:rFonts w:ascii="Times New Roman" w:hAnsi="Times New Roman"/>
          <w:b w:val="false"/>
          <w:i w:val="false"/>
          <w:color w:val="000000"/>
          <w:sz w:val="22"/>
        </w:rPr>
        <w:t>31 U.S.C.</w:t>
      </w:r>
      <w:r>
        <w:rPr>
          <w:rFonts w:ascii="Times New Roman" w:hAnsi="Times New Roman"/>
          <w:b w:val="false"/>
          <w:i w:val="false"/>
          <w:color w:val="000000"/>
          <w:sz w:val="22"/>
        </w:rPr>
        <w:t xml:space="preserve"> Sections 313 and 314, that is currently in effect or in a period of provisional application and addresses the elimination, under specified conditions, of collateral requirements as a condition for entering into any reinsurance agreement with a ceding insurer domiciled in this state or for allowing the ceding insurer to recognize credit for reinsurance.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U.S. jurisdiction that meets the requirements for accreditation under the NAIC financial standards and accreditation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jurisdiction, as determined by the commissioner pursuant to Iowa Code section </w:t>
      </w:r>
      <w:hyperlink r:id="rId109">
        <w:r>
          <w:rPr>
            <w:rStyle w:val="Hyperlink"/>
            <w:rFonts w:ascii="Times New Roman" w:hAnsi="Times New Roman"/>
            <w:b w:val="false"/>
            <w:i w:val="false"/>
            <w:color w:val="000000"/>
            <w:sz w:val="22"/>
          </w:rPr>
          <w:t>521B.102(5)</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paragraph 5.33(7)</w:t>
        </w:r>
      </w:hyperlink>
      <w:r>
        <w:rPr>
          <w:rFonts w:ascii="Times New Roman" w:hAnsi="Times New Roman"/>
          <w:b w:val="false"/>
          <w:i/>
          <w:color w:val="000000"/>
          <w:sz w:val="22"/>
        </w:rPr>
        <w:t>“c,”</w:t>
      </w:r>
      <w:r>
        <w:rPr>
          <w:rFonts w:ascii="Times New Roman" w:hAnsi="Times New Roman"/>
          <w:b w:val="false"/>
          <w:i w:val="false"/>
          <w:color w:val="000000"/>
          <w:sz w:val="22"/>
        </w:rPr>
        <w:t xml:space="preserve"> which is not otherwise described in </w:t>
      </w:r>
      <w:hyperlink r:id="rId111">
        <w:r>
          <w:rPr>
            <w:rStyle w:val="Hyperlink"/>
            <w:rFonts w:ascii="Times New Roman" w:hAnsi="Times New Roman"/>
            <w:b w:val="false"/>
            <w:i w:val="false"/>
            <w:color w:val="000000"/>
            <w:sz w:val="22"/>
          </w:rPr>
          <w:t>subparagraph 5.33(8)</w:t>
        </w:r>
      </w:hyperlink>
      <w:r>
        <w:rPr>
          <w:rFonts w:ascii="Times New Roman" w:hAnsi="Times New Roman"/>
          <w:b w:val="false"/>
          <w:i/>
          <w:color w:val="000000"/>
          <w:sz w:val="22"/>
        </w:rPr>
        <w:t>“b”</w:t>
      </w:r>
      <w:r>
        <w:rPr>
          <w:rFonts w:ascii="Times New Roman" w:hAnsi="Times New Roman"/>
          <w:b w:val="false"/>
          <w:i w:val="false"/>
          <w:color w:val="000000"/>
          <w:sz w:val="22"/>
        </w:rPr>
        <w:t>(1) or (2) and which the commissioner determines meets all of the following additional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Provides that an insurer which has its head office or is domiciled in such qualified jurisdiction shall receive credit for reinsurance ceded to a U.S.-domiciled assuming insurer in the same manner as credit for reinsurance is received for reinsurance assumed by insurers domiciled in such qualified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require a U.S.-domiciled assuming insurer to establish or maintain a local presence as a condition for entering into a reinsurance agreement with any ceding insurer subject to regulation by the non-U.S. jurisdiction or as a condition to allow the ceding insurer to recognize credit for such reinsurance.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Recognizes the U.S. state regulatory approach to group supervision and group capital, by providing written confirmation by a competent regulatory authority, in such qualified jurisdiction, that insurers and insurance groups that are domiciled or maintain their headquarters in this state or another jurisdiction accredited by the NAIC shall be subject only to worldwide prudential insurance group supervision including worldwide group governance, solvency and capital, and reporting, as applicable, by the commissioner or the commissioner of the domiciliary state and will not be subject to group supervision at the level of the worldwide parent undertaking of the insurance or reinsurance group by the qualified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Provides written confirmation by a competent regulatory authority in such qualified jurisdiction that information regarding insurers and their parent, subsidiary, or affiliated entities, if applicable, shall be provided to the commissioner in accordance with a memorandum of understanding or similar document between the commissioner and such qualified jurisdiction, including but not limited to the International Association of Insurance Supervisors Multilateral Memorandum of Understanding or other multilateral memoranda of understanding coordinated by the NAIC.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Credit shall be allowed when the reinsurance is ceded from an insurer domiciled in this state to an assuming insurer meeting each of the conditions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assuming insurer must be licensed to transact reinsurance by, and have its head office or be domiciled in, a reciprocal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assuming insurer must have and maintain on an ongoing basis minimum capital and surplus, or its equivalent, calculated on at least an annual basis as of the preceding December 31 or at the annual date otherwise statutorily reported to the reciprocal jurisdiction, and confirmed as set forth in </w:t>
      </w:r>
      <w:hyperlink r:id="rId112">
        <w:r>
          <w:rPr>
            <w:rStyle w:val="Hyperlink"/>
            <w:rFonts w:ascii="Times New Roman" w:hAnsi="Times New Roman"/>
            <w:b w:val="false"/>
            <w:i w:val="false"/>
            <w:color w:val="000000"/>
            <w:sz w:val="22"/>
          </w:rPr>
          <w:t>subparagraph 5.33(8)</w:t>
        </w:r>
      </w:hyperlink>
      <w:r>
        <w:rPr>
          <w:rFonts w:ascii="Times New Roman" w:hAnsi="Times New Roman"/>
          <w:b w:val="false"/>
          <w:i/>
          <w:color w:val="000000"/>
          <w:sz w:val="22"/>
        </w:rPr>
        <w:t>“c”</w:t>
      </w:r>
      <w:r>
        <w:rPr>
          <w:rFonts w:ascii="Times New Roman" w:hAnsi="Times New Roman"/>
          <w:b w:val="false"/>
          <w:i w:val="false"/>
          <w:color w:val="000000"/>
          <w:sz w:val="22"/>
        </w:rPr>
        <w:t>(7) according to the methodology of its domiciliary jurisdiction, in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less than $250 million;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assuming insurer is an association, including incorporated and individual unincorporated underwriters, meets both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Minimum capital and surplus equivalents (net of liabilities) or own funds of the equivalent of at least $250 million.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central fund containing a balance of the equivalent of at least $250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assuming insurer must have and maintain on an ongoing basis a minimum solvency or capital ratio, as applicable,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assuming insurer has its head office or is domiciled in a reciprocal jurisdiction as defined in </w:t>
      </w:r>
      <w:hyperlink r:id="rId113">
        <w:r>
          <w:rPr>
            <w:rStyle w:val="Hyperlink"/>
            <w:rFonts w:ascii="Times New Roman" w:hAnsi="Times New Roman"/>
            <w:b w:val="false"/>
            <w:i w:val="false"/>
            <w:color w:val="000000"/>
            <w:sz w:val="22"/>
          </w:rPr>
          <w:t>subparagraph 5.33(8)</w:t>
        </w:r>
      </w:hyperlink>
      <w:r>
        <w:rPr>
          <w:rFonts w:ascii="Times New Roman" w:hAnsi="Times New Roman"/>
          <w:b w:val="false"/>
          <w:i/>
          <w:color w:val="000000"/>
          <w:sz w:val="22"/>
        </w:rPr>
        <w:t>“b”</w:t>
      </w:r>
      <w:r>
        <w:rPr>
          <w:rFonts w:ascii="Times New Roman" w:hAnsi="Times New Roman"/>
          <w:b w:val="false"/>
          <w:i w:val="false"/>
          <w:color w:val="000000"/>
          <w:sz w:val="22"/>
        </w:rPr>
        <w:t>(1), the ratio specified in the applicable covered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assuming insurer is domiciled in a reciprocal jurisdiction as defined in </w:t>
      </w:r>
      <w:hyperlink r:id="rId114">
        <w:r>
          <w:rPr>
            <w:rStyle w:val="Hyperlink"/>
            <w:rFonts w:ascii="Times New Roman" w:hAnsi="Times New Roman"/>
            <w:b w:val="false"/>
            <w:i w:val="false"/>
            <w:color w:val="000000"/>
            <w:sz w:val="22"/>
          </w:rPr>
          <w:t>subparagraph 5.33(8)</w:t>
        </w:r>
      </w:hyperlink>
      <w:r>
        <w:rPr>
          <w:rFonts w:ascii="Times New Roman" w:hAnsi="Times New Roman"/>
          <w:b w:val="false"/>
          <w:i/>
          <w:color w:val="000000"/>
          <w:sz w:val="22"/>
        </w:rPr>
        <w:t>“b”</w:t>
      </w:r>
      <w:r>
        <w:rPr>
          <w:rFonts w:ascii="Times New Roman" w:hAnsi="Times New Roman"/>
          <w:b w:val="false"/>
          <w:i w:val="false"/>
          <w:color w:val="000000"/>
          <w:sz w:val="22"/>
        </w:rPr>
        <w:t>(2), a risk-based capital (RBC) ratio of 300 percent of the authorized control level, calculated in accordance with the formula developed by the NAIC.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assuming insurer is domiciled in a reciprocal jurisdiction as defined in </w:t>
      </w:r>
      <w:hyperlink r:id="rId115">
        <w:r>
          <w:rPr>
            <w:rStyle w:val="Hyperlink"/>
            <w:rFonts w:ascii="Times New Roman" w:hAnsi="Times New Roman"/>
            <w:b w:val="false"/>
            <w:i w:val="false"/>
            <w:color w:val="000000"/>
            <w:sz w:val="22"/>
          </w:rPr>
          <w:t>subparagraph 5.33(8)</w:t>
        </w:r>
      </w:hyperlink>
      <w:r>
        <w:rPr>
          <w:rFonts w:ascii="Times New Roman" w:hAnsi="Times New Roman"/>
          <w:b w:val="false"/>
          <w:i/>
          <w:color w:val="000000"/>
          <w:sz w:val="22"/>
        </w:rPr>
        <w:t>“b”</w:t>
      </w:r>
      <w:r>
        <w:rPr>
          <w:rFonts w:ascii="Times New Roman" w:hAnsi="Times New Roman"/>
          <w:b w:val="false"/>
          <w:i w:val="false"/>
          <w:color w:val="000000"/>
          <w:sz w:val="22"/>
        </w:rPr>
        <w:t>(3), after consultation with the reciprocal jurisdiction and considering any recommendations published through the NAIC Committee Process, such solvency or capital ratio as the commissioner determines to be an effective measure of solvency.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assuming insurer must agree to and provide adequate assurance, in the form of a properly executed Certificate of Reinsurer Domiciled in Reciprocal Jurisdiction Form RJ-1, of its agreement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assuming insurer must agree to provide prompt written notice and explanation to the commissioner if it falls below the minimum requirements set forth in </w:t>
      </w:r>
      <w:hyperlink r:id="rId116">
        <w:r>
          <w:rPr>
            <w:rStyle w:val="Hyperlink"/>
            <w:rFonts w:ascii="Times New Roman" w:hAnsi="Times New Roman"/>
            <w:b w:val="false"/>
            <w:i w:val="false"/>
            <w:color w:val="000000"/>
            <w:sz w:val="22"/>
          </w:rPr>
          <w:t>subparagraph 5.33(8)</w:t>
        </w:r>
      </w:hyperlink>
      <w:r>
        <w:rPr>
          <w:rFonts w:ascii="Times New Roman" w:hAnsi="Times New Roman"/>
          <w:b w:val="false"/>
          <w:i/>
          <w:color w:val="000000"/>
          <w:sz w:val="22"/>
        </w:rPr>
        <w:t>“c”</w:t>
      </w:r>
      <w:r>
        <w:rPr>
          <w:rFonts w:ascii="Times New Roman" w:hAnsi="Times New Roman"/>
          <w:b w:val="false"/>
          <w:i w:val="false"/>
          <w:color w:val="000000"/>
          <w:sz w:val="22"/>
        </w:rPr>
        <w:t>(2) or (3), or if any regulatory action is taken against it for serious noncompliance with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assuming insurer must consent in writing to the jurisdiction of the courts in this state and to the appointment of the commissioner as agent for service of process.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commissioner may also require that such consent be provided and included in each reinsurance agreement under the commissioner’s jurisdiction.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Nothing in this provision shall limit or in any way alter the capacity of parties to a reinsurance agreement to agree to alternative dispute resolution mechanisms, except to the extent such agreements are unenforceable under applicable insolvency or delinquency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assuming insurer must consent in writing to pay all final judgments, wherever enforcement is sought, obtained by a ceding insurer, that have been declared enforceable in the territory where the judgment was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reinsurance agreement must include a provision requiring the assuming insurer to provide security in an amount equal to 100 percent of the assuming insurer’s liabilities attributable to reinsurance ceded pursuant to that agreement if the assuming insurer resists enforcement of a final judgment that is enforceable under the law of the jurisdiction in which it was obtained or a properly enforceable arbitration award, whether obtained by the ceding insurer or by its legal successor on behalf of its estate,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assuming insurer must confirm that it is not presently participating in any solvent scheme of arrangement, which involves this state’s ceding insurers, and agrees to notify the ceding insurer and the commissioner and to provide 100 percent security to the ceding insurer consistent with the terms of the scheme, should the assuming insurer enter into such a solvent scheme of arrangement. Such security shall be in a form consistent with the provisions of Iowa Code section </w:t>
      </w:r>
      <w:hyperlink r:id="rId117">
        <w:r>
          <w:rPr>
            <w:rStyle w:val="Hyperlink"/>
            <w:rFonts w:ascii="Times New Roman" w:hAnsi="Times New Roman"/>
            <w:b w:val="false"/>
            <w:i w:val="false"/>
            <w:color w:val="000000"/>
            <w:sz w:val="22"/>
          </w:rPr>
          <w:t>521B.103</w:t>
        </w:r>
      </w:hyperlink>
      <w:r>
        <w:rPr>
          <w:rFonts w:ascii="Times New Roman" w:hAnsi="Times New Roman"/>
          <w:b w:val="false"/>
          <w:i w:val="false"/>
          <w:color w:val="000000"/>
          <w:sz w:val="22"/>
        </w:rPr>
        <w:t xml:space="preserve"> and </w:t>
      </w:r>
      <w:hyperlink r:id="rId118">
        <w:r>
          <w:rPr>
            <w:rStyle w:val="Hyperlink"/>
            <w:rFonts w:ascii="Times New Roman" w:hAnsi="Times New Roman"/>
            <w:b w:val="false"/>
            <w:i w:val="false"/>
            <w:color w:val="000000"/>
            <w:sz w:val="22"/>
          </w:rPr>
          <w:t>subrules 5.33(11)</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5.33(12)</w:t>
        </w:r>
      </w:hyperlink>
      <w:r>
        <w:rPr>
          <w:rFonts w:ascii="Times New Roman" w:hAnsi="Times New Roman"/>
          <w:b w:val="false"/>
          <w:i w:val="false"/>
          <w:color w:val="000000"/>
          <w:sz w:val="22"/>
        </w:rPr>
        <w:t xml:space="preserve"> and </w:t>
      </w:r>
      <w:hyperlink r:id="rId120">
        <w:r>
          <w:rPr>
            <w:rStyle w:val="Hyperlink"/>
            <w:rFonts w:ascii="Times New Roman" w:hAnsi="Times New Roman"/>
            <w:b w:val="false"/>
            <w:i w:val="false"/>
            <w:color w:val="000000"/>
            <w:sz w:val="22"/>
          </w:rPr>
          <w:t>5.33(13)</w:t>
        </w:r>
      </w:hyperlink>
      <w:r>
        <w:rPr>
          <w:rFonts w:ascii="Times New Roman" w:hAnsi="Times New Roman"/>
          <w:b w:val="false"/>
          <w:i w:val="false"/>
          <w:color w:val="000000"/>
          <w:sz w:val="22"/>
        </w:rPr>
        <w:t>. For purposes of this subrule, the term “solvent scheme of arrangement” means a foreign or alien statutory or regulatory compromise procedure subject to requisite majority creditor approval and judicial sanction in the assuming insurer’s home jurisdiction either to finally commute liabilities of duly noticed classed members or creditors of a solvent debtor, or to reorganize or restructure the debts and obligations of a solvent debtor on a final basis, and which may be subject to judicial recognition and enforcement of the arrangement by a governing authority outside the ceding insurer’s home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assuming insurer must agree in writing to meet the applicable information filing requirements as set forth in </w:t>
      </w:r>
      <w:hyperlink r:id="rId121">
        <w:r>
          <w:rPr>
            <w:rStyle w:val="Hyperlink"/>
            <w:rFonts w:ascii="Times New Roman" w:hAnsi="Times New Roman"/>
            <w:b w:val="false"/>
            <w:i w:val="false"/>
            <w:color w:val="000000"/>
            <w:sz w:val="22"/>
          </w:rPr>
          <w:t>subparagraph 5.33(8)</w:t>
        </w:r>
      </w:hyperlink>
      <w:r>
        <w:rPr>
          <w:rFonts w:ascii="Times New Roman" w:hAnsi="Times New Roman"/>
          <w:b w:val="false"/>
          <w:i/>
          <w:color w:val="000000"/>
          <w:sz w:val="22"/>
        </w:rPr>
        <w:t>“c”</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assuming insurer or its legal successor must provide, if required by the commissioner, on behalf of itself and any legal predecessors, the following documentation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two years preceding entry into the reinsurance agreement and on an annual basis thereafter, the assuming insurer’s annual audited financial statements, in accordance with the applicable law of the jurisdiction of its head office or domiciliary jurisdiction, as applicable, including the external audit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two years preceding entry into the reinsurance agreement, the solvency and financial condition report or actuarial opinion, if filed with the assuming insurer’s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to entry into the reinsurance agreement and not more than semi-annually thereafter, an updated list of all disputed and overdue reinsurance claims outstanding for 90 days or more, regarding reinsurance assumed from ceding insurers domiciled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entry into the reinsurance agreement and not more than semi-annually thereafter, information regarding the assuming insurer’s assumed reinsurance by ceding insurer, ceded reinsurance by the assuming insurer, and reinsurance recoverable on paid and unpaid losses by the assuming insurer to allow for the evaluation of the criteria set forth in </w:t>
      </w:r>
      <w:hyperlink r:id="rId122">
        <w:r>
          <w:rPr>
            <w:rStyle w:val="Hyperlink"/>
            <w:rFonts w:ascii="Times New Roman" w:hAnsi="Times New Roman"/>
            <w:b w:val="false"/>
            <w:i w:val="false"/>
            <w:color w:val="000000"/>
            <w:sz w:val="22"/>
          </w:rPr>
          <w:t>subparagraph 5.33(8)</w:t>
        </w:r>
      </w:hyperlink>
      <w:r>
        <w:rPr>
          <w:rFonts w:ascii="Times New Roman" w:hAnsi="Times New Roman"/>
          <w:b w:val="false"/>
          <w:i/>
          <w:color w:val="000000"/>
          <w:sz w:val="22"/>
        </w:rPr>
        <w:t>“c”</w:t>
      </w:r>
      <w:r>
        <w:rPr>
          <w:rFonts w:ascii="Times New Roman" w:hAnsi="Times New Roman"/>
          <w:b w:val="false"/>
          <w:i w:val="false"/>
          <w:color w:val="000000"/>
          <w:sz w:val="22"/>
        </w:rPr>
        <w:t xml:space="preserve">(6).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assuming insurer must maintain a practice of prompt payment of claims under reinsurance agreements. The lack of prompt payment will be evidenced if any of the following criteria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More than 15 percent of the reinsurance recoverable from the assuming insurer is overdue and in dispute as reported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More than 15 percent of the assuming insurer’s ceding insurers or reinsurers have overdue reinsurance recoverable on paid losses of 90 days or more which are not in dispute and which exceed for each ceding insurer $100,000, or as otherwise specified in a covered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aggregate amount of reinsurance recoverable on paid losses which are not in dispute, but are overdue by 90 days or more, exceeds $50 million, or as otherwise specified in a covered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assuming insurer’s supervisory authority must confirm to the commissioner on an annual basis that the assuming insurer complies with the requirements set forth in subparagraphs </w:t>
      </w:r>
      <w:hyperlink r:id="rId123">
        <w:r>
          <w:rPr>
            <w:rStyle w:val="Hyperlink"/>
            <w:rFonts w:ascii="Times New Roman" w:hAnsi="Times New Roman"/>
            <w:b w:val="false"/>
            <w:i w:val="false"/>
            <w:color w:val="000000"/>
            <w:sz w:val="22"/>
          </w:rPr>
          <w:t>5.33(8)</w:t>
        </w:r>
      </w:hyperlink>
      <w:r>
        <w:rPr>
          <w:rFonts w:ascii="Times New Roman" w:hAnsi="Times New Roman"/>
          <w:b w:val="false"/>
          <w:i/>
          <w:color w:val="000000"/>
          <w:sz w:val="22"/>
        </w:rPr>
        <w:t>“c”</w:t>
      </w:r>
      <w:r>
        <w:rPr>
          <w:rFonts w:ascii="Times New Roman" w:hAnsi="Times New Roman"/>
          <w:b w:val="false"/>
          <w:i w:val="false"/>
          <w:color w:val="000000"/>
          <w:sz w:val="22"/>
        </w:rPr>
        <w:t>(2) and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Nothing in this provision precludes an assuming insurer from providing the commissioner with information on a voluntary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timely create and publish a list of reciprocal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list of reciprocal jurisdictions is published through the NAIC committee process. The commissioner’s list shall include any reciprocal jurisdiction as defined under subparagraphs </w:t>
      </w:r>
      <w:hyperlink r:id="rId124">
        <w:r>
          <w:rPr>
            <w:rStyle w:val="Hyperlink"/>
            <w:rFonts w:ascii="Times New Roman" w:hAnsi="Times New Roman"/>
            <w:b w:val="false"/>
            <w:i w:val="false"/>
            <w:color w:val="000000"/>
            <w:sz w:val="22"/>
          </w:rPr>
          <w:t>5.33(8)</w:t>
        </w:r>
      </w:hyperlink>
      <w:r>
        <w:rPr>
          <w:rFonts w:ascii="Times New Roman" w:hAnsi="Times New Roman"/>
          <w:b w:val="false"/>
          <w:i/>
          <w:color w:val="000000"/>
          <w:sz w:val="22"/>
        </w:rPr>
        <w:t>“b”</w:t>
      </w:r>
      <w:r>
        <w:rPr>
          <w:rFonts w:ascii="Times New Roman" w:hAnsi="Times New Roman"/>
          <w:b w:val="false"/>
          <w:i w:val="false"/>
          <w:color w:val="000000"/>
          <w:sz w:val="22"/>
        </w:rPr>
        <w:t>(1) and (2), and shall consider any other reciprocal jurisdiction included on the NAIC list. The commissioner may approve a jurisdiction that does not appear on the NAIC list of reciprocal jurisdictions as provided by applicable law, rule, or in accordance with criteria published through the NAIC committee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remove a jurisdiction from the list of reciprocal jurisdictions upon a determination that the jurisdiction no longer meets one or more of the requirements of a reciprocal jurisdiction, as provided by applicable law, rule, or in accordance with a process published through the NAIC committee process, except that the commissioner shall not remove from the list a reciprocal jurisdiction as defined under subparagraphs </w:t>
      </w:r>
      <w:hyperlink r:id="rId125">
        <w:r>
          <w:rPr>
            <w:rStyle w:val="Hyperlink"/>
            <w:rFonts w:ascii="Times New Roman" w:hAnsi="Times New Roman"/>
            <w:b w:val="false"/>
            <w:i w:val="false"/>
            <w:color w:val="000000"/>
            <w:sz w:val="22"/>
          </w:rPr>
          <w:t>5.33(8)</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(2). Upon removal of a reciprocal jurisdiction from this list credit for reinsurance ceded to an assuming insurer domiciled in that jurisdiction shall be allowed, if otherwise allowed pursuant to Iowa Code chapter </w:t>
      </w:r>
      <w:hyperlink r:id="rId126">
        <w:r>
          <w:rPr>
            <w:rStyle w:val="Hyperlink"/>
            <w:rFonts w:ascii="Times New Roman" w:hAnsi="Times New Roman"/>
            <w:b w:val="false"/>
            <w:i w:val="false"/>
            <w:color w:val="000000"/>
            <w:sz w:val="22"/>
          </w:rPr>
          <w:t>521B</w:t>
        </w:r>
      </w:hyperlink>
      <w:r>
        <w:rPr>
          <w:rFonts w:ascii="Times New Roman" w:hAnsi="Times New Roman"/>
          <w:b w:val="false"/>
          <w:i w:val="false"/>
          <w:color w:val="000000"/>
          <w:sz w:val="22"/>
        </w:rPr>
        <w:t xml:space="preserve"> or rule </w:t>
      </w:r>
      <w:hyperlink r:id="rId127">
        <w:r>
          <w:rPr>
            <w:rStyle w:val="Hyperlink"/>
            <w:rFonts w:ascii="Times New Roman" w:hAnsi="Times New Roman"/>
            <w:b w:val="false"/>
            <w:i w:val="false"/>
            <w:color w:val="000000"/>
            <w:sz w:val="22"/>
          </w:rPr>
          <w:t>191—5.33</w:t>
        </w:r>
      </w:hyperlink>
      <w:r>
        <w:rPr>
          <w:rFonts w:ascii="Times New Roman" w:hAnsi="Times New Roman"/>
          <w:b w:val="false"/>
          <w:i w:val="false"/>
          <w:color w:val="000000"/>
          <w:sz w:val="22"/>
        </w:rPr>
        <w:t>(510).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timely create and publish a list of assuming insurers that have satisfied the conditions set forth in this section and to which cessions shall be granted credit in accordance with this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NAIC-accredited jurisdiction has determined that the conditions set forth in </w:t>
      </w:r>
      <w:hyperlink r:id="rId128">
        <w:r>
          <w:rPr>
            <w:rStyle w:val="Hyperlink"/>
            <w:rFonts w:ascii="Times New Roman" w:hAnsi="Times New Roman"/>
            <w:b w:val="false"/>
            <w:i w:val="false"/>
            <w:color w:val="000000"/>
            <w:sz w:val="22"/>
          </w:rPr>
          <w:t>paragraph 5.33(8)</w:t>
        </w:r>
      </w:hyperlink>
      <w:r>
        <w:rPr>
          <w:rFonts w:ascii="Times New Roman" w:hAnsi="Times New Roman"/>
          <w:b w:val="false"/>
          <w:i/>
          <w:color w:val="000000"/>
          <w:sz w:val="22"/>
        </w:rPr>
        <w:t>“c”</w:t>
      </w:r>
      <w:r>
        <w:rPr>
          <w:rFonts w:ascii="Times New Roman" w:hAnsi="Times New Roman"/>
          <w:b w:val="false"/>
          <w:i w:val="false"/>
          <w:color w:val="000000"/>
          <w:sz w:val="22"/>
        </w:rPr>
        <w:t xml:space="preserve"> have been met, the commissioner has the discretion to defer to that jurisdiction’s determination, and add such assuming insurer to the list of assuming insurers to which cessions shall be granted credit in accordance with this subrule. The commissioner may accept financial documentation filed with another NAIC-accredited jurisdiction or with the NAIC in satisfaction of the requirements of </w:t>
      </w:r>
      <w:hyperlink r:id="rId129">
        <w:r>
          <w:rPr>
            <w:rStyle w:val="Hyperlink"/>
            <w:rFonts w:ascii="Times New Roman" w:hAnsi="Times New Roman"/>
            <w:b w:val="false"/>
            <w:i w:val="false"/>
            <w:color w:val="000000"/>
            <w:sz w:val="22"/>
          </w:rPr>
          <w:t>paragraph 5.33(8)</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requesting that the commissioner defer to another NAIC-accredited jurisdiction’s determination, an assuming insurer must submit a properly executed Form RJ-1 and additional information as the commissioner may require. A state that has received such a request will notify other states through the NAIC committee process and provide relevant information with respect to the determination of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commissioner determines that an assuming insurer no longer meets one or more of the requirements under this section, the commissioner may revoke or suspend the eligibility of the assuming insurer for recognition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While an assuming insurer’s eligibility is suspended, no reinsurance agreement issued, amended or renewed after the effective date of the suspension qualifies for credit except to the extent that the assuming insurer’s obligations under the contract are secured in accordance with </w:t>
      </w:r>
      <w:hyperlink r:id="rId130">
        <w:r>
          <w:rPr>
            <w:rStyle w:val="Hyperlink"/>
            <w:rFonts w:ascii="Times New Roman" w:hAnsi="Times New Roman"/>
            <w:b w:val="false"/>
            <w:i w:val="false"/>
            <w:color w:val="000000"/>
            <w:sz w:val="22"/>
          </w:rPr>
          <w:t>subrule 5.33(10)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assuming insurer’s eligibility is revoked, no credit for reinsurance may be granted after the effective date of the revocation with respect to any reinsurance agreements entered into by the assuming insurer, including reinsurance agreements entered into prior to the date of revocation, except to the extent that the assuming insurer’s obligations under the contract are secured in a form acceptable to the commissioner and consistent with the provisions of </w:t>
      </w:r>
      <w:hyperlink r:id="rId131">
        <w:r>
          <w:rPr>
            <w:rStyle w:val="Hyperlink"/>
            <w:rFonts w:ascii="Times New Roman" w:hAnsi="Times New Roman"/>
            <w:b w:val="false"/>
            <w:i w:val="false"/>
            <w:color w:val="000000"/>
            <w:sz w:val="22"/>
          </w:rPr>
          <w:t>subrule 5.33(10)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denying statement credit or imposing a requirement to post security with respect to </w:t>
      </w:r>
      <w:hyperlink r:id="rId132">
        <w:r>
          <w:rPr>
            <w:rStyle w:val="Hyperlink"/>
            <w:rFonts w:ascii="Times New Roman" w:hAnsi="Times New Roman"/>
            <w:b w:val="false"/>
            <w:i w:val="false"/>
            <w:color w:val="000000"/>
            <w:sz w:val="22"/>
          </w:rPr>
          <w:t>paragraph 5.33(8)</w:t>
        </w:r>
      </w:hyperlink>
      <w:r>
        <w:rPr>
          <w:rFonts w:ascii="Times New Roman" w:hAnsi="Times New Roman"/>
          <w:b w:val="false"/>
          <w:i/>
          <w:color w:val="000000"/>
          <w:sz w:val="22"/>
        </w:rPr>
        <w:t>“f”</w:t>
      </w:r>
      <w:r>
        <w:rPr>
          <w:rFonts w:ascii="Times New Roman" w:hAnsi="Times New Roman"/>
          <w:b w:val="false"/>
          <w:i w:val="false"/>
          <w:color w:val="000000"/>
          <w:sz w:val="22"/>
        </w:rPr>
        <w:t xml:space="preserve"> or adopting any similar requirement that will have substantially the same regulatory impact as security, the commissioner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Communicate with the ceding insurer, the assuming insurer, and the assuming insurer’s supervisory authority that the assuming insurer no longer satisfies one of the conditions listed in </w:t>
      </w:r>
      <w:hyperlink r:id="rId133">
        <w:r>
          <w:rPr>
            <w:rStyle w:val="Hyperlink"/>
            <w:rFonts w:ascii="Times New Roman" w:hAnsi="Times New Roman"/>
            <w:b w:val="false"/>
            <w:i w:val="false"/>
            <w:color w:val="000000"/>
            <w:sz w:val="22"/>
          </w:rPr>
          <w:t>paragraph 5.33(8)</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the assuming insurer with 30 days from the initial communication to submit a plan to remedy the defect, and 90 days from the initial communication to remedy the defect, except in exceptional circumstances in which a shorter period is necessary for policyholder and other consumer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expiration of 90 days or less, as set out in </w:t>
      </w:r>
      <w:hyperlink r:id="rId134">
        <w:r>
          <w:rPr>
            <w:rStyle w:val="Hyperlink"/>
            <w:rFonts w:ascii="Times New Roman" w:hAnsi="Times New Roman"/>
            <w:b w:val="false"/>
            <w:i w:val="false"/>
            <w:color w:val="000000"/>
            <w:sz w:val="22"/>
          </w:rPr>
          <w:t>subparagraph 5.33(8)</w:t>
        </w:r>
      </w:hyperlink>
      <w:r>
        <w:rPr>
          <w:rFonts w:ascii="Times New Roman" w:hAnsi="Times New Roman"/>
          <w:b w:val="false"/>
          <w:i/>
          <w:color w:val="000000"/>
          <w:sz w:val="22"/>
        </w:rPr>
        <w:t>“g”</w:t>
      </w:r>
      <w:r>
        <w:rPr>
          <w:rFonts w:ascii="Times New Roman" w:hAnsi="Times New Roman"/>
          <w:b w:val="false"/>
          <w:i w:val="false"/>
          <w:color w:val="000000"/>
          <w:sz w:val="22"/>
        </w:rPr>
        <w:t>(2), if the commissioner determines that no or insufficient action was taken by the assuming insurer, the commissioner may impose any of the requirements as set out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a written explanation to the assuming insurer of any of the requirements set out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subject to a legal process of rehabilitation, liquidation or conservation, as applicable, the ceding insurer, or its representative, may seek and, if determined appropriate by the court in which the proceedings are pending, may obtain an order requiring that the assuming insurer post security for all outstanding liabilities.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5.33(9)</w:t>
      </w:r>
      <w:r>
        <w:rPr>
          <w:rFonts w:ascii="Times New Roman" w:hAnsi="Times New Roman"/>
          <w:b w:val="false"/>
          <w:i w:val="false"/>
          <w:color w:val="000000"/>
          <w:sz w:val="22"/>
        </w:rPr>
        <w:t> </w:t>
      </w:r>
      <w:r>
        <w:rPr>
          <w:rFonts w:ascii="Times New Roman" w:hAnsi="Times New Roman"/>
          <w:b w:val="false"/>
          <w:i/>
          <w:color w:val="000000"/>
          <w:sz w:val="22"/>
        </w:rPr>
        <w:t xml:space="preserve">Credit for reinsurance required by law. </w:t>
      </w:r>
      <w:r>
        <w:rPr>
          <w:rFonts w:ascii="Times New Roman" w:hAnsi="Times New Roman"/>
          <w:b w:val="false"/>
          <w:i w:val="false"/>
          <w:color w:val="000000"/>
          <w:sz w:val="22"/>
        </w:rPr>
        <w:t>The commissioner shall allow credit for reinsurance ceded by a domestic insurer to an assuming insurer not meeting the requirements of this state, but only with respect to the insurance of risks located in jurisdictions where such reinsurance is required by the applicable law or regulation of that jurisdiction. As used in this subrule, “jurisdiction” means any state, district or territory of the United States and any lawful national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5.33(10)</w:t>
      </w:r>
      <w:r>
        <w:rPr>
          <w:rFonts w:ascii="Times New Roman" w:hAnsi="Times New Roman"/>
          <w:b w:val="false"/>
          <w:i w:val="false"/>
          <w:color w:val="000000"/>
          <w:sz w:val="22"/>
        </w:rPr>
        <w:t> </w:t>
      </w:r>
      <w:r>
        <w:rPr>
          <w:rFonts w:ascii="Times New Roman" w:hAnsi="Times New Roman"/>
          <w:b w:val="false"/>
          <w:i/>
          <w:color w:val="000000"/>
          <w:sz w:val="22"/>
        </w:rPr>
        <w:t xml:space="preserve">Reduction from liability for reinsurance ceded to an unauthorized assuming insurer. </w:t>
      </w:r>
      <w:r>
        <w:rPr>
          <w:rFonts w:ascii="Times New Roman" w:hAnsi="Times New Roman"/>
          <w:b w:val="false"/>
          <w:i w:val="false"/>
          <w:color w:val="000000"/>
          <w:sz w:val="22"/>
        </w:rPr>
        <w:t>The commissioner shall allow a reduction from liability for reinsurance ceded by a domestic insurer to an assuming insurer not meeting the requirements of this state in an amount not exceeding the liabilities carried by the ceding insurer. Such reduction shall be in the amount of funds held by or on behalf of the ceding insurer, including funds held in trust for the exclusive benefit of the ceding insurer, under a reinsurance contract with such assuming insurer as security for the payment of obligations thereunder. Such security must be held in the United States subject to withdrawal solely by, and under the exclusive control of, the ceding insurer or, in the case of a trust, held in a qualified United States financial institution. This security may be in the form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Securities listed by the Securities Valuation Office of the National Association of Insurance Commissioners, including those deemed exempt from filing as defined by the Purposes and Procedures Manual of the Securities Valuation Office, and those securities qualifying as admitted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Clean, irrevocable, unconditional and “evergreen” letters of credit issued or confirmed by a qualified United States institution, as determined by the commissioner, effective no later than December 31 of the year for which filing is being made, and in the possession of, or in the trust for, the ceding insurer on or before the filing date of its annual statement. Letters of credit meeting applicable standards of issuer acceptability as of the dates of their issuance (or confirmation) shall, notwithstanding the issuing (or confirming) institution’s subsequent failure to meet applicable standards of issuer acceptability, continue to be acceptable as security until their expiration, extension, renewal, modification or amendment, whichever first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form of security acceptable to the commissioner. An admitted asset or a reduction from liability for reinsurance ceded to an unauthorized assuming insurer shall be allowed only when the requirements of this rule are met, as determined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5.33(11)</w:t>
      </w:r>
      <w:r>
        <w:rPr>
          <w:rFonts w:ascii="Times New Roman" w:hAnsi="Times New Roman"/>
          <w:b w:val="false"/>
          <w:i w:val="false"/>
          <w:color w:val="000000"/>
          <w:sz w:val="22"/>
        </w:rPr>
        <w:t> </w:t>
      </w:r>
      <w:r>
        <w:rPr>
          <w:rFonts w:ascii="Times New Roman" w:hAnsi="Times New Roman"/>
          <w:b w:val="false"/>
          <w:i/>
          <w:color w:val="000000"/>
          <w:sz w:val="22"/>
        </w:rPr>
        <w:t xml:space="preserve">Letters of credit qualified under subrule 5.33(10).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“Beneficiary” </w:t>
      </w:r>
      <w:r>
        <w:rPr>
          <w:rFonts w:ascii="Times New Roman" w:hAnsi="Times New Roman"/>
          <w:b w:val="false"/>
          <w:i w:val="false"/>
          <w:color w:val="000000"/>
          <w:sz w:val="22"/>
        </w:rPr>
        <w:t>means the entity for whose sole benefit the trust has been established and any successor of the beneficiary by operation of law. If a court of law appoints a successor in interest to the named beneficiary, then the named beneficiary includes and is limited to the court-appointed domiciliary receiver (including conservator, rehabilitator or liquidator).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“Grantor” </w:t>
      </w:r>
      <w:r>
        <w:rPr>
          <w:rFonts w:ascii="Times New Roman" w:hAnsi="Times New Roman"/>
          <w:b w:val="false"/>
          <w:i w:val="false"/>
          <w:color w:val="000000"/>
          <w:sz w:val="22"/>
        </w:rPr>
        <w:t>means the entity that has established a trust for the sole benefit of the beneficiary. When established in conjunction with a reinsurance agreement, the grantor is the unlicensed, unaccredited assuming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“Obligations”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Reinsured losses and allocated loss expenses paid by the ceding company, but not recovered from the assuming insurer;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Reserves for reinsured losses reported and outstanding;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Reserves for reinsured losses incurred but not reported;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Reserves for allocated reinsured loss expenses and unearned premiums.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United States financial institution” </w:t>
      </w:r>
      <w:r>
        <w:rPr>
          <w:rFonts w:ascii="Times New Roman" w:hAnsi="Times New Roman"/>
          <w:b w:val="false"/>
          <w:i w:val="false"/>
          <w:color w:val="000000"/>
          <w:sz w:val="22"/>
        </w:rPr>
        <w:t xml:space="preserve">means an institution meeting the requirements of rule </w:t>
      </w:r>
      <w:hyperlink r:id="rId135">
        <w:r>
          <w:rPr>
            <w:rStyle w:val="Hyperlink"/>
            <w:rFonts w:ascii="Times New Roman" w:hAnsi="Times New Roman"/>
            <w:b w:val="false"/>
            <w:i w:val="false"/>
            <w:color w:val="000000"/>
            <w:sz w:val="22"/>
          </w:rPr>
          <w:t>191—32.4</w:t>
        </w:r>
      </w:hyperlink>
      <w:r>
        <w:rPr>
          <w:rFonts w:ascii="Times New Roman" w:hAnsi="Times New Roman"/>
          <w:b w:val="false"/>
          <w:i w:val="false"/>
          <w:color w:val="000000"/>
          <w:sz w:val="22"/>
        </w:rPr>
        <w:t>(508), except as permitted otherwise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Required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trust agreement shall be entered into between the beneficiary, the grantor and a trustee which shall be a qualified United States financial institution as determined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trust agreement shall create a trust account into which assets shall be deposited.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assets in the trust account shall be held by the trustee at the trustee’s office in the United States, except that a bank may apply for the commissioner’s permission to use a foreign branch office of such bank as trustee for trust agreements established pursuant to this subrule. If the commissioner approves the use of such foreign branch office as trustee, then its use must be approved by the beneficiary in writing and the trust agreement must provide that the written notice described in subparagraph </w:t>
      </w:r>
      <w:hyperlink r:id="rId136">
        <w:r>
          <w:rPr>
            <w:rStyle w:val="Hyperlink"/>
            <w:rFonts w:ascii="Times New Roman" w:hAnsi="Times New Roman"/>
            <w:b w:val="false"/>
            <w:i w:val="false"/>
            <w:color w:val="000000"/>
            <w:sz w:val="22"/>
          </w:rPr>
          <w:t>5.33(11)</w:t>
        </w:r>
      </w:hyperlink>
      <w:r>
        <w:rPr>
          <w:rFonts w:ascii="Times New Roman" w:hAnsi="Times New Roman"/>
          <w:b w:val="false"/>
          <w:i/>
          <w:color w:val="000000"/>
          <w:sz w:val="22"/>
        </w:rPr>
        <w:t>“b”</w:t>
      </w:r>
      <w:r>
        <w:rPr>
          <w:rFonts w:ascii="Times New Roman" w:hAnsi="Times New Roman"/>
          <w:b w:val="false"/>
          <w:i w:val="false"/>
          <w:color w:val="000000"/>
          <w:sz w:val="22"/>
        </w:rPr>
        <w:t>(4) must also be presentable, as a matter of legal right, at the trustee’s principal office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trust agreement shall provide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beneficiary shall have the right to withdraw assets from the trust account at any time, without notice to the grantor, subject only to written notice from the beneficiary to the trustee;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other statement or document is required to be presented in order to withdraw assets, except that the beneficiary may be required to acknowledge receipt of withdrawn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It is not subject to any conditions or qualifications outside of the trust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It shall not contain references to any other agreements or documents except as provided for under subparagraph </w:t>
      </w:r>
      <w:hyperlink r:id="rId137">
        <w:r>
          <w:rPr>
            <w:rStyle w:val="Hyperlink"/>
            <w:rFonts w:ascii="Times New Roman" w:hAnsi="Times New Roman"/>
            <w:b w:val="false"/>
            <w:i w:val="false"/>
            <w:color w:val="000000"/>
            <w:sz w:val="22"/>
          </w:rPr>
          <w:t>5.33(11)</w:t>
        </w:r>
      </w:hyperlink>
      <w:r>
        <w:rPr>
          <w:rFonts w:ascii="Times New Roman" w:hAnsi="Times New Roman"/>
          <w:b w:val="false"/>
          <w:i/>
          <w:color w:val="000000"/>
          <w:sz w:val="22"/>
        </w:rPr>
        <w:t>“b”</w:t>
      </w:r>
      <w:r>
        <w:rPr>
          <w:rFonts w:ascii="Times New Roman" w:hAnsi="Times New Roman"/>
          <w:b w:val="false"/>
          <w:i w:val="false"/>
          <w:color w:val="000000"/>
          <w:sz w:val="22"/>
        </w:rPr>
        <w:t>(11).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trust agreement shall be established for the sole benefit of the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trust agreement shall require the trustee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Receive assets and hold all assets in a safe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Determine that all assets are in such form that the beneficiary, or the trustee upon direction by the beneficiary, may whenever necessary negotiate any such assets, without consent or signature from the grantor or any other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Furnish to the grantor and the beneficiary a statement of all assets in the trust account upon its inception and at intervals no less frequent than the end of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Notify the grantor and the beneficiary, within ten days, of any deposits to or withdrawals from the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Upon written demand of the beneficiary, immediately take any and all steps necessary to transfer absolutely and unequivocally all right, title and interest in the assets held in the trust account to the beneficiary and deliver physical custody of the assets to the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Allow no substitutions or withdrawals of assets from the trust account, except on written instructions from the beneficiary, except that the trustee may, without the consent of but with notice to the beneficiary, upon call or maturity of any trust asset, withdraw such asset upon condition that the proceeds are paid into the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trust agreement shall provide that at least 30 days, but not more than 45 days, prior to termination of the trust account, written notification of termination shall be delivered by the trustee to the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trust agreement shall be made subject to and governed by the laws of the state in which the trust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trust agreement shall prohibit invasion of the trust corpus for the purpose of paying compensation to, or reimbursing the expenses of, the trustee.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trust agreement shall provide that the trustee shall be liable for its own negligence, willful misconduct or lack of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Notwithstanding other provisions of this rule, when a trust agreement is established in conjunction with a reinsurance agreement covering risks other than life, annuities and accident and health, where it is customary practice to provide a trust agreement for a specific purpose, such a trust agreement may, notwithstanding any other conditions in this rule, provide that the ceding insurer shall undertake to use and apply amounts drawn upon the trust account, without diminution because of the insolvency of the ceding insurer or the assuming insurer, for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pay or reimburse the ceding insurer for the assuming insurer’s share under the specific reinsurance agreement regarding any losses and allocated loss expenses paid by the ceding insurer, but not recovered from the assuming insurer, or for unearned premiums due to the ceding insurer if not otherwise paid by the assuming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make payment to the assuming insurer of any amounts held in the trust account that exceed 102 percent of the actual amount required to fund the assuming insurer’s obligations under the specific reinsurance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ceding insurer has received notification of termination of the trust account and where the assuming insurer’s entire obligations under the specific reinsurance agreement remain unliquidated and undischarged ten days prior to the termination date, to withdraw amounts equal to the obligations and deposit those amounts in a separate account, in the name of the ceding insurer, in any qualified United States financial institution apart from its general assets, in trust for such uses and purposes specified in subparagraph </w:t>
      </w:r>
      <w:hyperlink r:id="rId138">
        <w:r>
          <w:rPr>
            <w:rStyle w:val="Hyperlink"/>
            <w:rFonts w:ascii="Times New Roman" w:hAnsi="Times New Roman"/>
            <w:b w:val="false"/>
            <w:i w:val="false"/>
            <w:color w:val="000000"/>
            <w:sz w:val="22"/>
          </w:rPr>
          <w:t>5.33(11)</w:t>
        </w:r>
      </w:hyperlink>
      <w:r>
        <w:rPr>
          <w:rFonts w:ascii="Times New Roman" w:hAnsi="Times New Roman"/>
          <w:b w:val="false"/>
          <w:i/>
          <w:color w:val="000000"/>
          <w:sz w:val="22"/>
        </w:rPr>
        <w:t>“d”</w:t>
      </w:r>
      <w:r>
        <w:rPr>
          <w:rFonts w:ascii="Times New Roman" w:hAnsi="Times New Roman"/>
          <w:b w:val="false"/>
          <w:i w:val="false"/>
          <w:color w:val="000000"/>
          <w:sz w:val="22"/>
        </w:rPr>
        <w:t>(1) as may remain executory after such withdrawal and for any period after the termination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reinsurance agreement entered into in conjunction with the trust agreement may, but need not, contain the provisions required by subparagraph </w:t>
      </w:r>
      <w:hyperlink r:id="rId139">
        <w:r>
          <w:rPr>
            <w:rStyle w:val="Hyperlink"/>
            <w:rFonts w:ascii="Times New Roman" w:hAnsi="Times New Roman"/>
            <w:b w:val="false"/>
            <w:i w:val="false"/>
            <w:color w:val="000000"/>
            <w:sz w:val="22"/>
          </w:rPr>
          <w:t>5.33(11)</w:t>
        </w:r>
      </w:hyperlink>
      <w:r>
        <w:rPr>
          <w:rFonts w:ascii="Times New Roman" w:hAnsi="Times New Roman"/>
          <w:b w:val="false"/>
          <w:i/>
          <w:color w:val="000000"/>
          <w:sz w:val="22"/>
        </w:rPr>
        <w:t>“d”</w:t>
      </w:r>
      <w:r>
        <w:rPr>
          <w:rFonts w:ascii="Times New Roman" w:hAnsi="Times New Roman"/>
          <w:b w:val="false"/>
          <w:i w:val="false"/>
          <w:color w:val="000000"/>
          <w:sz w:val="22"/>
        </w:rPr>
        <w:t>(1) so long as these required conditions are included in the trust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Either the reinsurance agreement or the trust agreement must stipulate that assets deposited in the trust account shall be valued according to their current fair market value and shall consist only of cash in United States dollars, certificates of deposit issued by a United States bank and payable in United States dollars, and investments permitted by Iowa law or any combination of the above, provided investments in or issued by an entity controlling, controlled by or under common control with either the grantor or the beneficiary of the trust shall not exceed 5 percent of total investments. The agreement may further specify the types of investments to be deposited. If the reinsurance agreement covers life, annuities or accident and health risks, then the provisions required by this subparagraph must be included in the reinsurance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Permitted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trust agreement may provide that the trustee may resign upon delivery of a written notice of resignation, effective not less than 90 days after receipt by the beneficiary and grantor of the notice, and that the trustee may be removed by the grantor by delivery to the trustee and the beneficiary of a written notice of removal, effective not less than 90 days after receipt by the trustee and the beneficiary of the notice, provided that no such resignation or removal shall be effective until a successor trustee has been duly appointed and approved by the beneficiary and the grantor and all assets in the trust have been duly transferred to the new trustee.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grantor may have the full and unqualified right to vote any shares of stock in the trust account and to receive from time to time payments of any dividends or interest upon any shares of stock or obligations included in the trust account. Any such interest or dividends shall be either forwarded promptly upon receipt to the grantor or deposited in a separate account established in the grantor’s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trustee may be given authority to invest, and accept substitutions of, any funds in the account, provided that no investment or substitution shall be made without prior approval of the beneficiary, unless the trust agreement specifies categories of investments acceptable to the beneficiary and authorizes the trustee to invest funds and to accept substitutions which the trustee determines are at least equal in market value to the assets withdrawn and that are consistent with the restrictions in </w:t>
      </w:r>
      <w:hyperlink r:id="rId140">
        <w:r>
          <w:rPr>
            <w:rStyle w:val="Hyperlink"/>
            <w:rFonts w:ascii="Times New Roman" w:hAnsi="Times New Roman"/>
            <w:b w:val="false"/>
            <w:i w:val="false"/>
            <w:color w:val="000000"/>
            <w:sz w:val="22"/>
          </w:rPr>
          <w:t>5.33(11)</w:t>
        </w:r>
      </w:hyperlink>
      <w:r>
        <w:rPr>
          <w:rFonts w:ascii="Times New Roman" w:hAnsi="Times New Roman"/>
          <w:b w:val="false"/>
          <w:i/>
          <w:color w:val="000000"/>
          <w:sz w:val="22"/>
        </w:rPr>
        <w:t>“d”</w:t>
      </w:r>
      <w:r>
        <w:rPr>
          <w:rFonts w:ascii="Times New Roman" w:hAnsi="Times New Roman"/>
          <w:b w:val="false"/>
          <w:i w:val="false"/>
          <w:color w:val="000000"/>
          <w:sz w:val="22"/>
        </w:rPr>
        <w:t>(1)“2.”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trust agreement may provide that the beneficiary may at any time designate a party to which all or part of the trust assets are to be transferred. Such transfer may be conditioned upon the trustee receiving, prior to or simultaneously, other specified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trust agreement may provide that, upon termination of the trust account, all assets not previously withdrawn by the beneficiary shall, with written approval by the beneficiary, be delivered over to the grantor.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conditions applicable to reinsurance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reinsurance agreement, which is entered into in conjunction with a trust agreement and the establishment of a trust account, may contain provisions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Require the assuming insurer to enter into a trust agreement and to establish a trust account for the benefit of the ceding insurer, and specifying what the agreement is to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Stipulate that assets deposited in the trust account shall be valued according to their current fair market value and shall consist only of cash (United States legal tender), certificates of deposit (issued by a United States bank and payable in United States legal tender), and investments of the types permitted by the laws of this state for domestic insurers, or any combination of the above provided that such investments are issued by an institution that is not the parent, subsidiary or affiliate of either the grantor or the beneficiary. The reinsurance agreement may further specify the types of investments to be deposited. Where a trust agreement is entered into in conjunction with a reinsurance agreement covering risks other than life, annuities, and accident and health, then the trust agreement may contain the provisions required by this paragraph in lieu of including such provisions in the reinsurance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 the assuming insurer, prior to depositing assets with the trustee, to execute assignments or endorsements in blank, or to transfer legal title to the trustee of all shares, obligations, or any assets requiring assignments, in order that the ceding insurer, or the trustee upon the direction of the ceding insurer, may whenever necessary negotiate these assets without consent or signature from the assuming insurer or any other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 that all settlements of account between the ceding insurer and the assuming insurer be made in cash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Stipulate that the assuming insurer and the ceding insurer agree that the assets in the trust account, established pursuant to the provisions of the reinsurance agreement, may be withdrawn by the ceding insurer at any time, notwithstanding any other provisions in the reinsurance agreement, and shall be utilized and applied by the ceding insurer or its successors in interest by operation of law, including without limitation any liquidator, rehabilitator, receiver or conservator of such company, without diminution because of insolvency on the part of the ceding insurer or the assuming insurer, only for the following purposes: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 reimburse the ceding insurer for the assuming insurer’s share of premiums returned to the owners of policies reinsured under the reinsurance agreement because of cancellations of such policies;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 reimburse the ceding insurer for the assuming insurer’s share of surrenders and benefits or losses paid by the ceding insurer pursuant to the provisions of the policies reinsured under the reinsurance agreement;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 fund an account with the ceding insurer in an amount at least equal to the deduction, for reinsurance ceded, from the ceding insurer liabilities for policies ceded under the agreement. The account shall include, but not be limited to, amounts for policy reserves, claims and losses incurred (including losses incurred but not reported), loss adjustment expenses and unearned premium reserves;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 pay any other amounts the ceding insurer claims are due under the reinsurance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reinsurance agreement may also contain provisions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Give the assuming insurer the right to seek approval from the ceding insurer to withdraw from the trust account all or any part of the trust assets and transfer those assets to the assuming insurer, provided: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assuming insurer shall, at the time of withdrawal, replace the withdrawn assets with other qualified assets having a market value equal to the market value of the assets withdrawn so as to maintain at all times the deposit in the required amount,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After withdrawal and transfer, the market value of the trust account is not less than 102 percent of the required amount.</w:t>
      </w:r>
    </w:p>
    <w:p>
      <w:pPr>
        <w:spacing w:before="0" w:after="0"/>
        <w:ind w:left="120"/>
        <w:jc w:val="both"/>
      </w:pPr>
      <w:r>
        <w:rPr>
          <w:rFonts w:ascii="Times New Roman" w:hAnsi="Times New Roman"/>
          <w:b w:val="false"/>
          <w:i w:val="false"/>
          <w:color w:val="000000"/>
          <w:sz w:val="22"/>
        </w:rPr>
        <w:t>The ceding insurer shall not unreasonably or arbitrarily withhold its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for: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return of any amount withdrawn in excess of the actual amounts required to comply with </w:t>
      </w:r>
      <w:hyperlink r:id="rId141">
        <w:r>
          <w:rPr>
            <w:rStyle w:val="Hyperlink"/>
            <w:rFonts w:ascii="Times New Roman" w:hAnsi="Times New Roman"/>
            <w:b w:val="false"/>
            <w:i w:val="false"/>
            <w:color w:val="000000"/>
            <w:sz w:val="22"/>
          </w:rPr>
          <w:t>5.33(11)</w:t>
        </w:r>
      </w:hyperlink>
      <w:r>
        <w:rPr>
          <w:rFonts w:ascii="Times New Roman" w:hAnsi="Times New Roman"/>
          <w:b w:val="false"/>
          <w:i/>
          <w:color w:val="000000"/>
          <w:sz w:val="22"/>
        </w:rPr>
        <w:t>“d”</w:t>
      </w:r>
      <w:r>
        <w:rPr>
          <w:rFonts w:ascii="Times New Roman" w:hAnsi="Times New Roman"/>
          <w:b w:val="false"/>
          <w:i w:val="false"/>
          <w:color w:val="000000"/>
          <w:sz w:val="22"/>
        </w:rPr>
        <w:t xml:space="preserve">(1)“5,” first three bulleted paragraphs, or in the case of </w:t>
      </w:r>
      <w:hyperlink r:id="rId142">
        <w:r>
          <w:rPr>
            <w:rStyle w:val="Hyperlink"/>
            <w:rFonts w:ascii="Times New Roman" w:hAnsi="Times New Roman"/>
            <w:b w:val="false"/>
            <w:i w:val="false"/>
            <w:color w:val="000000"/>
            <w:sz w:val="22"/>
          </w:rPr>
          <w:t>5.33(11)</w:t>
        </w:r>
      </w:hyperlink>
      <w:r>
        <w:rPr>
          <w:rFonts w:ascii="Times New Roman" w:hAnsi="Times New Roman"/>
          <w:b w:val="false"/>
          <w:i/>
          <w:color w:val="000000"/>
          <w:sz w:val="22"/>
        </w:rPr>
        <w:t>“d”</w:t>
      </w:r>
      <w:r>
        <w:rPr>
          <w:rFonts w:ascii="Times New Roman" w:hAnsi="Times New Roman"/>
          <w:b w:val="false"/>
          <w:i w:val="false"/>
          <w:color w:val="000000"/>
          <w:sz w:val="22"/>
        </w:rPr>
        <w:t>(1)“5,” fourth bulleted paragraph, any amounts that are subsequently determined not to be due;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Interest payments, at a rate not in excess of the prime rate of interest, on the amounts held pursuant to </w:t>
      </w:r>
      <w:hyperlink r:id="rId143">
        <w:r>
          <w:rPr>
            <w:rStyle w:val="Hyperlink"/>
            <w:rFonts w:ascii="Times New Roman" w:hAnsi="Times New Roman"/>
            <w:b w:val="false"/>
            <w:i w:val="false"/>
            <w:color w:val="000000"/>
            <w:sz w:val="22"/>
          </w:rPr>
          <w:t>5.33(11)</w:t>
        </w:r>
      </w:hyperlink>
      <w:r>
        <w:rPr>
          <w:rFonts w:ascii="Times New Roman" w:hAnsi="Times New Roman"/>
          <w:b w:val="false"/>
          <w:i/>
          <w:color w:val="000000"/>
          <w:sz w:val="22"/>
        </w:rPr>
        <w:t>“d”</w:t>
      </w:r>
      <w:r>
        <w:rPr>
          <w:rFonts w:ascii="Times New Roman" w:hAnsi="Times New Roman"/>
          <w:b w:val="false"/>
          <w:i w:val="false"/>
          <w:color w:val="000000"/>
          <w:sz w:val="22"/>
        </w:rPr>
        <w:t>(1)“5,” third bulleted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Permit the award by any arbitration panel or court of competent jurisdiction of: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Interest at a rate different from that provided in </w:t>
      </w:r>
      <w:hyperlink r:id="rId144">
        <w:r>
          <w:rPr>
            <w:rStyle w:val="Hyperlink"/>
            <w:rFonts w:ascii="Times New Roman" w:hAnsi="Times New Roman"/>
            <w:b w:val="false"/>
            <w:i w:val="false"/>
            <w:color w:val="000000"/>
            <w:sz w:val="22"/>
          </w:rPr>
          <w:t>5.33(11)</w:t>
        </w:r>
      </w:hyperlink>
      <w:r>
        <w:rPr>
          <w:rFonts w:ascii="Times New Roman" w:hAnsi="Times New Roman"/>
          <w:b w:val="false"/>
          <w:i/>
          <w:color w:val="000000"/>
          <w:sz w:val="22"/>
        </w:rPr>
        <w:t>“d”</w:t>
      </w:r>
      <w:r>
        <w:rPr>
          <w:rFonts w:ascii="Times New Roman" w:hAnsi="Times New Roman"/>
          <w:b w:val="false"/>
          <w:i w:val="false"/>
          <w:color w:val="000000"/>
          <w:sz w:val="22"/>
        </w:rPr>
        <w:t>(2)“2”;</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Court of arbitration costs;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Attorney’s fees;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other reasonable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Financial reporting. A trust agreement may be used to reduce any liability for reinsurance ceded to an unauthorized assuming insurer in financial statements required to be filed with this division in compliance with the provision of this rule when established on or before the date of filing of the financial statement of the ceding insurer. Further, the reduction for the existence of an acceptable trust account may be up to the current fair market value of acceptable assets available to be withdrawn from the trust account at that time, but such reduction shall be no greater than the specific obligations under the reinsurance agreement that the trust account was established to secure.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Existing agreements. Any trust agreement or underlying reinsurance agreement in existence prior to January 1, 1992, will continue to be acceptable until January 1, 1993, at which time the agreements will have to be in full compliance with this rule for the trust agreement to be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failure of any trust agreement to specifically identify the beneficiary as defined in paragraph </w:t>
      </w:r>
      <w:hyperlink r:id="rId145">
        <w:r>
          <w:rPr>
            <w:rStyle w:val="Hyperlink"/>
            <w:rFonts w:ascii="Times New Roman" w:hAnsi="Times New Roman"/>
            <w:b w:val="false"/>
            <w:i w:val="false"/>
            <w:color w:val="000000"/>
            <w:sz w:val="22"/>
          </w:rPr>
          <w:t>5.33(11)</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not be construed to affect any actions or rights which the commissioner may take or possess pursuant to the provisions of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5.33(12)</w:t>
      </w:r>
      <w:r>
        <w:rPr>
          <w:rFonts w:ascii="Times New Roman" w:hAnsi="Times New Roman"/>
          <w:b w:val="false"/>
          <w:i w:val="false"/>
          <w:color w:val="000000"/>
          <w:sz w:val="22"/>
        </w:rPr>
        <w:t> </w:t>
      </w:r>
      <w:r>
        <w:rPr>
          <w:rFonts w:ascii="Times New Roman" w:hAnsi="Times New Roman"/>
          <w:b w:val="false"/>
          <w:i/>
          <w:color w:val="000000"/>
          <w:sz w:val="22"/>
        </w:rPr>
        <w:t xml:space="preserve">Letters of credit qualified under subrule 5.33(10).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letter of credit must be clean, irrevocable and unconditional and issued or confirmed by a qualified United States financial institution. The letter of credit shall contain an issue date and date of expiration and shall stipulate that the beneficiary need only draw a sight draft under the letter of credit and present it to obtain funds and that no other document need be presented. The letter of credit shall also indicate that it is not subject to any condition or qualifications outside of the letter of credit. In addition, the letter of credit itself shall not contain reference to any other agreements, documents or entities, except as provided in subparagraph </w:t>
      </w:r>
      <w:hyperlink r:id="rId146">
        <w:r>
          <w:rPr>
            <w:rStyle w:val="Hyperlink"/>
            <w:rFonts w:ascii="Times New Roman" w:hAnsi="Times New Roman"/>
            <w:b w:val="false"/>
            <w:i w:val="false"/>
            <w:color w:val="000000"/>
            <w:sz w:val="22"/>
          </w:rPr>
          <w:t>5.33(12)</w:t>
        </w:r>
      </w:hyperlink>
      <w:r>
        <w:rPr>
          <w:rFonts w:ascii="Times New Roman" w:hAnsi="Times New Roman"/>
          <w:b w:val="false"/>
          <w:i/>
          <w:color w:val="000000"/>
          <w:sz w:val="22"/>
        </w:rPr>
        <w:t>“i”</w:t>
      </w:r>
      <w:r>
        <w:rPr>
          <w:rFonts w:ascii="Times New Roman" w:hAnsi="Times New Roman"/>
          <w:b w:val="false"/>
          <w:i w:val="false"/>
          <w:color w:val="000000"/>
          <w:sz w:val="22"/>
        </w:rPr>
        <w:t>(1). As used in this paragraph, “beneficiary” means the domestic insurer for whose benefit the letter of credit has been established and any successor of the beneficiary by operation of law. If a court of law appoints a successor in interest to the named beneficiary, then the named beneficiary includes and is limited to the court-appointed domiciliary receiver (including conservator, rehabilitator or liquidator).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heading of the letter of credit may include a boxed section which contains the name of the applicant and other appropriate notations to provide a reference for the letter of credit. The boxed section shall be clearly marked to indicate that such information is for internal identification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letter of credit shall contain a statement to the effect that the obligation of the qualified United States financial institution under the letter of credit is in no way contingent upon reimbursement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term of the letter of credit shall be for at least one year and shall contain an “evergreen clause” which prevents the expiration of the letter of credit without due notice from the issuer. The “evergreen clause” shall provide for a period of no less than 30 days’ notice prior to expiry date or nonrenewal.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letter of credit shall state whether it is subject to and governed by the laws of this state or the Uniform Customs and Practice for Documentary Credits of the International Chamber of Commerce Publication 600 (UCP 600) or International Standby Practices of the International Chamber of Commerce Publication 590 (ISP98), or any successor publication, and all drafts drawn thereunder shall be presentable at an office in the United States of a qualified United States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letter of credit is made subject to the Uniform Customs and Practice for Documentary Credits of the International Chamber of Commerce Publication 500, or any successor publication, then the letter of credit shall specifically address and make provision for an extension of time to draw against the letter of credit in the event that one or more of the occurrences specified in Article 17 of Publication 500 or any other successor publication,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letter of credit shall be issued or confirmed by a qualified United States financial institution authorized pursuant to the organic laws of its chartering jurisdiction to issue letters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the letter of credit is not issued by a qualified United States financial institution authorized to issue letters of credit, the following additional requirements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issuing United States financial institution shall formally designate a qualified United States financial institution as its agent for the receipt and payment of the drafts;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“evergreen clause” shall provide for 30 days’ notice prior to expiry date for nonrenewal.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Reinsurance agreement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reinsurance agreement in conjunction with which the letter of credit is obtained may contain provisions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Require the assuming insurer to provide letters of credit to the ceding insurer and specify what they are to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Stipulate that the assuming insurer and ceding insurer agree that the letter of credit provided by the assuming insurer pursuant to the provisions of the reinsurance agreement may be drawn upon at any time, notwithstanding any other provisions in the agreement, and shall be utilized by the ceding insurer or its successors in interest only for one or more of the following reasons: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 reimburse the ceding insurer for the assuming insurer’s share of premiums returned to the owners of policies reinsured under the reinsurance agreement on account of cancellations of such policies;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 reimburse the ceding insurer for the assuming insurer’s share of surrenders and benefits or losses paid by the ceding insurer under the terms and provisions of the policies reinsured under the reinsurance agreement;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 fund an account with the ceding insurer in an amount at least equal to the deduction, for reinsurance ceded, from the ceding insurer’s liabilities for policies ceded under the agreement (such amount shall include, but not be limited to, amounts for policy reserves, claims and losses incurred and unearned premium reserves);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To pay any other amounts the ceding insurer claims are due under the reinsurance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of the provisions required by paragraph </w:t>
      </w:r>
      <w:hyperlink r:id="rId147">
        <w:r>
          <w:rPr>
            <w:rStyle w:val="Hyperlink"/>
            <w:rFonts w:ascii="Times New Roman" w:hAnsi="Times New Roman"/>
            <w:b w:val="false"/>
            <w:i w:val="false"/>
            <w:color w:val="000000"/>
            <w:sz w:val="22"/>
          </w:rPr>
          <w:t>5.33(12)</w:t>
        </w:r>
      </w:hyperlink>
      <w:r>
        <w:rPr>
          <w:rFonts w:ascii="Times New Roman" w:hAnsi="Times New Roman"/>
          <w:b w:val="false"/>
          <w:i/>
          <w:color w:val="000000"/>
          <w:sz w:val="22"/>
        </w:rPr>
        <w:t>“i”</w:t>
      </w:r>
      <w:r>
        <w:rPr>
          <w:rFonts w:ascii="Times New Roman" w:hAnsi="Times New Roman"/>
          <w:b w:val="false"/>
          <w:i w:val="false"/>
          <w:color w:val="000000"/>
          <w:sz w:val="22"/>
        </w:rPr>
        <w:t xml:space="preserve"> should be applied without diminution because of insolvency on the part of the ceding insurer or assuming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Nothing contained in this paragraph shall preclude the ceding insurer and assuming insurer from providing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interest payment, at a rate not in excess of the prime rate of interest, on the amounts held pursuant to </w:t>
      </w:r>
      <w:hyperlink r:id="rId148">
        <w:r>
          <w:rPr>
            <w:rStyle w:val="Hyperlink"/>
            <w:rFonts w:ascii="Times New Roman" w:hAnsi="Times New Roman"/>
            <w:b w:val="false"/>
            <w:i w:val="false"/>
            <w:color w:val="000000"/>
            <w:sz w:val="22"/>
          </w:rPr>
          <w:t>5.33(12)</w:t>
        </w:r>
      </w:hyperlink>
      <w:r>
        <w:rPr>
          <w:rFonts w:ascii="Times New Roman" w:hAnsi="Times New Roman"/>
          <w:b w:val="false"/>
          <w:i/>
          <w:color w:val="000000"/>
          <w:sz w:val="22"/>
        </w:rPr>
        <w:t>“i”</w:t>
      </w:r>
      <w:r>
        <w:rPr>
          <w:rFonts w:ascii="Times New Roman" w:hAnsi="Times New Roman"/>
          <w:b w:val="false"/>
          <w:i w:val="false"/>
          <w:color w:val="000000"/>
          <w:sz w:val="22"/>
        </w:rPr>
        <w:t>(1)“2,” third bulleted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return of any amounts drawn down on the letters of credit in excess of the actual amounts required for the above or, in the event </w:t>
      </w:r>
      <w:hyperlink r:id="rId149">
        <w:r>
          <w:rPr>
            <w:rStyle w:val="Hyperlink"/>
            <w:rFonts w:ascii="Times New Roman" w:hAnsi="Times New Roman"/>
            <w:b w:val="false"/>
            <w:i w:val="false"/>
            <w:color w:val="000000"/>
            <w:sz w:val="22"/>
          </w:rPr>
          <w:t>5.33(12)</w:t>
        </w:r>
      </w:hyperlink>
      <w:r>
        <w:rPr>
          <w:rFonts w:ascii="Times New Roman" w:hAnsi="Times New Roman"/>
          <w:b w:val="false"/>
          <w:i/>
          <w:color w:val="000000"/>
          <w:sz w:val="22"/>
        </w:rPr>
        <w:t>“i”</w:t>
      </w:r>
      <w:r>
        <w:rPr>
          <w:rFonts w:ascii="Times New Roman" w:hAnsi="Times New Roman"/>
          <w:b w:val="false"/>
          <w:i w:val="false"/>
          <w:color w:val="000000"/>
          <w:sz w:val="22"/>
        </w:rPr>
        <w:t>(1)“2,” fourth bulleted paragraph, is applicable, any amounts that are subsequently determined not to be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letter of credit is obtained in conjunction with a reinsurance agreement covering risks other than life, annuities and health, where it is customary practice to provide a letter of credit for a specific purpose, then the reinsurance agreement may, in lieu of </w:t>
      </w:r>
      <w:hyperlink r:id="rId150">
        <w:r>
          <w:rPr>
            <w:rStyle w:val="Hyperlink"/>
            <w:rFonts w:ascii="Times New Roman" w:hAnsi="Times New Roman"/>
            <w:b w:val="false"/>
            <w:i w:val="false"/>
            <w:color w:val="000000"/>
            <w:sz w:val="22"/>
          </w:rPr>
          <w:t>5.33(12)</w:t>
        </w:r>
      </w:hyperlink>
      <w:r>
        <w:rPr>
          <w:rFonts w:ascii="Times New Roman" w:hAnsi="Times New Roman"/>
          <w:b w:val="false"/>
          <w:i/>
          <w:color w:val="000000"/>
          <w:sz w:val="22"/>
        </w:rPr>
        <w:t>“i”</w:t>
      </w:r>
      <w:r>
        <w:rPr>
          <w:rFonts w:ascii="Times New Roman" w:hAnsi="Times New Roman"/>
          <w:b w:val="false"/>
          <w:i w:val="false"/>
          <w:color w:val="000000"/>
          <w:sz w:val="22"/>
        </w:rPr>
        <w:t>(1)“2,” require that the parties enter into a “Trust Agreement” which may be incorporated into the reinsurance agreement or be a separate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letter of credit may not be used to reduce any liability for reinsurance ceded to an unauthorized assuming insurer in financial statements required to be filed with this division unless an acceptable letter of credit with the filing ceding insurer as beneficiary has been issued on or before the date of filing of the financial statement. Further, the reduction for the letter of credit may be up to the amount available under the letter of credit but no greater than the specific obligation under the reinsurance agreement which the letter of credit was intended to secure.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5.33(13)</w:t>
      </w:r>
      <w:r>
        <w:rPr>
          <w:rFonts w:ascii="Times New Roman" w:hAnsi="Times New Roman"/>
          <w:b w:val="false"/>
          <w:i w:val="false"/>
          <w:color w:val="000000"/>
          <w:sz w:val="22"/>
        </w:rPr>
        <w:t> </w:t>
      </w:r>
      <w:r>
        <w:rPr>
          <w:rFonts w:ascii="Times New Roman" w:hAnsi="Times New Roman"/>
          <w:b w:val="false"/>
          <w:i/>
          <w:color w:val="000000"/>
          <w:sz w:val="22"/>
        </w:rPr>
        <w:t xml:space="preserve">Other security. </w:t>
      </w:r>
      <w:r>
        <w:rPr>
          <w:rFonts w:ascii="Times New Roman" w:hAnsi="Times New Roman"/>
          <w:b w:val="false"/>
          <w:i w:val="false"/>
          <w:color w:val="000000"/>
          <w:sz w:val="22"/>
        </w:rPr>
        <w:t>A ceding insurer may take credit for unencumbered funds withheld by the ceding insurer in the United States subject to withdrawal solely by the ceding insurer and under its exclusive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5.33(14)</w:t>
      </w:r>
      <w:r>
        <w:rPr>
          <w:rFonts w:ascii="Times New Roman" w:hAnsi="Times New Roman"/>
          <w:b w:val="false"/>
          <w:i w:val="false"/>
          <w:color w:val="000000"/>
          <w:sz w:val="22"/>
        </w:rPr>
        <w:t> </w:t>
      </w:r>
      <w:r>
        <w:rPr>
          <w:rFonts w:ascii="Times New Roman" w:hAnsi="Times New Roman"/>
          <w:b w:val="false"/>
          <w:i/>
          <w:color w:val="000000"/>
          <w:sz w:val="22"/>
        </w:rPr>
        <w:t xml:space="preserve">Reinsurance contract. </w:t>
      </w:r>
      <w:r>
        <w:rPr>
          <w:rFonts w:ascii="Times New Roman" w:hAnsi="Times New Roman"/>
          <w:b w:val="false"/>
          <w:i w:val="false"/>
          <w:color w:val="000000"/>
          <w:sz w:val="22"/>
        </w:rPr>
        <w:t xml:space="preserve">Credit will not be granted, nor an asset or reduction from liability allowed, to a ceding insurer for reinsurance effected with assuming insurers meeting the requirements of subrule </w:t>
      </w:r>
      <w:hyperlink r:id="rId151">
        <w:r>
          <w:rPr>
            <w:rStyle w:val="Hyperlink"/>
            <w:rFonts w:ascii="Times New Roman" w:hAnsi="Times New Roman"/>
            <w:b w:val="false"/>
            <w:i w:val="false"/>
            <w:color w:val="000000"/>
            <w:sz w:val="22"/>
          </w:rPr>
          <w:t>5.33(4)</w:t>
        </w:r>
      </w:hyperlink>
      <w:r>
        <w:rPr>
          <w:rFonts w:ascii="Times New Roman" w:hAnsi="Times New Roman"/>
          <w:b w:val="false"/>
          <w:i w:val="false"/>
          <w:color w:val="000000"/>
          <w:sz w:val="22"/>
        </w:rPr>
        <w:t xml:space="preserve">, </w:t>
      </w:r>
      <w:hyperlink r:id="rId152">
        <w:r>
          <w:rPr>
            <w:rStyle w:val="Hyperlink"/>
            <w:rFonts w:ascii="Times New Roman" w:hAnsi="Times New Roman"/>
            <w:b w:val="false"/>
            <w:i w:val="false"/>
            <w:color w:val="000000"/>
            <w:sz w:val="22"/>
          </w:rPr>
          <w:t>5.33(5)</w:t>
        </w:r>
      </w:hyperlink>
      <w:r>
        <w:rPr>
          <w:rFonts w:ascii="Times New Roman" w:hAnsi="Times New Roman"/>
          <w:b w:val="false"/>
          <w:i w:val="false"/>
          <w:color w:val="000000"/>
          <w:sz w:val="22"/>
        </w:rPr>
        <w:t xml:space="preserve">, </w:t>
      </w:r>
      <w:hyperlink r:id="rId153">
        <w:r>
          <w:rPr>
            <w:rStyle w:val="Hyperlink"/>
            <w:rFonts w:ascii="Times New Roman" w:hAnsi="Times New Roman"/>
            <w:b w:val="false"/>
            <w:i w:val="false"/>
            <w:color w:val="000000"/>
            <w:sz w:val="22"/>
          </w:rPr>
          <w:t>5.33(6)</w:t>
        </w:r>
      </w:hyperlink>
      <w:r>
        <w:rPr>
          <w:rFonts w:ascii="Times New Roman" w:hAnsi="Times New Roman"/>
          <w:b w:val="false"/>
          <w:i w:val="false"/>
          <w:color w:val="000000"/>
          <w:sz w:val="22"/>
        </w:rPr>
        <w:t xml:space="preserve">, </w:t>
      </w:r>
      <w:hyperlink r:id="rId154">
        <w:r>
          <w:rPr>
            <w:rStyle w:val="Hyperlink"/>
            <w:rFonts w:ascii="Times New Roman" w:hAnsi="Times New Roman"/>
            <w:b w:val="false"/>
            <w:i w:val="false"/>
            <w:color w:val="000000"/>
            <w:sz w:val="22"/>
          </w:rPr>
          <w:t>5.33(7)</w:t>
        </w:r>
      </w:hyperlink>
      <w:r>
        <w:rPr>
          <w:rFonts w:ascii="Times New Roman" w:hAnsi="Times New Roman"/>
          <w:b w:val="false"/>
          <w:i w:val="false"/>
          <w:color w:val="000000"/>
          <w:sz w:val="22"/>
        </w:rPr>
        <w:t xml:space="preserve">, </w:t>
      </w:r>
      <w:hyperlink r:id="rId155">
        <w:r>
          <w:rPr>
            <w:rStyle w:val="Hyperlink"/>
            <w:rFonts w:ascii="Times New Roman" w:hAnsi="Times New Roman"/>
            <w:b w:val="false"/>
            <w:i w:val="false"/>
            <w:color w:val="000000"/>
            <w:sz w:val="22"/>
          </w:rPr>
          <w:t>5.33(9)</w:t>
        </w:r>
      </w:hyperlink>
      <w:r>
        <w:rPr>
          <w:rFonts w:ascii="Times New Roman" w:hAnsi="Times New Roman"/>
          <w:b w:val="false"/>
          <w:i w:val="false"/>
          <w:color w:val="000000"/>
          <w:sz w:val="22"/>
        </w:rPr>
        <w:t xml:space="preserve">, or </w:t>
      </w:r>
      <w:hyperlink r:id="rId156">
        <w:r>
          <w:rPr>
            <w:rStyle w:val="Hyperlink"/>
            <w:rFonts w:ascii="Times New Roman" w:hAnsi="Times New Roman"/>
            <w:b w:val="false"/>
            <w:i w:val="false"/>
            <w:color w:val="000000"/>
            <w:sz w:val="22"/>
          </w:rPr>
          <w:t>5.33(11)</w:t>
        </w:r>
      </w:hyperlink>
      <w:r>
        <w:rPr>
          <w:rFonts w:ascii="Times New Roman" w:hAnsi="Times New Roman"/>
          <w:b w:val="false"/>
          <w:i w:val="false"/>
          <w:color w:val="000000"/>
          <w:sz w:val="22"/>
        </w:rPr>
        <w:t xml:space="preserve"> after the adoption of this rule unless the reinsurance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Includes a proper insolvency clause, which stipulates that reinsurance is payable directly to the liquidator or successor without diminution regardless of the status of the ceding company, pursuant to Iowa Code section </w:t>
      </w:r>
      <w:hyperlink r:id="rId157">
        <w:r>
          <w:rPr>
            <w:rStyle w:val="Hyperlink"/>
            <w:rFonts w:ascii="Times New Roman" w:hAnsi="Times New Roman"/>
            <w:b w:val="false"/>
            <w:i w:val="false"/>
            <w:color w:val="000000"/>
            <w:sz w:val="22"/>
          </w:rPr>
          <w:t>507C.32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Includes a provision whereby the assuming insurer, if an unauthorized assuming insurer, has submitted to the jurisdiction of an alternative dispute resolution panel or court of competent jurisdiction within the United States, has agreed to comply with all requirements necessary to give such court or panel jurisdiction, has designated an agent upon whom service of process may be effected, and has agreed to abide by the final decision of such court or panel;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Includes a proper reinsurance intermediary clause, if applicable, which stipulates that the credit risk for the intermediary is carried by the assuming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5.33(15)</w:t>
      </w:r>
      <w:r>
        <w:rPr>
          <w:rFonts w:ascii="Times New Roman" w:hAnsi="Times New Roman"/>
          <w:b w:val="false"/>
          <w:i w:val="false"/>
          <w:color w:val="000000"/>
          <w:sz w:val="22"/>
        </w:rPr>
        <w:t> </w:t>
      </w:r>
      <w:r>
        <w:rPr>
          <w:rFonts w:ascii="Times New Roman" w:hAnsi="Times New Roman"/>
          <w:b w:val="false"/>
          <w:i/>
          <w:color w:val="000000"/>
          <w:sz w:val="22"/>
        </w:rPr>
        <w:t xml:space="preserve">Contracts affected. </w:t>
      </w:r>
      <w:r>
        <w:rPr>
          <w:rFonts w:ascii="Times New Roman" w:hAnsi="Times New Roman"/>
          <w:b w:val="false"/>
          <w:i w:val="false"/>
          <w:color w:val="000000"/>
          <w:sz w:val="22"/>
        </w:rPr>
        <w:t>All new and renewal reinsurance transactions entered into after January 1, 2014, shall conform to the requirements of this rule if credit is to be given to the ceding insurer for such reinsurance.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5.33(16)</w:t>
      </w:r>
      <w:r>
        <w:rPr>
          <w:rFonts w:ascii="Times New Roman" w:hAnsi="Times New Roman"/>
          <w:b w:val="false"/>
          <w:i w:val="false"/>
          <w:color w:val="000000"/>
          <w:sz w:val="22"/>
        </w:rPr>
        <w:t> </w:t>
      </w:r>
      <w:r>
        <w:rPr>
          <w:rFonts w:ascii="Times New Roman" w:hAnsi="Times New Roman"/>
          <w:b w:val="false"/>
          <w:i/>
          <w:color w:val="000000"/>
          <w:sz w:val="22"/>
        </w:rPr>
        <w:t xml:space="preserve">Severability. </w:t>
      </w:r>
      <w:r>
        <w:rPr>
          <w:rFonts w:ascii="Times New Roman" w:hAnsi="Times New Roman"/>
          <w:b w:val="false"/>
          <w:i w:val="false"/>
          <w:color w:val="000000"/>
          <w:sz w:val="22"/>
        </w:rPr>
        <w:t>If any provision of this rule, or the application of the provision to any person or circumstance, is held invalid, the remainder of the rule, and the application of the provision to persons or circumstances other than those to which it is held invalid, shall not be affected.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58">
        <w:r>
          <w:rPr>
            <w:rStyle w:val="Hyperlink"/>
            <w:rFonts w:ascii="Times New Roman" w:hAnsi="Times New Roman"/>
            <w:b w:val="false"/>
            <w:i w:val="false"/>
            <w:color w:val="000000"/>
            <w:sz w:val="22"/>
          </w:rPr>
          <w:t>521B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1111C</w:t>
      </w:r>
      <w:r>
        <w:rPr>
          <w:rFonts w:ascii="Times New Roman" w:hAnsi="Times New Roman"/>
          <w:b w:val="false"/>
          <w:i w:val="false"/>
          <w:color w:val="000000"/>
          <w:sz w:val="16"/>
        </w:rPr>
        <w:t>, IAB 10/16/13,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1279C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 xml:space="preserve">; </w:t>
      </w:r>
      <w:r>
        <w:rPr>
          <w:rFonts w:ascii="Times New Roman" w:hAnsi="Times New Roman"/>
          <w:b/>
          <w:i w:val="false"/>
          <w:color w:val="000000"/>
          <w:sz w:val="16"/>
        </w:rPr>
        <w:t>ARC 5514C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pBdr>
          <w:left w:space="1"/>
        </w:pBdr>
        <w:spacing w:before="0" w:after="0"/>
        <w:ind w:left="456"/>
        <w:jc w:val="both"/>
      </w:pPr>
      <w:r>
        <w:rPr>
          <w:rFonts w:ascii="Times New Roman" w:hAnsi="Times New Roman"/>
          <w:b w:val="false"/>
          <w:i w:val="false"/>
          <w:color w:val="000000"/>
          <w:sz w:val="10"/>
        </w:rPr>
        <w:t>1</w:t>
      </w:r>
      <w:r>
        <w:rPr>
          <w:rFonts w:ascii="Times New Roman" w:hAnsi="Times New Roman"/>
          <w:b w:val="false"/>
          <w:i w:val="false"/>
          <w:color w:val="000000"/>
          <w:sz w:val="16"/>
        </w:rPr>
        <w:t>Available from Insurance Division</w:t>
      </w:r>
    </w:p>
    <w:p>
      <w:pPr>
        <w:spacing w:before="0" w:after="0"/>
        <w:ind w:left="120"/>
        <w:jc w:val="both"/>
      </w:pPr>
      <w:r>
        <w:rPr>
          <w:rFonts w:ascii="Times New Roman" w:hAnsi="Times New Roman"/>
          <w:b/>
          <w:i w:val="false"/>
          <w:color w:val="000000"/>
          <w:sz w:val="22"/>
        </w:rPr>
        <w:t>191—5.34</w:t>
      </w:r>
      <w:r>
        <w:rPr>
          <w:rFonts w:ascii="Times New Roman" w:hAnsi="Times New Roman"/>
          <w:b/>
          <w:i w:val="false"/>
          <w:color w:val="000000"/>
          <w:sz w:val="22"/>
        </w:rPr>
        <w:t xml:space="preserve">(508) </w:t>
      </w:r>
      <w:r>
        <w:rPr>
          <w:rFonts w:ascii="Times New Roman" w:hAnsi="Times New Roman"/>
          <w:b/>
          <w:i w:val="false"/>
          <w:color w:val="000000"/>
          <w:sz w:val="22"/>
        </w:rPr>
        <w:t xml:space="preserve">Actuarial opinion and memorandum.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5.34(1)</w:t>
      </w:r>
      <w:r>
        <w:rPr>
          <w:rFonts w:ascii="Times New Roman" w:hAnsi="Times New Roman"/>
          <w:b w:val="false"/>
          <w:i w:val="false"/>
          <w:color w:val="000000"/>
          <w:sz w:val="22"/>
        </w:rPr>
        <w:t> </w:t>
      </w:r>
      <w:r>
        <w:rPr>
          <w:rFonts w:ascii="Times New Roman" w:hAnsi="Times New Roman"/>
          <w:b w:val="false"/>
          <w:i/>
          <w:color w:val="000000"/>
          <w:sz w:val="22"/>
        </w:rPr>
        <w:t xml:space="preserve">Purpose and effective date. </w:t>
      </w:r>
      <w:r>
        <w:rPr>
          <w:rFonts w:ascii="Times New Roman" w:hAnsi="Times New Roman"/>
          <w:b w:val="false"/>
          <w:i w:val="false"/>
          <w:color w:val="000000"/>
          <w:sz w:val="22"/>
        </w:rPr>
        <w:t>The purpose of this rule is to prescribe: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statements of actuarial opinion that are to be submitted in accordance with Iowa Code section </w:t>
      </w:r>
      <w:hyperlink r:id="rId159">
        <w:r>
          <w:rPr>
            <w:rStyle w:val="Hyperlink"/>
            <w:rFonts w:ascii="Times New Roman" w:hAnsi="Times New Roman"/>
            <w:b w:val="false"/>
            <w:i w:val="false"/>
            <w:color w:val="000000"/>
            <w:sz w:val="22"/>
          </w:rPr>
          <w:t>508.36</w:t>
        </w:r>
      </w:hyperlink>
      <w:r>
        <w:rPr>
          <w:rFonts w:ascii="Times New Roman" w:hAnsi="Times New Roman"/>
          <w:b w:val="false"/>
          <w:i w:val="false"/>
          <w:color w:val="000000"/>
          <w:sz w:val="22"/>
        </w:rPr>
        <w:t xml:space="preserve"> and for memoranda in support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Rules applicable to the appointment of an appointed actuary;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Guidance as to the meaning of “adequacy of reserves.”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5.34(2)</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This rule is issued pursuant to the authority vested in the commissioner under Iowa Code section </w:t>
      </w:r>
      <w:hyperlink r:id="rId160">
        <w:r>
          <w:rPr>
            <w:rStyle w:val="Hyperlink"/>
            <w:rFonts w:ascii="Times New Roman" w:hAnsi="Times New Roman"/>
            <w:b w:val="false"/>
            <w:i w:val="false"/>
            <w:color w:val="000000"/>
            <w:sz w:val="22"/>
          </w:rPr>
          <w:t>508.36</w:t>
        </w:r>
      </w:hyperlink>
      <w:r>
        <w:rPr>
          <w:rFonts w:ascii="Times New Roman" w:hAnsi="Times New Roman"/>
          <w:b w:val="false"/>
          <w:i w:val="false"/>
          <w:color w:val="000000"/>
          <w:sz w:val="22"/>
        </w:rPr>
        <w:t>. This rule will take effect for annual statements for the year 2004.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5.34(3)</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This rule shall apply to all life insurance companies and fraternal benefit societies doing business in this state and to all life insurance companies and fraternal benefit societies which are authorized to reinsure life insurance, annuities or accident and health insurance business in this state.</w:t>
      </w:r>
    </w:p>
    <w:p>
      <w:pPr>
        <w:spacing w:before="0" w:after="0"/>
        <w:ind w:left="120"/>
        <w:jc w:val="both"/>
      </w:pPr>
      <w:r>
        <w:rPr>
          <w:rFonts w:ascii="Times New Roman" w:hAnsi="Times New Roman"/>
          <w:b w:val="false"/>
          <w:i w:val="false"/>
          <w:color w:val="000000"/>
          <w:sz w:val="22"/>
        </w:rPr>
        <w:t>This rule shall be applied in a manner that allows the appointed actuary to utilize the actuary’s professional judgment in performing the asset analysis and developing the actuarial opinion and supporting memoranda, consistent with relevant actuarial standards of practice. However, the commissioner shall have the authority to specify specific methods of actuarial analysis and actuarial assumptions when, in the commissioner’s judgment, these specifications are necessary for an acceptable opinion to be rendered relative to the adequacy of reserves and related items.</w:t>
      </w:r>
    </w:p>
    <w:p>
      <w:pPr>
        <w:spacing w:before="0" w:after="0"/>
        <w:ind w:left="120"/>
        <w:jc w:val="both"/>
      </w:pPr>
      <w:r>
        <w:rPr>
          <w:rFonts w:ascii="Times New Roman" w:hAnsi="Times New Roman"/>
          <w:b w:val="false"/>
          <w:i w:val="false"/>
          <w:color w:val="000000"/>
          <w:sz w:val="22"/>
        </w:rPr>
        <w:t xml:space="preserve">This rule shall be applicable to all annual statements filed with the office of the commissioner after January 1, 2004. A statement of opinion on the adequacy of the reserves and related actuarial items based on an asset adequacy analysis in accordance with subrule </w:t>
      </w:r>
      <w:hyperlink r:id="rId161">
        <w:r>
          <w:rPr>
            <w:rStyle w:val="Hyperlink"/>
            <w:rFonts w:ascii="Times New Roman" w:hAnsi="Times New Roman"/>
            <w:b w:val="false"/>
            <w:i w:val="false"/>
            <w:color w:val="000000"/>
            <w:sz w:val="22"/>
          </w:rPr>
          <w:t>5.34(6)</w:t>
        </w:r>
      </w:hyperlink>
      <w:r>
        <w:rPr>
          <w:rFonts w:ascii="Times New Roman" w:hAnsi="Times New Roman"/>
          <w:b w:val="false"/>
          <w:i w:val="false"/>
          <w:color w:val="000000"/>
          <w:sz w:val="22"/>
        </w:rPr>
        <w:t xml:space="preserve">, and a memorandum in support thereof in accordance with subrule </w:t>
      </w:r>
      <w:hyperlink r:id="rId162">
        <w:r>
          <w:rPr>
            <w:rStyle w:val="Hyperlink"/>
            <w:rFonts w:ascii="Times New Roman" w:hAnsi="Times New Roman"/>
            <w:b w:val="false"/>
            <w:i w:val="false"/>
            <w:color w:val="000000"/>
            <w:sz w:val="22"/>
          </w:rPr>
          <w:t>5.34(7)</w:t>
        </w:r>
      </w:hyperlink>
      <w:r>
        <w:rPr>
          <w:rFonts w:ascii="Times New Roman" w:hAnsi="Times New Roman"/>
          <w:b w:val="false"/>
          <w:i w:val="false"/>
          <w:color w:val="000000"/>
          <w:sz w:val="22"/>
        </w:rPr>
        <w:t>, shall be required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5.34(4)</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“Actuarial opinion” </w:t>
      </w:r>
      <w:r>
        <w:rPr>
          <w:rFonts w:ascii="Times New Roman" w:hAnsi="Times New Roman"/>
          <w:b w:val="false"/>
          <w:i w:val="false"/>
          <w:color w:val="000000"/>
          <w:sz w:val="22"/>
        </w:rPr>
        <w:t xml:space="preserve">means the opinion of an appointed actuary regarding the adequacy of the reserves and related actuarial items based on an asset adequacy analysis in accordance with subrule </w:t>
      </w:r>
      <w:hyperlink r:id="rId163">
        <w:r>
          <w:rPr>
            <w:rStyle w:val="Hyperlink"/>
            <w:rFonts w:ascii="Times New Roman" w:hAnsi="Times New Roman"/>
            <w:b w:val="false"/>
            <w:i w:val="false"/>
            <w:color w:val="000000"/>
            <w:sz w:val="22"/>
          </w:rPr>
          <w:t>5.34(6)</w:t>
        </w:r>
      </w:hyperlink>
      <w:r>
        <w:rPr>
          <w:rFonts w:ascii="Times New Roman" w:hAnsi="Times New Roman"/>
          <w:b w:val="false"/>
          <w:i w:val="false"/>
          <w:color w:val="000000"/>
          <w:sz w:val="22"/>
        </w:rPr>
        <w:t xml:space="preserve"> and with applicable actuarial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“Actuarial Standards Board” </w:t>
      </w:r>
      <w:r>
        <w:rPr>
          <w:rFonts w:ascii="Times New Roman" w:hAnsi="Times New Roman"/>
          <w:b w:val="false"/>
          <w:i w:val="false"/>
          <w:color w:val="000000"/>
          <w:sz w:val="22"/>
        </w:rPr>
        <w:t>means the board established by the American Academy of Actuaries to develop and promulgate standards of actuarial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statement” </w:t>
      </w:r>
      <w:r>
        <w:rPr>
          <w:rFonts w:ascii="Times New Roman" w:hAnsi="Times New Roman"/>
          <w:b w:val="false"/>
          <w:i w:val="false"/>
          <w:color w:val="000000"/>
          <w:sz w:val="22"/>
        </w:rPr>
        <w:t xml:space="preserve">means that statement required by Iowa Code section </w:t>
      </w:r>
      <w:hyperlink r:id="rId164">
        <w:r>
          <w:rPr>
            <w:rStyle w:val="Hyperlink"/>
            <w:rFonts w:ascii="Times New Roman" w:hAnsi="Times New Roman"/>
            <w:b w:val="false"/>
            <w:i w:val="false"/>
            <w:color w:val="000000"/>
            <w:sz w:val="22"/>
          </w:rPr>
          <w:t>508.11</w:t>
        </w:r>
      </w:hyperlink>
      <w:r>
        <w:rPr>
          <w:rFonts w:ascii="Times New Roman" w:hAnsi="Times New Roman"/>
          <w:b w:val="false"/>
          <w:i w:val="false"/>
          <w:color w:val="000000"/>
          <w:sz w:val="22"/>
        </w:rPr>
        <w:t xml:space="preserve"> to be filed annually by the company with the office of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“Appointed actuary” </w:t>
      </w:r>
      <w:r>
        <w:rPr>
          <w:rFonts w:ascii="Times New Roman" w:hAnsi="Times New Roman"/>
          <w:b w:val="false"/>
          <w:i w:val="false"/>
          <w:color w:val="000000"/>
          <w:sz w:val="22"/>
        </w:rPr>
        <w:t xml:space="preserve">means any individual who is appointed or retained in accordance with the requirements set forth in </w:t>
      </w:r>
      <w:hyperlink r:id="rId165">
        <w:r>
          <w:rPr>
            <w:rStyle w:val="Hyperlink"/>
            <w:rFonts w:ascii="Times New Roman" w:hAnsi="Times New Roman"/>
            <w:b w:val="false"/>
            <w:i w:val="false"/>
            <w:color w:val="000000"/>
            <w:sz w:val="22"/>
          </w:rPr>
          <w:t>5.34(5)</w:t>
        </w:r>
        <w:r>
          <w:rPr>
            <w:rFonts w:ascii="Times New Roman" w:hAnsi="Times New Roman"/>
            <w:b w:val="false"/>
            <w:i/>
            <w:color w:val="000000"/>
            <w:sz w:val="22"/>
          </w:rPr>
          <w:t>“c”</w:t>
        </w:r>
      </w:hyperlink>
      <w:r>
        <w:rPr>
          <w:rFonts w:ascii="Times New Roman" w:hAnsi="Times New Roman"/>
          <w:b w:val="false"/>
          <w:i w:val="false"/>
          <w:color w:val="000000"/>
          <w:sz w:val="22"/>
        </w:rPr>
        <w:t xml:space="preserve"> to provide the actuarial opinion and supporting memorandum as required by Iowa Code section </w:t>
      </w:r>
      <w:hyperlink r:id="rId166">
        <w:r>
          <w:rPr>
            <w:rStyle w:val="Hyperlink"/>
            <w:rFonts w:ascii="Times New Roman" w:hAnsi="Times New Roman"/>
            <w:b w:val="false"/>
            <w:i w:val="false"/>
            <w:color w:val="000000"/>
            <w:sz w:val="22"/>
          </w:rPr>
          <w:t>508.36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“Asset adequacy analysis” </w:t>
      </w:r>
      <w:r>
        <w:rPr>
          <w:rFonts w:ascii="Times New Roman" w:hAnsi="Times New Roman"/>
          <w:b w:val="false"/>
          <w:i w:val="false"/>
          <w:color w:val="000000"/>
          <w:sz w:val="22"/>
        </w:rPr>
        <w:t xml:space="preserve">means an analysis that meets the standards and other requirements referred to in </w:t>
      </w:r>
      <w:hyperlink r:id="rId167">
        <w:r>
          <w:rPr>
            <w:rStyle w:val="Hyperlink"/>
            <w:rFonts w:ascii="Times New Roman" w:hAnsi="Times New Roman"/>
            <w:b w:val="false"/>
            <w:i w:val="false"/>
            <w:color w:val="000000"/>
            <w:sz w:val="22"/>
          </w:rPr>
          <w:t>5.34(5)</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insurance commissioner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“Company” </w:t>
      </w:r>
      <w:r>
        <w:rPr>
          <w:rFonts w:ascii="Times New Roman" w:hAnsi="Times New Roman"/>
          <w:b w:val="false"/>
          <w:i w:val="false"/>
          <w:color w:val="000000"/>
          <w:sz w:val="22"/>
        </w:rPr>
        <w:t>means a life insurance company, fraternal benefit society or reinsurer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actuary” </w:t>
      </w:r>
      <w:r>
        <w:rPr>
          <w:rFonts w:ascii="Times New Roman" w:hAnsi="Times New Roman"/>
          <w:b w:val="false"/>
          <w:i w:val="false"/>
          <w:color w:val="000000"/>
          <w:sz w:val="22"/>
        </w:rPr>
        <w:t xml:space="preserve">means any individual who meets the requirements set forth in </w:t>
      </w:r>
      <w:hyperlink r:id="rId168">
        <w:r>
          <w:rPr>
            <w:rStyle w:val="Hyperlink"/>
            <w:rFonts w:ascii="Times New Roman" w:hAnsi="Times New Roman"/>
            <w:b w:val="false"/>
            <w:i w:val="false"/>
            <w:color w:val="000000"/>
            <w:sz w:val="22"/>
          </w:rPr>
          <w:t>5.34(5)</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5.34(5)</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Submission of statement of actuarial opinion.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to be included on or attached to page 1 of the annual statement for each year beginning with the statement filed as of December 31, 2004, the statement of an appointed actuary, entitled “Statement of Actuarial Opinion,” setting forth an opinion relating to reserves and related actuarial items held in support of policies and contracts, in accordance with </w:t>
      </w:r>
      <w:hyperlink r:id="rId169">
        <w:r>
          <w:rPr>
            <w:rStyle w:val="Hyperlink"/>
            <w:rFonts w:ascii="Times New Roman" w:hAnsi="Times New Roman"/>
            <w:b w:val="false"/>
            <w:i w:val="false"/>
            <w:color w:val="000000"/>
            <w:sz w:val="22"/>
          </w:rPr>
          <w:t>5.34(6)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written request by the company, the commissioner may grant an extension of the date for submission of the statement of actuarial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Qualified actuary. </w:t>
      </w:r>
      <w:r>
        <w:rPr>
          <w:rFonts w:ascii="Times New Roman" w:hAnsi="Times New Roman"/>
          <w:b w:val="false"/>
          <w:i w:val="false"/>
          <w:color w:val="000000"/>
          <w:sz w:val="22"/>
        </w:rPr>
        <w:t>A “qualified actuary” is an individual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member in good standing of the American Academy of Actuaries;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qualified to sign statements of actuarial opinion for life and health insurance company annual statements in accordance with the American Academy of Actuaries qualification standards for actuaries signing such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familiar with the valuation requirements applicable to life and health insurance companies;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not been found by the commissioner (or if so found has subsequently been reinstated as a qualified actuary), following appropriate notice and hearing, to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Violated any provision of, or any obligation imposed by, the insurance code or other law in the course of dealing as a qualified actuary;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Been found guilty of fraudulent or dishonest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Demonstrated incompetency, lack of cooperation, untrustworthiness to act as a qualified actuary;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Submitted to the commissioner during the past five years, pursuant to this rule, an actuarial opinion or memorandum that the commissioner rejected because it did not meet the provisions of this rule including standards set by the Actuarial Standards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Resigned or been removed as an actuary within the past five years as a result of acts or omissions indicated in any adverse report on examination or as a result of failure to adhere to generally acceptable actuarial standards;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Has not failed to notify the commissioner of any action taken by any commissioner of any other state similar to that under </w:t>
      </w:r>
      <w:hyperlink r:id="rId170">
        <w:r>
          <w:rPr>
            <w:rStyle w:val="Hyperlink"/>
            <w:rFonts w:ascii="Times New Roman" w:hAnsi="Times New Roman"/>
            <w:b w:val="false"/>
            <w:i w:val="false"/>
            <w:color w:val="000000"/>
            <w:sz w:val="22"/>
          </w:rPr>
          <w:t>5.34(5)</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Appointed actuary. </w:t>
      </w:r>
      <w:r>
        <w:rPr>
          <w:rFonts w:ascii="Times New Roman" w:hAnsi="Times New Roman"/>
          <w:b w:val="false"/>
          <w:i w:val="false"/>
          <w:color w:val="000000"/>
          <w:sz w:val="22"/>
        </w:rPr>
        <w:t xml:space="preserve">An “appointed actuary” is a qualified actuary who is appointed or retained to prepare the statement of actuarial opinion required by this rule, either directly by or by the authority of the board of directors through an executive officer of the company other than the qualified actuary. The company shall give the commissioner timely written notice of the name, title (and, in the case of a consulting actuary, the name of the firm) and manner of appointment or retention of each person appointed or retained by the company as an appointed actuary and shall state in the notice that the person meets the requirements set forth in </w:t>
      </w:r>
      <w:hyperlink r:id="rId171">
        <w:r>
          <w:rPr>
            <w:rStyle w:val="Hyperlink"/>
            <w:rFonts w:ascii="Times New Roman" w:hAnsi="Times New Roman"/>
            <w:b w:val="false"/>
            <w:i w:val="false"/>
            <w:color w:val="000000"/>
            <w:sz w:val="22"/>
          </w:rPr>
          <w:t>5.34(5)</w:t>
        </w:r>
        <w:r>
          <w:rPr>
            <w:rFonts w:ascii="Times New Roman" w:hAnsi="Times New Roman"/>
            <w:b w:val="false"/>
            <w:i/>
            <w:color w:val="000000"/>
            <w:sz w:val="22"/>
          </w:rPr>
          <w:t>“b.”</w:t>
        </w:r>
      </w:hyperlink>
      <w:r>
        <w:rPr>
          <w:rFonts w:ascii="Times New Roman" w:hAnsi="Times New Roman"/>
          <w:b w:val="false"/>
          <w:i w:val="false"/>
          <w:color w:val="000000"/>
          <w:sz w:val="22"/>
        </w:rPr>
        <w:t xml:space="preserve"> Once notice is furnished, no further notice is required with respect to this person, provided that the company shall give the commissioner timely written notice in the event the actuary ceases to be appointed or retained as an appointed actuary or to meet the requirements set forth in </w:t>
      </w:r>
      <w:hyperlink r:id="rId172">
        <w:r>
          <w:rPr>
            <w:rStyle w:val="Hyperlink"/>
            <w:rFonts w:ascii="Times New Roman" w:hAnsi="Times New Roman"/>
            <w:b w:val="false"/>
            <w:i w:val="false"/>
            <w:color w:val="000000"/>
            <w:sz w:val="22"/>
          </w:rPr>
          <w:t>5.34(5)</w:t>
        </w:r>
        <w:r>
          <w:rPr>
            <w:rFonts w:ascii="Times New Roman" w:hAnsi="Times New Roman"/>
            <w:b w:val="false"/>
            <w:i/>
            <w:color w:val="000000"/>
            <w:sz w:val="22"/>
          </w:rPr>
          <w:t>“b.”</w:t>
        </w:r>
      </w:hyperlink>
      <w:r>
        <w:rPr>
          <w:rFonts w:ascii="Times New Roman" w:hAnsi="Times New Roman"/>
          <w:b w:val="false"/>
          <w:i w:val="false"/>
          <w:color w:val="000000"/>
          <w:sz w:val="22"/>
        </w:rPr>
        <w:t xml:space="preserve"> If any person appointed or retained as an appointed actuary replaces a previously appointed actuary, the notice shall so state and give the reasons for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Standards for asset adequacy analysis. </w:t>
      </w:r>
      <w:r>
        <w:rPr>
          <w:rFonts w:ascii="Times New Roman" w:hAnsi="Times New Roman"/>
          <w:b w:val="false"/>
          <w:i w:val="false"/>
          <w:color w:val="000000"/>
          <w:sz w:val="22"/>
        </w:rPr>
        <w:t>The asset adequacy analysis required by this rule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Conform to the standards of practice as promulgated from time to time by the Actuarial Standards Board and any additional standards under this rule, which standards are to form the basis of the statement of actuarial opinion in accordance with </w:t>
      </w:r>
      <w:hyperlink r:id="rId173">
        <w:r>
          <w:rPr>
            <w:rStyle w:val="Hyperlink"/>
            <w:rFonts w:ascii="Times New Roman" w:hAnsi="Times New Roman"/>
            <w:b w:val="false"/>
            <w:i w:val="false"/>
            <w:color w:val="000000"/>
            <w:sz w:val="22"/>
          </w:rPr>
          <w:t>5.34(6)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based on methods of analysis as are deemed appropriate for such purposes by the Actuarial Standards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Liabilities to be covered.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the authority of Iowa Code section </w:t>
      </w:r>
      <w:hyperlink r:id="rId174">
        <w:r>
          <w:rPr>
            <w:rStyle w:val="Hyperlink"/>
            <w:rFonts w:ascii="Times New Roman" w:hAnsi="Times New Roman"/>
            <w:b w:val="false"/>
            <w:i w:val="false"/>
            <w:color w:val="000000"/>
            <w:sz w:val="22"/>
          </w:rPr>
          <w:t>508.36</w:t>
        </w:r>
      </w:hyperlink>
      <w:r>
        <w:rPr>
          <w:rFonts w:ascii="Times New Roman" w:hAnsi="Times New Roman"/>
          <w:b w:val="false"/>
          <w:i w:val="false"/>
          <w:color w:val="000000"/>
          <w:sz w:val="22"/>
        </w:rPr>
        <w:t>, the statement of actuarial opinion shall apply to all in-force business on the statement date, whether directly issued or assumed, regardless of when or where issued, e.g., reserves of Exhibits 8, 9, and 10, and claim liabilities in Exhibit 11, part 1, and equivalent items in the separate account statement or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appointed actuary determines as the result of asset adequacy analysis that a reserve should be held in addition to the aggregate reserve held by the company and calculated in accordance with methods set forth in Iowa Code section </w:t>
      </w:r>
      <w:hyperlink r:id="rId175">
        <w:r>
          <w:rPr>
            <w:rStyle w:val="Hyperlink"/>
            <w:rFonts w:ascii="Times New Roman" w:hAnsi="Times New Roman"/>
            <w:b w:val="false"/>
            <w:i w:val="false"/>
            <w:color w:val="000000"/>
            <w:sz w:val="22"/>
          </w:rPr>
          <w:t>508.36</w:t>
        </w:r>
      </w:hyperlink>
      <w:r>
        <w:rPr>
          <w:rFonts w:ascii="Times New Roman" w:hAnsi="Times New Roman"/>
          <w:b w:val="false"/>
          <w:i w:val="false"/>
          <w:color w:val="000000"/>
          <w:sz w:val="22"/>
        </w:rPr>
        <w:t>, the company shall establish the additional reserve.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reserves established under </w:t>
      </w:r>
      <w:hyperlink r:id="rId176">
        <w:r>
          <w:rPr>
            <w:rStyle w:val="Hyperlink"/>
            <w:rFonts w:ascii="Times New Roman" w:hAnsi="Times New Roman"/>
            <w:b w:val="false"/>
            <w:i w:val="false"/>
            <w:color w:val="000000"/>
            <w:sz w:val="22"/>
          </w:rPr>
          <w:t>5.34(5)</w:t>
        </w:r>
        <w:r>
          <w:rPr>
            <w:rFonts w:ascii="Times New Roman" w:hAnsi="Times New Roman"/>
            <w:b w:val="false"/>
            <w:i/>
            <w:color w:val="000000"/>
            <w:sz w:val="22"/>
          </w:rPr>
          <w:t>“e”</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deemed not necessary in subsequent years may be released. Any amounts released shall be disclosed in the actuarial opinion for the applicable year. The release of such reserves would not be deemed an adoption of a lower standard of 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5.34(6)</w:t>
      </w:r>
      <w:r>
        <w:rPr>
          <w:rFonts w:ascii="Times New Roman" w:hAnsi="Times New Roman"/>
          <w:b w:val="false"/>
          <w:i w:val="false"/>
          <w:color w:val="000000"/>
          <w:sz w:val="22"/>
        </w:rPr>
        <w:t> </w:t>
      </w:r>
      <w:r>
        <w:rPr>
          <w:rFonts w:ascii="Times New Roman" w:hAnsi="Times New Roman"/>
          <w:b w:val="false"/>
          <w:i/>
          <w:color w:val="000000"/>
          <w:sz w:val="22"/>
        </w:rPr>
        <w:t xml:space="preserve">Statement of actuarial opinion based on an asset adequacy analysis.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description. </w:t>
      </w:r>
      <w:r>
        <w:rPr>
          <w:rFonts w:ascii="Times New Roman" w:hAnsi="Times New Roman"/>
          <w:b w:val="false"/>
          <w:i w:val="false"/>
          <w:color w:val="000000"/>
          <w:sz w:val="22"/>
        </w:rPr>
        <w:t>The statement of actuarial opinion submitted in accordance with this subrule shall consist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paragraph identifying the appointed actuary and the actuary’s qualifications (see </w:t>
      </w:r>
      <w:hyperlink r:id="rId177">
        <w:r>
          <w:rPr>
            <w:rStyle w:val="Hyperlink"/>
            <w:rFonts w:ascii="Times New Roman" w:hAnsi="Times New Roman"/>
            <w:b w:val="false"/>
            <w:i w:val="false"/>
            <w:color w:val="000000"/>
            <w:sz w:val="22"/>
          </w:rPr>
          <w:t>5.34(6)</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scope paragraph identifying the subjects on which an opinion is to be expressed and describing the scope of the appointed actuary’s work, including a tabulation delineating the reserves and related actuarial items that have been analyzed for asset adequacy and the method of analysis (see </w:t>
      </w:r>
      <w:hyperlink r:id="rId178">
        <w:r>
          <w:rPr>
            <w:rStyle w:val="Hyperlink"/>
            <w:rFonts w:ascii="Times New Roman" w:hAnsi="Times New Roman"/>
            <w:b w:val="false"/>
            <w:i w:val="false"/>
            <w:color w:val="000000"/>
            <w:sz w:val="22"/>
          </w:rPr>
          <w:t>5.34(6)</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and identifying the reserves and related actuarial items covered by the opinion that have not been so analyzed;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reliance paragraph describing those areas, if any, where the appointed actuary has deferred to other experts in developing data, procedures or assumptions (e.g., anticipated cash flows from currently owned assets, including variation in cash flows according to economic scenarios (see </w:t>
      </w:r>
      <w:hyperlink r:id="rId179">
        <w:r>
          <w:rPr>
            <w:rStyle w:val="Hyperlink"/>
            <w:rFonts w:ascii="Times New Roman" w:hAnsi="Times New Roman"/>
            <w:b w:val="false"/>
            <w:i w:val="false"/>
            <w:color w:val="000000"/>
            <w:sz w:val="22"/>
          </w:rPr>
          <w:t>5.34(6)</w:t>
        </w:r>
        <w:r>
          <w:rPr>
            <w:rFonts w:ascii="Times New Roman" w:hAnsi="Times New Roman"/>
            <w:b w:val="false"/>
            <w:i/>
            <w:color w:val="000000"/>
            <w:sz w:val="22"/>
          </w:rPr>
          <w:t>“b”</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supported by a statement of each such expert in the form prescribed by </w:t>
      </w:r>
      <w:hyperlink r:id="rId180">
        <w:r>
          <w:rPr>
            <w:rStyle w:val="Hyperlink"/>
            <w:rFonts w:ascii="Times New Roman" w:hAnsi="Times New Roman"/>
            <w:b w:val="false"/>
            <w:i w:val="false"/>
            <w:color w:val="000000"/>
            <w:sz w:val="22"/>
          </w:rPr>
          <w:t>5.34(6)</w:t>
        </w:r>
        <w:r>
          <w:rPr>
            <w:rFonts w:ascii="Times New Roman" w:hAnsi="Times New Roman"/>
            <w:b w:val="false"/>
            <w:i/>
            <w:color w:val="000000"/>
            <w:sz w:val="22"/>
          </w:rPr>
          <w:t>“e”</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 opinion paragraph expressing the appointed actuary’s opinion with respect to the adequacy of the supporting assets to mature the liabilities (see </w:t>
      </w:r>
      <w:hyperlink r:id="rId181">
        <w:r>
          <w:rPr>
            <w:rStyle w:val="Hyperlink"/>
            <w:rFonts w:ascii="Times New Roman" w:hAnsi="Times New Roman"/>
            <w:b w:val="false"/>
            <w:i w:val="false"/>
            <w:color w:val="000000"/>
            <w:sz w:val="22"/>
          </w:rPr>
          <w:t>5.34(6)</w:t>
        </w:r>
        <w:r>
          <w:rPr>
            <w:rFonts w:ascii="Times New Roman" w:hAnsi="Times New Roman"/>
            <w:b w:val="false"/>
            <w:i/>
            <w:color w:val="000000"/>
            <w:sz w:val="22"/>
          </w:rPr>
          <w:t>“b”</w:t>
        </w:r>
        <w:r>
          <w:rPr>
            <w:rFonts w:ascii="Times New Roman" w:hAnsi="Times New Roman"/>
            <w:b w:val="false"/>
            <w:i w:val="false"/>
            <w:color w:val="000000"/>
            <w:sz w:val="22"/>
          </w:rPr>
          <w:t>(6)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One or more additional paragraphs will be needed in individual company cases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appointed actuary considers it necessary to state a qualification of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appointed actuary must disclose an inconsistency in the method of analysis or basis of asset allocation used at the prior opinion date with that used for this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appointed actuary must disclose whether additional reserves of the prior opinion date are released as of this opinion date, and the extent of the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appointed actuary chooses to add a paragraph briefly describing the assumptions that form the basis for the actuarial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Recommended language. </w:t>
      </w:r>
      <w:r>
        <w:rPr>
          <w:rFonts w:ascii="Times New Roman" w:hAnsi="Times New Roman"/>
          <w:b w:val="false"/>
          <w:i w:val="false"/>
          <w:color w:val="000000"/>
          <w:sz w:val="22"/>
        </w:rPr>
        <w:t>The following paragraphs shall be included in the statement of actuarial opinion in accordance with this subrule. Language is that which in typical circumstances should be included in a statement of actuarial opinion. The language may be modified as needed to meet the circumstances of a particular case, but the appointed actuary should use language that clearly expresses the actuary’s professional judgment. However, in any event, the opinion shall retain all pertinent aspects of the language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opening paragraph should generally indicate the appointed actuary’s relationship to the company and qualifications to sign the opinion. For a company actuary, the opening paragraph of the actuarial opinion should include a statement such as:</w:t>
      </w:r>
    </w:p>
    <w:p>
      <w:pPr>
        <w:spacing w:before="0" w:after="0"/>
        <w:ind w:left="120"/>
        <w:jc w:val="both"/>
      </w:pPr>
      <w:r>
        <w:rPr>
          <w:rFonts w:ascii="Times New Roman" w:hAnsi="Times New Roman"/>
          <w:b w:val="false"/>
          <w:i w:val="false"/>
          <w:color w:val="000000"/>
          <w:sz w:val="22"/>
        </w:rPr>
        <w:t>“I, [name], am [title] of [insurance company name] and a member of the American Academy of Actuaries. I was appointed by, or by the authority of, the board of directors of said insurer to render this opinion as stated in the letter to the commissioner dated [insert date]. I meet the Academy qualification standards for rendering the opinion and am familiar with the valuation requirements applicable to life and health insurance companies.”</w:t>
      </w:r>
    </w:p>
    <w:p>
      <w:pPr>
        <w:spacing w:before="0" w:after="0"/>
        <w:ind w:left="120"/>
        <w:jc w:val="both"/>
      </w:pPr>
      <w:r>
        <w:rPr>
          <w:rFonts w:ascii="Times New Roman" w:hAnsi="Times New Roman"/>
          <w:b w:val="false"/>
          <w:i w:val="false"/>
          <w:color w:val="000000"/>
          <w:sz w:val="22"/>
        </w:rPr>
        <w:t>For a consulting actuary, the opening paragraph should include a statement such as:</w:t>
      </w:r>
    </w:p>
    <w:p>
      <w:pPr>
        <w:spacing w:before="0" w:after="0"/>
        <w:ind w:left="120"/>
        <w:jc w:val="both"/>
      </w:pPr>
      <w:r>
        <w:rPr>
          <w:rFonts w:ascii="Times New Roman" w:hAnsi="Times New Roman"/>
          <w:b w:val="false"/>
          <w:i w:val="false"/>
          <w:color w:val="000000"/>
          <w:sz w:val="22"/>
        </w:rPr>
        <w:t>“I, [name], a member of the American Academy of Actuaries, am associated with the firm of [name of consulting firm]. I have been appointed by, or by the authority of, the board of directors of [name of company] to render this opinion as stated in the letter to the commissioner dated [insert date]. I meet the Academy qualification standards for rendering the opinion and am familiar with the valuation requirements applicable to life and health insurance companies.”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scope paragraph should include a statement such as:</w:t>
      </w:r>
    </w:p>
    <w:p>
      <w:pPr>
        <w:spacing w:before="0" w:after="0"/>
        <w:ind w:left="120"/>
        <w:jc w:val="both"/>
      </w:pPr>
      <w:r>
        <w:rPr>
          <w:rFonts w:ascii="Times New Roman" w:hAnsi="Times New Roman"/>
          <w:b w:val="false"/>
          <w:i w:val="false"/>
          <w:color w:val="000000"/>
          <w:sz w:val="22"/>
        </w:rPr>
        <w:t>“I have examined the actuarial assumptions and actuarial methods used in determining reserves and related actuarial items listed below, as shown in the annual statement of the company, as prepared for filing with state regulatory officials, as of December 31, 20____. Tabulated below are those reserves and related actuarial items which have been subjected to asset adequacy analysis.”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590"/>
        <w:gridCol w:w="1363"/>
        <w:gridCol w:w="1768"/>
        <w:gridCol w:w="1400"/>
        <w:gridCol w:w="1246"/>
        <w:gridCol w:w="1822"/>
      </w:tblGrid>
      <w:tr>
        <w:trPr>
          <w:trHeight w:val="240" w:hRule="atLeast"/>
        </w:trPr>
        <w:tc>
          <w:tcPr>
            <w:tcW w:w="0" w:type="auto"/>
            <w:gridSpan w:val="6"/>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7"/>
              </w:rPr>
              <w:t>Asset Adequacy Tested Amounts – Reserves and Liabilities</w:t>
            </w:r>
          </w:p>
        </w:tc>
      </w:tr>
      <w:tr>
        <w:trPr>
          <w:trHeight w:val="615" w:hRule="atLeast"/>
        </w:trPr>
        <w:tc>
          <w:tcPr>
            <w:tcW w:w="359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7"/>
              </w:rPr>
              <w:t>Statement Item</w:t>
            </w:r>
          </w:p>
        </w:tc>
        <w:tc>
          <w:tcPr>
            <w:tcW w:w="136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7"/>
              </w:rPr>
              <w:t>Formula Reserves (1)</w:t>
            </w:r>
          </w:p>
        </w:tc>
        <w:tc>
          <w:tcPr>
            <w:tcW w:w="1768"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7"/>
              </w:rPr>
              <w:t>Additional Actuarial Reserves (a) (2)</w:t>
            </w:r>
          </w:p>
        </w:tc>
        <w:tc>
          <w:tcPr>
            <w:tcW w:w="140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7"/>
              </w:rPr>
              <w:t>Analysis Method (b)</w:t>
            </w:r>
          </w:p>
        </w:tc>
        <w:tc>
          <w:tcPr>
            <w:tcW w:w="1246"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7"/>
              </w:rPr>
              <w:t>Other Amount (3)</w:t>
            </w:r>
          </w:p>
        </w:tc>
        <w:tc>
          <w:tcPr>
            <w:tcW w:w="1822"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7"/>
              </w:rPr>
              <w:t>Total Amount (1)+(2)+(3)</w:t>
            </w:r>
          </w:p>
          <w:p>
            <w:pPr>
              <w:spacing w:before="0" w:after="0"/>
              <w:ind w:left="160"/>
              <w:jc w:val="center"/>
            </w:pPr>
            <w:r>
              <w:rPr>
                <w:rFonts w:ascii="Times New Roman" w:hAnsi="Times New Roman"/>
                <w:b w:val="false"/>
                <w:i w:val="false"/>
                <w:color w:val="000000"/>
                <w:sz w:val="17"/>
              </w:rPr>
              <w:t>(4)</w:t>
            </w:r>
          </w:p>
        </w:tc>
      </w:tr>
      <w:tr>
        <w:trPr>
          <w:trHeight w:val="435"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7"/>
                <w:u w:val="single"/>
              </w:rPr>
              <w:t>Exhibit 5</w:t>
            </w:r>
          </w:p>
          <w:p>
            <w:pPr>
              <w:spacing w:before="0" w:after="0"/>
              <w:ind w:left="160"/>
              <w:jc w:val="left"/>
            </w:pPr>
            <w:r>
              <w:rPr>
                <w:rFonts w:ascii="Times New Roman" w:hAnsi="Times New Roman"/>
                <w:b w:val="false"/>
                <w:i w:val="false"/>
                <w:color w:val="000000"/>
                <w:sz w:val="17"/>
              </w:rPr>
              <w:t>ALife Insurance</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BAnnuities</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7"/>
              </w:rPr>
              <w:t>CSupplementary Contracts Involving Life Contingencies</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DAccidental Death Benefit</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EDisability—Active</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FDisability—Disabled</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GMiscellaneous</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Total (Exhibit 5 Item 1, Page 3)</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7"/>
                <w:u w:val="single"/>
              </w:rPr>
              <w:t>Exhibit 6</w:t>
            </w:r>
          </w:p>
          <w:p>
            <w:pPr>
              <w:spacing w:before="0" w:after="0"/>
              <w:ind w:left="160"/>
              <w:jc w:val="left"/>
            </w:pPr>
            <w:r>
              <w:rPr>
                <w:rFonts w:ascii="Times New Roman" w:hAnsi="Times New Roman"/>
                <w:b w:val="false"/>
                <w:i w:val="false"/>
                <w:color w:val="000000"/>
                <w:sz w:val="17"/>
              </w:rPr>
              <w:t>AActive Life Reserve</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BClaim Reserve</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Total (Exhibit 6 Item 2, Page 3)</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615"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7"/>
                <w:u w:val="single"/>
              </w:rPr>
              <w:t>Exhibit 7</w:t>
            </w:r>
          </w:p>
          <w:p>
            <w:pPr>
              <w:spacing w:before="0" w:after="0"/>
              <w:ind w:left="160"/>
              <w:jc w:val="left"/>
            </w:pPr>
            <w:r>
              <w:rPr>
                <w:rFonts w:ascii="Times New Roman" w:hAnsi="Times New Roman"/>
                <w:b w:val="false"/>
                <w:i w:val="false"/>
                <w:color w:val="000000"/>
                <w:sz w:val="17"/>
              </w:rPr>
              <w:t>Premiums and Other Deposit Funds (Column 5, Line 14)</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Guaranteed Interest Contracts (Column 2, Line 14)</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Other (Column 6, Line 14)</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Supplemental Contracts and Annuities (Column 3, Line 14)</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Dividend Accumulations or Refunds (Column 4, Line 14)</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7"/>
              </w:rPr>
              <w:t>Total Exhibit 7</w:t>
            </w:r>
          </w:p>
          <w:p>
            <w:pPr>
              <w:spacing w:before="0" w:after="0"/>
              <w:ind w:left="160"/>
              <w:jc w:val="left"/>
            </w:pPr>
            <w:r>
              <w:rPr>
                <w:rFonts w:ascii="Times New Roman" w:hAnsi="Times New Roman"/>
                <w:b w:val="false"/>
                <w:i w:val="false"/>
                <w:color w:val="000000"/>
                <w:sz w:val="17"/>
              </w:rPr>
              <w:t>(Column 1, Line 14)</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435"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7"/>
                <w:u w:val="single"/>
              </w:rPr>
              <w:t>Exhibit 8, Part 1</w:t>
            </w:r>
          </w:p>
          <w:p>
            <w:pPr>
              <w:spacing w:before="0" w:after="0"/>
              <w:ind w:left="160"/>
              <w:jc w:val="left"/>
            </w:pPr>
            <w:r>
              <w:rPr>
                <w:rFonts w:ascii="Times New Roman" w:hAnsi="Times New Roman"/>
                <w:b w:val="false"/>
                <w:i w:val="false"/>
                <w:color w:val="000000"/>
                <w:sz w:val="17"/>
              </w:rPr>
              <w:t>1Life (Page 3, Line 4.1)</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2Health (Page 3, Line 4.2)</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Total Exhibit 8, Part 1</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645"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Separate Accounts (Page 3 of the Annual Statement of the Separate Accounts, Lines 1, 2, 3.1, 3.2, 3.3)</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TOTAL RESERVES</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359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36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2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c>
          <w:tcPr>
            <w:tcW w:w="18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 </w:t>
            </w:r>
          </w:p>
        </w:tc>
      </w:tr>
      <w:tr>
        <w:trPr>
          <w:trHeight w:val="240" w:hRule="atLeast"/>
        </w:trPr>
        <w:tc>
          <w:tcPr>
            <w:tcW w:w="0" w:type="auto"/>
            <w:gridSpan w:val="6"/>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IMR (General Account, Page _____ Line _______)</w:t>
            </w:r>
          </w:p>
        </w:tc>
      </w:tr>
      <w:tr>
        <w:trPr>
          <w:trHeight w:val="240" w:hRule="atLeast"/>
        </w:trPr>
        <w:tc>
          <w:tcPr>
            <w:tcW w:w="0" w:type="auto"/>
            <w:gridSpan w:val="6"/>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(Separate Accounts, Page ____ Line __________)</w:t>
            </w:r>
          </w:p>
        </w:tc>
      </w:tr>
      <w:tr>
        <w:trPr>
          <w:trHeight w:val="24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AVR (Page _____ Line _______)</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(c)</w:t>
            </w:r>
          </w:p>
        </w:tc>
      </w:tr>
      <w:tr>
        <w:trPr>
          <w:trHeight w:val="240" w:hRule="atLeast"/>
        </w:trPr>
        <w:tc>
          <w:tcPr>
            <w:tcW w:w="0" w:type="auto"/>
            <w:gridSpan w:val="6"/>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7"/>
              </w:rPr>
              <w:t>Net Deferred and Uncollected Premium</w:t>
            </w:r>
          </w:p>
        </w:tc>
      </w:tr>
    </w:tbl>
    <w:p>
      <w:pPr>
        <w:spacing w:before="0" w:after="0"/>
        <w:ind w:left="120"/>
        <w:jc w:val="both"/>
      </w:pPr>
      <w:r>
        <w:rPr>
          <w:rFonts w:ascii="Times New Roman" w:hAnsi="Times New Roman"/>
          <w:b w:val="false"/>
          <w:i w:val="false"/>
          <w:color w:val="000000"/>
          <w:sz w:val="22"/>
        </w:rPr>
        <w:t>Notes:</w:t>
      </w:r>
    </w:p>
    <w:p>
      <w:pPr>
        <w:spacing w:before="0" w:after="0"/>
        <w:ind w:left="120"/>
        <w:jc w:val="both"/>
      </w:pPr>
      <w:r>
        <w:rPr>
          <w:rFonts w:ascii="Times New Roman" w:hAnsi="Times New Roman"/>
          <w:b w:val="false"/>
          <w:i w:val="false"/>
          <w:color w:val="000000"/>
          <w:sz w:val="22"/>
        </w:rPr>
        <w:t xml:space="preserve">(a)The additional actuarial reserves are the reserves established under subparagraph (2) of </w:t>
      </w:r>
      <w:hyperlink r:id="rId182">
        <w:r>
          <w:rPr>
            <w:rStyle w:val="Hyperlink"/>
            <w:rFonts w:ascii="Times New Roman" w:hAnsi="Times New Roman"/>
            <w:b w:val="false"/>
            <w:i w:val="false"/>
            <w:color w:val="000000"/>
            <w:sz w:val="22"/>
          </w:rPr>
          <w:t>5.34(5)</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xml:space="preserve">(b)The appointed actuary should indicate the method of analysis, determined in accordance with the standards for asset adequacy analysis referred to in paragraph </w:t>
      </w:r>
      <w:hyperlink r:id="rId183">
        <w:r>
          <w:rPr>
            <w:rStyle w:val="Hyperlink"/>
            <w:rFonts w:ascii="Times New Roman" w:hAnsi="Times New Roman"/>
            <w:b w:val="false"/>
            <w:i w:val="false"/>
            <w:color w:val="000000"/>
            <w:sz w:val="22"/>
          </w:rPr>
          <w:t>5.34(5)</w:t>
        </w:r>
        <w:r>
          <w:rPr>
            <w:rFonts w:ascii="Times New Roman" w:hAnsi="Times New Roman"/>
            <w:b w:val="false"/>
            <w:i/>
            <w:color w:val="000000"/>
            <w:sz w:val="22"/>
          </w:rPr>
          <w:t>“d,”</w:t>
        </w:r>
      </w:hyperlink>
      <w:r>
        <w:rPr>
          <w:rFonts w:ascii="Times New Roman" w:hAnsi="Times New Roman"/>
          <w:b w:val="false"/>
          <w:i w:val="false"/>
          <w:color w:val="000000"/>
          <w:sz w:val="22"/>
        </w:rPr>
        <w:t xml:space="preserve"> by means of symbols that should be defined in footnotes to the table.</w:t>
      </w:r>
    </w:p>
    <w:p>
      <w:pPr>
        <w:spacing w:before="0" w:after="0"/>
        <w:ind w:left="120"/>
        <w:jc w:val="both"/>
      </w:pPr>
      <w:r>
        <w:rPr>
          <w:rFonts w:ascii="Times New Roman" w:hAnsi="Times New Roman"/>
          <w:b w:val="false"/>
          <w:i w:val="false"/>
          <w:color w:val="000000"/>
          <w:sz w:val="22"/>
        </w:rPr>
        <w:t>(c)Allocated amount of asset valuation reserve (AVR).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appointed actuary has relied on other experts to develop certain portions of the analysis, the reliance paragraph should include a statement such as:</w:t>
      </w:r>
    </w:p>
    <w:p>
      <w:pPr>
        <w:spacing w:before="0" w:after="0"/>
        <w:ind w:left="120"/>
        <w:jc w:val="both"/>
      </w:pPr>
      <w:r>
        <w:rPr>
          <w:rFonts w:ascii="Times New Roman" w:hAnsi="Times New Roman"/>
          <w:b w:val="false"/>
          <w:i w:val="false"/>
          <w:color w:val="000000"/>
          <w:sz w:val="22"/>
        </w:rPr>
        <w:t>“I have relied on [name], [title] for [e.g., ‘anticipated cash flows from currently owned assets, including variations in cash flows according to economic scenarios’ or ‘certain critical aspects of the analysis performed in conjunction with forming my opinion’], as certified in the attached statement. I have reviewed the information relied upon for reasonableness.”</w:t>
      </w:r>
    </w:p>
    <w:p>
      <w:pPr>
        <w:spacing w:before="0" w:after="0"/>
        <w:ind w:left="120"/>
        <w:jc w:val="both"/>
      </w:pPr>
      <w:r>
        <w:rPr>
          <w:rFonts w:ascii="Times New Roman" w:hAnsi="Times New Roman"/>
          <w:b w:val="false"/>
          <w:i w:val="false"/>
          <w:color w:val="000000"/>
          <w:sz w:val="22"/>
        </w:rPr>
        <w:t xml:space="preserve">Such a statement of reliance on other experts should be accompanied by a statement by each of such experts in the form prescribed by </w:t>
      </w:r>
      <w:hyperlink r:id="rId184">
        <w:r>
          <w:rPr>
            <w:rStyle w:val="Hyperlink"/>
            <w:rFonts w:ascii="Times New Roman" w:hAnsi="Times New Roman"/>
            <w:b w:val="false"/>
            <w:i w:val="false"/>
            <w:color w:val="000000"/>
            <w:sz w:val="22"/>
          </w:rPr>
          <w:t>5.34(6)</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appointed actuary has examined the underlying asset and liability records, the reliance paragraph should include a statement such as:</w:t>
      </w:r>
    </w:p>
    <w:p>
      <w:pPr>
        <w:spacing w:before="0" w:after="0"/>
        <w:ind w:left="120"/>
        <w:jc w:val="both"/>
      </w:pPr>
      <w:r>
        <w:rPr>
          <w:rFonts w:ascii="Times New Roman" w:hAnsi="Times New Roman"/>
          <w:b w:val="false"/>
          <w:i w:val="false"/>
          <w:color w:val="000000"/>
          <w:sz w:val="22"/>
        </w:rPr>
        <w:t>“My examination included such review of the actuarial assumptions and actuarial methods and of the underlying basic asset and liability records and such tests of the actuarial calculations as I considered necessary. I also reconciled the underlying basic asset and liability records to [exhibits and schedules listed as applicable] of the company’s current annual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appointed actuary has not examined the underlying records, but has relied upon data (e.g., listings and summaries of policies in force or asset records) prepared by the company, the reliance paragraph should include a statement such as:</w:t>
      </w:r>
    </w:p>
    <w:p>
      <w:pPr>
        <w:spacing w:before="0" w:after="0"/>
        <w:ind w:left="120"/>
        <w:jc w:val="both"/>
      </w:pPr>
      <w:r>
        <w:rPr>
          <w:rFonts w:ascii="Times New Roman" w:hAnsi="Times New Roman"/>
          <w:b w:val="false"/>
          <w:i w:val="false"/>
          <w:color w:val="000000"/>
          <w:sz w:val="22"/>
        </w:rPr>
        <w:t>“In forming my opinion on [specify types of reserves], I relied upon data prepared by [name and title of company officer certifying in-force records or other data] as certified in the attached statements. I evaluated that data for reasonableness and consistency. I also reconciled that data to [exhibits and schedules to be listed as applicable] of the company’s current annual statement. In other respects, my examination included review of the actuarial assumptions and actuarial methods used and tests of the calculations I considered necessary.”</w:t>
      </w:r>
    </w:p>
    <w:p>
      <w:pPr>
        <w:spacing w:before="0" w:after="0"/>
        <w:ind w:left="120"/>
        <w:jc w:val="both"/>
      </w:pPr>
      <w:r>
        <w:rPr>
          <w:rFonts w:ascii="Times New Roman" w:hAnsi="Times New Roman"/>
          <w:b w:val="false"/>
          <w:i w:val="false"/>
          <w:color w:val="000000"/>
          <w:sz w:val="22"/>
        </w:rPr>
        <w:t xml:space="preserve">The section shall be accompanied by a statement by each person relied upon in the form prescribed by </w:t>
      </w:r>
      <w:hyperlink r:id="rId185">
        <w:r>
          <w:rPr>
            <w:rStyle w:val="Hyperlink"/>
            <w:rFonts w:ascii="Times New Roman" w:hAnsi="Times New Roman"/>
            <w:b w:val="false"/>
            <w:i w:val="false"/>
            <w:color w:val="000000"/>
            <w:sz w:val="22"/>
          </w:rPr>
          <w:t>5.34(6)</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opinion paragraph shall include a statement such as:</w:t>
      </w:r>
    </w:p>
    <w:p>
      <w:pPr>
        <w:spacing w:before="0" w:after="0"/>
        <w:ind w:left="120"/>
        <w:jc w:val="both"/>
      </w:pPr>
      <w:r>
        <w:rPr>
          <w:rFonts w:ascii="Times New Roman" w:hAnsi="Times New Roman"/>
          <w:b w:val="false"/>
          <w:i w:val="false"/>
          <w:color w:val="000000"/>
          <w:sz w:val="22"/>
        </w:rPr>
        <w:t>“In my opinion the reserves and related actuarial values concerning the statement items identified above:</w:t>
      </w:r>
    </w:p>
    <w:p>
      <w:pPr>
        <w:spacing w:before="0" w:after="0"/>
        <w:ind w:left="120"/>
        <w:jc w:val="both"/>
      </w:pPr>
      <w:r>
        <w:rPr>
          <w:rFonts w:ascii="Times New Roman" w:hAnsi="Times New Roman"/>
          <w:b w:val="false"/>
          <w:i w:val="false"/>
          <w:color w:val="000000"/>
          <w:sz w:val="22"/>
        </w:rPr>
        <w:t>“1.Are computed in accordance with presently accepted actuarial standards consistently applied and are fairly stated, in accordance with sound actuarial principles;</w:t>
      </w:r>
    </w:p>
    <w:p>
      <w:pPr>
        <w:spacing w:before="0" w:after="0"/>
        <w:ind w:left="120"/>
        <w:jc w:val="both"/>
      </w:pPr>
      <w:r>
        <w:rPr>
          <w:rFonts w:ascii="Times New Roman" w:hAnsi="Times New Roman"/>
          <w:b w:val="false"/>
          <w:i w:val="false"/>
          <w:color w:val="000000"/>
          <w:sz w:val="22"/>
        </w:rPr>
        <w:t>“2.Are based on actuarial assumptions that produce reserves at least as great as those called for in any contract provision as to reserve basis and method, and are in accordance with all other contract provisions;</w:t>
      </w:r>
    </w:p>
    <w:p>
      <w:pPr>
        <w:spacing w:before="0" w:after="0"/>
        <w:ind w:left="120"/>
        <w:jc w:val="both"/>
      </w:pPr>
      <w:r>
        <w:rPr>
          <w:rFonts w:ascii="Times New Roman" w:hAnsi="Times New Roman"/>
          <w:b w:val="false"/>
          <w:i w:val="false"/>
          <w:color w:val="000000"/>
          <w:sz w:val="22"/>
        </w:rPr>
        <w:t>“3.Meet the requirements of the insurance law and rules of the state of [state of domicile]; and are at least as great as the minimum aggregate amounts required by the state in which this statement is filed;</w:t>
      </w:r>
    </w:p>
    <w:p>
      <w:pPr>
        <w:spacing w:before="0" w:after="0"/>
        <w:ind w:left="120"/>
        <w:jc w:val="both"/>
      </w:pPr>
      <w:r>
        <w:rPr>
          <w:rFonts w:ascii="Times New Roman" w:hAnsi="Times New Roman"/>
          <w:b w:val="false"/>
          <w:i w:val="false"/>
          <w:color w:val="000000"/>
          <w:sz w:val="22"/>
        </w:rPr>
        <w:t>“4.Are computed on the basis of assumptions consistent with those used in computing the corresponding items in the annual statement of the preceding year-end (with any exceptions noted below); and</w:t>
      </w:r>
    </w:p>
    <w:p>
      <w:pPr>
        <w:spacing w:before="0" w:after="0"/>
        <w:ind w:left="120"/>
        <w:jc w:val="both"/>
      </w:pPr>
      <w:r>
        <w:rPr>
          <w:rFonts w:ascii="Times New Roman" w:hAnsi="Times New Roman"/>
          <w:b w:val="false"/>
          <w:i w:val="false"/>
          <w:color w:val="000000"/>
          <w:sz w:val="22"/>
        </w:rPr>
        <w:t>“5.Include provision for all actuarial reserves and related statement items which ought to be established.</w:t>
      </w:r>
    </w:p>
    <w:p>
      <w:pPr>
        <w:spacing w:before="0" w:after="0"/>
        <w:ind w:left="120"/>
        <w:jc w:val="both"/>
      </w:pPr>
      <w:r>
        <w:rPr>
          <w:rFonts w:ascii="Times New Roman" w:hAnsi="Times New Roman"/>
          <w:b w:val="false"/>
          <w:i w:val="false"/>
          <w:color w:val="000000"/>
          <w:sz w:val="22"/>
        </w:rPr>
        <w:t>“The reserves and related items, when considered in light of the assets held by the company with respect to such reserves and related actuarial items including, but not limited to, the investment earnings on such assets, and the considerations anticipated to be received and retained under such policies and contracts, make adequate provision, according to presently accepted actuarial standards of practice, for the anticipated cash flows required by the contractual obligations and related expenses of the company. (At the discretion of the commissioner, this language may be omitted for an opinion filed on behalf of a company doing business only in this state and in no other state.)</w:t>
      </w:r>
    </w:p>
    <w:p>
      <w:pPr>
        <w:spacing w:before="0" w:after="0"/>
        <w:ind w:left="120"/>
        <w:jc w:val="both"/>
      </w:pPr>
      <w:r>
        <w:rPr>
          <w:rFonts w:ascii="Times New Roman" w:hAnsi="Times New Roman"/>
          <w:b w:val="false"/>
          <w:i w:val="false"/>
          <w:color w:val="000000"/>
          <w:sz w:val="22"/>
        </w:rPr>
        <w:t>“The actuarial methods, considerations and analyses used in forming my opinion conform to the appropriate Standards of Practice as promulgated by the Actuarial Standards Board, which standards form the basis of this statement of opinion.</w:t>
      </w:r>
    </w:p>
    <w:p>
      <w:pPr>
        <w:spacing w:before="0" w:after="0"/>
        <w:ind w:left="120"/>
        <w:jc w:val="both"/>
      </w:pPr>
      <w:r>
        <w:rPr>
          <w:rFonts w:ascii="Times New Roman" w:hAnsi="Times New Roman"/>
          <w:b w:val="false"/>
          <w:i w:val="false"/>
          <w:color w:val="000000"/>
          <w:sz w:val="22"/>
        </w:rPr>
        <w:t>“The following material change(s) which occurred between the date of the statement for which this opinion is applicable and the date of this opinion should be considered in reviewing this opinion: (Describe the change or changes.)</w:t>
      </w:r>
    </w:p>
    <w:p>
      <w:pPr>
        <w:spacing w:before="0" w:after="0"/>
        <w:ind w:left="120"/>
        <w:jc w:val="both"/>
      </w:pPr>
      <w:r>
        <w:rPr>
          <w:rFonts w:ascii="Times New Roman" w:hAnsi="Times New Roman"/>
          <w:b w:val="false"/>
          <w:i w:val="false"/>
          <w:color w:val="000000"/>
          <w:sz w:val="22"/>
        </w:rPr>
        <w:t>“The impact of unanticipated events subsequent to the date of this opinion is beyond the scope of this opinion. The analysis of asset adequacy portion of this opinion should be viewed recognizing that the company’s future experience may not follow all the assumptions used in the analysis.</w:t>
      </w:r>
    </w:p>
    <w:p>
      <w:pPr>
        <w:spacing w:before="0" w:after="0"/>
        <w:ind w:left="120"/>
        <w:jc w:val="both"/>
      </w:pPr>
      <w:r>
        <w:rPr>
          <w:rFonts w:ascii="Times New Roman" w:hAnsi="Times New Roman"/>
          <w:b w:val="false"/>
          <w:i w:val="false"/>
          <w:color w:val="000000"/>
          <w:sz w:val="22"/>
        </w:rPr>
        <w:t> </w:t>
      </w:r>
    </w:p>
    <w:p>
      <w:pPr>
        <w:spacing w:before="0" w:after="0"/>
        <w:ind w:left="1920"/>
        <w:jc w:val="both"/>
      </w:pPr>
      <w:r>
        <w:rPr>
          <w:rFonts w:ascii="Times New Roman" w:hAnsi="Times New Roman"/>
          <w:b w:val="false"/>
          <w:i w:val="false"/>
          <w:color w:val="000000"/>
          <w:sz w:val="22"/>
        </w:rPr>
        <w:t>______________________________________</w:t>
      </w:r>
    </w:p>
    <w:p>
      <w:pPr>
        <w:spacing w:before="0" w:after="0"/>
        <w:ind w:left="1920"/>
        <w:jc w:val="both"/>
      </w:pPr>
      <w:r>
        <w:rPr>
          <w:rFonts w:ascii="Times New Roman" w:hAnsi="Times New Roman"/>
          <w:b w:val="false"/>
          <w:i w:val="false"/>
          <w:color w:val="000000"/>
          <w:sz w:val="22"/>
        </w:rPr>
        <w:t>Signature of Appointed Actuary</w:t>
      </w:r>
    </w:p>
    <w:p>
      <w:pPr>
        <w:spacing w:before="0" w:after="0"/>
        <w:ind w:left="1920"/>
        <w:jc w:val="both"/>
      </w:pPr>
      <w:r>
        <w:rPr>
          <w:rFonts w:ascii="Times New Roman" w:hAnsi="Times New Roman"/>
          <w:b w:val="false"/>
          <w:i w:val="false"/>
          <w:color w:val="000000"/>
          <w:sz w:val="22"/>
        </w:rPr>
        <w:t>______________________________________</w:t>
      </w:r>
    </w:p>
    <w:p>
      <w:pPr>
        <w:spacing w:before="0" w:after="0"/>
        <w:ind w:left="1920"/>
        <w:jc w:val="both"/>
      </w:pPr>
      <w:r>
        <w:rPr>
          <w:rFonts w:ascii="Times New Roman" w:hAnsi="Times New Roman"/>
          <w:b w:val="false"/>
          <w:i w:val="false"/>
          <w:color w:val="000000"/>
          <w:sz w:val="22"/>
        </w:rPr>
        <w:t>Address of Appointed Actuary</w:t>
      </w:r>
    </w:p>
    <w:p>
      <w:pPr>
        <w:spacing w:before="0" w:after="0"/>
        <w:ind w:left="1920"/>
        <w:jc w:val="both"/>
      </w:pPr>
      <w:r>
        <w:rPr>
          <w:rFonts w:ascii="Times New Roman" w:hAnsi="Times New Roman"/>
          <w:b w:val="false"/>
          <w:i w:val="false"/>
          <w:color w:val="000000"/>
          <w:sz w:val="22"/>
        </w:rPr>
        <w:t>______________________________________</w:t>
      </w:r>
    </w:p>
    <w:p>
      <w:pPr>
        <w:spacing w:before="0" w:after="0"/>
        <w:ind w:left="1920"/>
        <w:jc w:val="both"/>
      </w:pPr>
      <w:r>
        <w:rPr>
          <w:rFonts w:ascii="Times New Roman" w:hAnsi="Times New Roman"/>
          <w:b w:val="false"/>
          <w:i w:val="false"/>
          <w:color w:val="000000"/>
          <w:sz w:val="22"/>
        </w:rPr>
        <w:t>Telephone Number of Appointed Actuary</w:t>
      </w:r>
    </w:p>
    <w:p>
      <w:pPr>
        <w:spacing w:before="0" w:after="0"/>
        <w:ind w:left="1920"/>
        <w:jc w:val="both"/>
      </w:pPr>
      <w:r>
        <w:rPr>
          <w:rFonts w:ascii="Times New Roman" w:hAnsi="Times New Roman"/>
          <w:b w:val="false"/>
          <w:i w:val="false"/>
          <w:color w:val="000000"/>
          <w:sz w:val="22"/>
        </w:rPr>
        <w:t>__________________</w:t>
      </w:r>
    </w:p>
    <w:p>
      <w:pPr>
        <w:spacing w:before="0" w:after="0"/>
        <w:ind w:left="19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Assumptions for new issues. </w:t>
      </w:r>
      <w:r>
        <w:rPr>
          <w:rFonts w:ascii="Times New Roman" w:hAnsi="Times New Roman"/>
          <w:b w:val="false"/>
          <w:i w:val="false"/>
          <w:color w:val="000000"/>
          <w:sz w:val="22"/>
        </w:rPr>
        <w:t>The adoption for new issues or new claims or other new liabilities of an actuarial assumption that differs from a corresponding assumption used for prior new issues or new claims or other new liabilities is not a change in actuarial assumptions within the meaning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Adverse opinion. </w:t>
      </w:r>
      <w:r>
        <w:rPr>
          <w:rFonts w:ascii="Times New Roman" w:hAnsi="Times New Roman"/>
          <w:b w:val="false"/>
          <w:i w:val="false"/>
          <w:color w:val="000000"/>
          <w:sz w:val="22"/>
        </w:rPr>
        <w:t>If the appointed actuary is unable to form an opinion, then the actuary shall refuse to issue a statement of actuarial opinion. If the appointed actuary’s opinion is adverse or qualified, then the actuary shall issue an adverse or qualified actuarial opinion explicitly stating the reason(s) for the opinion. This statement should follow the scope paragraph and precede the opinion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Reliance on information furnished by other persons. </w:t>
      </w:r>
      <w:r>
        <w:rPr>
          <w:rFonts w:ascii="Times New Roman" w:hAnsi="Times New Roman"/>
          <w:b w:val="false"/>
          <w:i w:val="false"/>
          <w:color w:val="000000"/>
          <w:sz w:val="22"/>
        </w:rPr>
        <w:t>If the appointed actuary relies on the certification of others on matters concerning the accuracy or completeness of any data underlying the actuarial opinion, or the appropriateness of any other information used by the appointed actuary in forming the actuarial opinion, the actuarial opinion should so indicate the persons upon whom the actuary is relying and a precise identification of the items subject to reliance. In addition, the persons on whom the appointed actuary relies shall provide a certification that precisely identifies the items on which the person is providing information and a statement as to the accuracy, completeness or reasonableness, as applicable, of the items. This certification shall include the signature, title, company, address and telephone number of the person rendering the certification, as well as the date on which it is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Alternate option.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186">
        <w:r>
          <w:rPr>
            <w:rStyle w:val="Hyperlink"/>
            <w:rFonts w:ascii="Times New Roman" w:hAnsi="Times New Roman"/>
            <w:b w:val="false"/>
            <w:i w:val="false"/>
            <w:color w:val="000000"/>
            <w:sz w:val="22"/>
          </w:rPr>
          <w:t>508.36</w:t>
        </w:r>
      </w:hyperlink>
      <w:r>
        <w:rPr>
          <w:rFonts w:ascii="Times New Roman" w:hAnsi="Times New Roman"/>
          <w:b w:val="false"/>
          <w:i w:val="false"/>
          <w:color w:val="000000"/>
          <w:sz w:val="22"/>
        </w:rPr>
        <w:t xml:space="preserve"> gives the commissioner broad authority to accept the valuation of a foreign insurer when that valuation meets the requirements applicable to a company domiciled in this state in the aggregate. As an alternative to the requirements of subparagraph </w:t>
      </w:r>
      <w:hyperlink r:id="rId187">
        <w:r>
          <w:rPr>
            <w:rStyle w:val="Hyperlink"/>
            <w:rFonts w:ascii="Times New Roman" w:hAnsi="Times New Roman"/>
            <w:b w:val="false"/>
            <w:i w:val="false"/>
            <w:color w:val="000000"/>
            <w:sz w:val="22"/>
          </w:rPr>
          <w:t>5.34(6)</w:t>
        </w:r>
        <w:r>
          <w:rPr>
            <w:rFonts w:ascii="Times New Roman" w:hAnsi="Times New Roman"/>
            <w:b w:val="false"/>
            <w:i/>
            <w:color w:val="000000"/>
            <w:sz w:val="22"/>
          </w:rPr>
          <w:t>“b”</w:t>
        </w:r>
        <w:r>
          <w:rPr>
            <w:rFonts w:ascii="Times New Roman" w:hAnsi="Times New Roman"/>
            <w:b w:val="false"/>
            <w:i w:val="false"/>
            <w:color w:val="000000"/>
            <w:sz w:val="22"/>
          </w:rPr>
          <w:t>(6)</w:t>
        </w:r>
      </w:hyperlink>
      <w:r>
        <w:rPr>
          <w:rFonts w:ascii="Times New Roman" w:hAnsi="Times New Roman"/>
          <w:b w:val="false"/>
          <w:i w:val="false"/>
          <w:color w:val="000000"/>
          <w:sz w:val="22"/>
        </w:rPr>
        <w:t>, item “3,” the commissioner may make one or more of the following additional approaches available to the opining actuary: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reserves “meet the requirements of the insurance laws and regulations of the State of [state of domicile] and the formal written standards and conditions of this state for filing an opinion based on the law of the state of domicile.” If the commissioner chooses to allow this alternative, a formal written list of standards and conditions shall be made available. If a company chooses to use this alternative, the standards and conditions in effect on July 1 of a calendar year shall apply to statements for that calendar year, and they shall remain in effect until they are revised or revoked. If no list is available, this alternative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that the reserves “meet the requirements of the insurance laws and regulations of the State of [state of domicile] and I have verified that the company’s request to file an opinion based on the law of the state of domicile has been approved and that any conditions required by the commissioner for approval of that request have been met.” If the commissioner chooses to allow this alternative, a formal written statement of such allowance shall be issued no later than March 31 of the year it is first effective. The statement shall remain valid until rescinded or modified by the commissioner. A rescission or modification of the statement shall be issued no later than March 31 of the year it is first effective. After that statement is issued, if a company chooses to use this alternative, the company shall file a request to do so, along with justification for its use, no later than April 30 of the year the opinion is to be filed. The request shall be deemed approved on October 1 of that year if the commissioner has not denied the request by that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that the reserves “meet the requirements of the insurance laws and regulations of the State of [state of domicile] and I have submitted the required comparison as specified by this state.”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the commissioner chooses to allow this alternative, a formal written list of products (to be added to the table in </w:t>
      </w:r>
      <w:hyperlink r:id="rId188">
        <w:r>
          <w:rPr>
            <w:rStyle w:val="Hyperlink"/>
            <w:rFonts w:ascii="Times New Roman" w:hAnsi="Times New Roman"/>
            <w:b w:val="false"/>
            <w:i w:val="false"/>
            <w:color w:val="000000"/>
            <w:sz w:val="22"/>
          </w:rPr>
          <w:t>5.34(6)</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“3,” second bulleted paragraph) for which the required comparison shall be provided will be published. If a company chooses to use this alternative, the list in effect on July 1 of a calendar year shall apply to statements for that calendar year, and it shall remain in effect until it is revised or revoked. If no list is available, this alternative is not available.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a company desires to use this alternative, the appointed actuary shall provide a comparison of the gross nationwide reserves held to the gross nationwide reserves that would be held under National Association of Insurance Commissioners codification standards adopted in rule </w:t>
      </w:r>
      <w:hyperlink r:id="rId189">
        <w:r>
          <w:rPr>
            <w:rStyle w:val="Hyperlink"/>
            <w:rFonts w:ascii="Times New Roman" w:hAnsi="Times New Roman"/>
            <w:b w:val="false"/>
            <w:i w:val="false"/>
            <w:color w:val="000000"/>
            <w:sz w:val="22"/>
          </w:rPr>
          <w:t>191—5.15</w:t>
        </w:r>
      </w:hyperlink>
      <w:r>
        <w:rPr>
          <w:rFonts w:ascii="Times New Roman" w:hAnsi="Times New Roman"/>
          <w:b w:val="false"/>
          <w:i w:val="false"/>
          <w:color w:val="000000"/>
          <w:sz w:val="22"/>
        </w:rPr>
        <w:t>(508,512B,514,514B,515,520). Gross nationwide reserves are the total reserves calculated for the total company in-force business directly sold and assumed, indifferent to the state in which the risk resides, without reduction for reinsurance ceded. The information provided shall include at least the following:</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38"/>
        <w:gridCol w:w="2238"/>
        <w:gridCol w:w="2238"/>
        <w:gridCol w:w="2238"/>
        <w:gridCol w:w="2238"/>
      </w:tblGrid>
      <w:tr>
        <w:trPr>
          <w:trHeight w:val="585"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w:t>
            </w:r>
          </w:p>
          <w:p>
            <w:pPr>
              <w:spacing w:before="0" w:after="0"/>
              <w:ind w:left="160"/>
              <w:jc w:val="left"/>
            </w:pPr>
            <w:r>
              <w:rPr>
                <w:rFonts w:ascii="Times New Roman" w:hAnsi="Times New Roman"/>
                <w:b w:val="false"/>
                <w:i w:val="false"/>
                <w:color w:val="000000"/>
                <w:sz w:val="16"/>
              </w:rPr>
              <w:t>Product Type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w:t>
            </w:r>
          </w:p>
          <w:p>
            <w:pPr>
              <w:spacing w:before="0" w:after="0"/>
              <w:ind w:left="160"/>
              <w:jc w:val="left"/>
            </w:pPr>
            <w:r>
              <w:rPr>
                <w:rFonts w:ascii="Times New Roman" w:hAnsi="Times New Roman"/>
                <w:b w:val="false"/>
                <w:i w:val="false"/>
                <w:color w:val="000000"/>
                <w:sz w:val="16"/>
              </w:rPr>
              <w:t>Death Benefit or Account Value</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w:t>
            </w:r>
          </w:p>
          <w:p>
            <w:pPr>
              <w:spacing w:before="0" w:after="0"/>
              <w:ind w:left="160"/>
              <w:jc w:val="left"/>
            </w:pPr>
            <w:r>
              <w:rPr>
                <w:rFonts w:ascii="Times New Roman" w:hAnsi="Times New Roman"/>
                <w:b w:val="false"/>
                <w:i w:val="false"/>
                <w:color w:val="000000"/>
                <w:sz w:val="16"/>
              </w:rPr>
              <w:t>Reserves Held</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(4)</w:t>
            </w:r>
          </w:p>
          <w:p>
            <w:pPr>
              <w:spacing w:before="0" w:after="0"/>
              <w:ind w:left="160"/>
              <w:jc w:val="left"/>
            </w:pPr>
            <w:r>
              <w:rPr>
                <w:rFonts w:ascii="Times New Roman" w:hAnsi="Times New Roman"/>
                <w:b w:val="false"/>
                <w:i w:val="false"/>
                <w:color w:val="000000"/>
                <w:sz w:val="16"/>
              </w:rPr>
              <w:t>Codification Reserves</w:t>
            </w:r>
          </w:p>
        </w:tc>
        <w:tc>
          <w:tcPr>
            <w:tcW w:w="2238"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(5)</w:t>
            </w:r>
          </w:p>
          <w:p>
            <w:pPr>
              <w:spacing w:before="0" w:after="0"/>
              <w:ind w:left="160"/>
              <w:jc w:val="left"/>
            </w:pPr>
            <w:r>
              <w:rPr>
                <w:rFonts w:ascii="Times New Roman" w:hAnsi="Times New Roman"/>
                <w:b w:val="false"/>
                <w:i w:val="false"/>
                <w:color w:val="000000"/>
                <w:sz w:val="16"/>
              </w:rPr>
              <w:t>Codification Standard</w:t>
            </w:r>
          </w:p>
        </w:tc>
      </w:tr>
      <w:tr>
        <w:trPr>
          <w:trHeight w:val="225" w:hRule="atLeast"/>
        </w:trPr>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2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information listed shall include all products identified by either the state of filing or any other states subscribing to this alternative.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there is no codification standard for the type of product or risk in force or if the codification standard does not directly address the type of product or risk in force, the appointed actuary shall provide detailed disclosure of the specific method and assumptions used in determining the reserves held.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comparison provided by the company is to be kept confidential to the same extent and under the same conditions as the actuarial memorandum.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w:t>
      </w:r>
      <w:hyperlink r:id="rId190">
        <w:r>
          <w:rPr>
            <w:rStyle w:val="Hyperlink"/>
            <w:rFonts w:ascii="Times New Roman" w:hAnsi="Times New Roman"/>
            <w:b w:val="false"/>
            <w:i w:val="false"/>
            <w:color w:val="000000"/>
            <w:sz w:val="22"/>
          </w:rPr>
          <w:t>5.34(6)</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the commissioner may reject an opinion based on the laws and regulations of the state of domicile and require an opinion based on the laws of this state. If a company is unable to provide the opinion within 60 days of the request or such other period of time determined by the commissioner after consultation with the company, the commissioner may contract an independent actuary at the company’s expense to prepare and file an opinion.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5.34(7)</w:t>
      </w:r>
      <w:r>
        <w:rPr>
          <w:rFonts w:ascii="Times New Roman" w:hAnsi="Times New Roman"/>
          <w:b w:val="false"/>
          <w:i w:val="false"/>
          <w:color w:val="000000"/>
          <w:sz w:val="22"/>
        </w:rPr>
        <w:t> </w:t>
      </w:r>
      <w:r>
        <w:rPr>
          <w:rFonts w:ascii="Times New Roman" w:hAnsi="Times New Roman"/>
          <w:b w:val="false"/>
          <w:i/>
          <w:color w:val="000000"/>
          <w:sz w:val="22"/>
        </w:rPr>
        <w:t xml:space="preserve">Description of actuarial memorandum including an asset adequacy analysis and regulatory asset adequacy issues summary.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191">
        <w:r>
          <w:rPr>
            <w:rStyle w:val="Hyperlink"/>
            <w:rFonts w:ascii="Times New Roman" w:hAnsi="Times New Roman"/>
            <w:b w:val="false"/>
            <w:i w:val="false"/>
            <w:color w:val="000000"/>
            <w:sz w:val="22"/>
          </w:rPr>
          <w:t>508.36</w:t>
        </w:r>
      </w:hyperlink>
      <w:r>
        <w:rPr>
          <w:rFonts w:ascii="Times New Roman" w:hAnsi="Times New Roman"/>
          <w:b w:val="false"/>
          <w:i w:val="false"/>
          <w:color w:val="000000"/>
          <w:sz w:val="22"/>
        </w:rPr>
        <w:t>, the appointed actuary shall prepare a memorandum to the company describing the analysis done in support of the opinion regarding the reserves. The memorandum shall be made available for examination by the commissioner upon request but shall be returned to the company after such examination and shall not be considered a record of the division or subject to automatic filing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preparing the memorandum, the appointed actuary may rely on, and include as a part of the actuary’s own memorandum, memoranda, prepared and signed by other actuaries who are qualified within the meaning of </w:t>
      </w:r>
      <w:hyperlink r:id="rId192">
        <w:r>
          <w:rPr>
            <w:rStyle w:val="Hyperlink"/>
            <w:rFonts w:ascii="Times New Roman" w:hAnsi="Times New Roman"/>
            <w:b w:val="false"/>
            <w:i w:val="false"/>
            <w:color w:val="000000"/>
            <w:sz w:val="22"/>
          </w:rPr>
          <w:t>5.34(5)</w:t>
        </w:r>
        <w:r>
          <w:rPr>
            <w:rFonts w:ascii="Times New Roman" w:hAnsi="Times New Roman"/>
            <w:b w:val="false"/>
            <w:i/>
            <w:color w:val="000000"/>
            <w:sz w:val="22"/>
          </w:rPr>
          <w:t>“b”</w:t>
        </w:r>
      </w:hyperlink>
      <w:r>
        <w:rPr>
          <w:rFonts w:ascii="Times New Roman" w:hAnsi="Times New Roman"/>
          <w:b w:val="false"/>
          <w:i w:val="false"/>
          <w:color w:val="000000"/>
          <w:sz w:val="22"/>
        </w:rPr>
        <w:t xml:space="preserve"> with respect to the areas covered in such memoranda, and so state in their memoranda.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commissioner requests a memorandum and no such memorandum exists or if the commissioner finds that the analysis described in the memorandum fails to meet the standards of the Actuarial Standards Board or the standards and requirements of this rule, the commissioner may designate a qualified actuary to review the opinion and prepare such supporting memorandum as is required for review. The reasonable and necessary expense of the independent review shall be paid by the company but shall be directed and controlled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reviewing actuary shall have the same status as an examiner for purposes of obtaining data from the company, and the work papers and documentation of the reviewing actuary shall be retained by the commissioner; provided, however, that any information provided by the company to the reviewing actuary and included in the work papers shall be considered as material provided by the company to the commissioner and shall be kept confidential to the same extent as is prescribed by law with respect to other material provided by the company to the commissioner pursuant to the statute governing this rule. The reviewing actuary shall not be an employee or a consulting firm involved with the preparation of any prior memorandum or opinion for the insurer pursuant to this rule for the current year or the preceding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193">
        <w:r>
          <w:rPr>
            <w:rStyle w:val="Hyperlink"/>
            <w:rFonts w:ascii="Times New Roman" w:hAnsi="Times New Roman"/>
            <w:b w:val="false"/>
            <w:i w:val="false"/>
            <w:color w:val="000000"/>
            <w:sz w:val="22"/>
          </w:rPr>
          <w:t>508.36</w:t>
        </w:r>
      </w:hyperlink>
      <w:r>
        <w:rPr>
          <w:rFonts w:ascii="Times New Roman" w:hAnsi="Times New Roman"/>
          <w:b w:val="false"/>
          <w:i w:val="false"/>
          <w:color w:val="000000"/>
          <w:sz w:val="22"/>
        </w:rPr>
        <w:t xml:space="preserve">, the appointed actuary shall prepare a regulatory asset adequacy issues summary, the contents of which are specified in </w:t>
      </w:r>
      <w:hyperlink r:id="rId194">
        <w:r>
          <w:rPr>
            <w:rStyle w:val="Hyperlink"/>
            <w:rFonts w:ascii="Times New Roman" w:hAnsi="Times New Roman"/>
            <w:b w:val="false"/>
            <w:i w:val="false"/>
            <w:color w:val="000000"/>
            <w:sz w:val="22"/>
          </w:rPr>
          <w:t>5.34(7)</w:t>
        </w:r>
        <w:r>
          <w:rPr>
            <w:rFonts w:ascii="Times New Roman" w:hAnsi="Times New Roman"/>
            <w:b w:val="false"/>
            <w:i/>
            <w:color w:val="000000"/>
            <w:sz w:val="22"/>
          </w:rPr>
          <w:t>“c.”</w:t>
        </w:r>
      </w:hyperlink>
      <w:r>
        <w:rPr>
          <w:rFonts w:ascii="Times New Roman" w:hAnsi="Times New Roman"/>
          <w:b w:val="false"/>
          <w:i w:val="false"/>
          <w:color w:val="000000"/>
          <w:sz w:val="22"/>
        </w:rPr>
        <w:t xml:space="preserve"> Companies submitting the regulatory asset adequacy issues summary shall submit the summary no later than March 15 of the year following the year for which a statement of actuarial opinion based on asset adequacy is required. Iowa foreign companies are not required to submit the regulatory asset adequacy issues summary annually; however, the summary shall be made available for examination by the commissioner upon request. The regulatory asset adequacy issues summary is to be kept confidential to the same extent and under the same conditions as the actuarial memorandum.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Details of the memorandum section documenting asset adequacy analysis (5.34(6)). </w:t>
      </w:r>
      <w:r>
        <w:rPr>
          <w:rFonts w:ascii="Times New Roman" w:hAnsi="Times New Roman"/>
          <w:b w:val="false"/>
          <w:i w:val="false"/>
          <w:color w:val="000000"/>
          <w:sz w:val="22"/>
        </w:rPr>
        <w:t xml:space="preserve">When an actuarial opinion under </w:t>
      </w:r>
      <w:hyperlink r:id="rId195">
        <w:r>
          <w:rPr>
            <w:rStyle w:val="Hyperlink"/>
            <w:rFonts w:ascii="Times New Roman" w:hAnsi="Times New Roman"/>
            <w:b w:val="false"/>
            <w:i w:val="false"/>
            <w:color w:val="000000"/>
            <w:sz w:val="22"/>
          </w:rPr>
          <w:t>5.34(6)</w:t>
        </w:r>
      </w:hyperlink>
      <w:r>
        <w:rPr>
          <w:rFonts w:ascii="Times New Roman" w:hAnsi="Times New Roman"/>
          <w:b w:val="false"/>
          <w:i w:val="false"/>
          <w:color w:val="000000"/>
          <w:sz w:val="22"/>
        </w:rPr>
        <w:t xml:space="preserve"> is provided, the memorandum shall demonstrate that the analysis has been done in accordance with the standards for asset adequacy referred to in </w:t>
      </w:r>
      <w:hyperlink r:id="rId196">
        <w:r>
          <w:rPr>
            <w:rStyle w:val="Hyperlink"/>
            <w:rFonts w:ascii="Times New Roman" w:hAnsi="Times New Roman"/>
            <w:b w:val="false"/>
            <w:i w:val="false"/>
            <w:color w:val="000000"/>
            <w:sz w:val="22"/>
          </w:rPr>
          <w:t>5.34(5)</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any additional standards under this rule. It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Product descriptions including market description, underwriting and other aspects of a risk profile and the specific risks the appointed actuary deems significant;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Source of liability in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Reserve method and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Investment 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Reinsurance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Identification of any explicit or implied guarantees made by the general account in support of benefits provided through a separate account or under a separate account policy or contract and the methods used by the appointed actuary to provide for the guarantees in the asset adequacy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Documentation of assumptions to test reserves for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Lapse rates (both base and excess);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Interest crediting rate strategy;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Mortality;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Policyholder dividend strategy;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Competitor or market interest rate;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Annuitization rates;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Commissions and expenses;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Morbidity.</w:t>
      </w:r>
    </w:p>
    <w:p>
      <w:pPr>
        <w:spacing w:before="0" w:after="0"/>
        <w:ind w:left="120"/>
        <w:jc w:val="both"/>
      </w:pPr>
      <w:r>
        <w:rPr>
          <w:rFonts w:ascii="Times New Roman" w:hAnsi="Times New Roman"/>
          <w:b w:val="false"/>
          <w:i w:val="false"/>
          <w:color w:val="000000"/>
          <w:sz w:val="22"/>
        </w:rPr>
        <w:t>The documentation of the assumptions shall be such that an actuary reviewing the actuarial memorandum could form a conclusion as to the reasonableness of the assumptions.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Portfolio descriptions, including a risk profile disclosing the quality, distribution and types of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Investment and disinvestment assumptions;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Source of asset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Asset valuation bases;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Documentation of assumptions made for: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Default costs;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Bond call function;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Mortgage prepayment function;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Determining market value for assets sold due to disinvestment strategy;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Determining yield on assets acquired through the investment strategy.</w:t>
      </w:r>
    </w:p>
    <w:p>
      <w:pPr>
        <w:spacing w:before="0" w:after="0"/>
        <w:ind w:left="120"/>
        <w:jc w:val="both"/>
      </w:pPr>
      <w:r>
        <w:rPr>
          <w:rFonts w:ascii="Times New Roman" w:hAnsi="Times New Roman"/>
          <w:b w:val="false"/>
          <w:i w:val="false"/>
          <w:color w:val="000000"/>
          <w:sz w:val="22"/>
        </w:rPr>
        <w:t>The documentation of assumptions shall be such that an actuary reviewing the actuarial memorandum could form a conclusion as to the reasonableness of the assumptions.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the analysis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Rationale for inclusion or exclusion of different blocks of business and how pertinent risks were analyzed;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Rationale for degree of rigor in analyzing different blocks of business (include in the rationale the level of “materiality” that was used in determining how vigorously to analyze different blocks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Criteria for determining asset adequacy (include in the criteria the precise basis for determining if assets are adequate to cover reserves under “moderately adverse conditions” or other conditions as specified in relevant actuarial standards of practice);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impact of federal income taxes was considered and the method of treating reinsurance in the asset adequacy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Summary of material changes in methods, procedures, or assumptions from prior year’s asset adequacy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Conclusion(s).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Details of the regulatory asset adequacy issues summary.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regulatory asset adequacy issues summary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Descriptions of the scenarios tested (including whether those scenarios are stochastic or deterministic) and the sensitivity testing done relative to those scenarios. If negative ending surplus results under certain tests in the aggregate, the actuary should describe those tests and the amount of additional reserves as of the valuation date which, if held, would eliminate the negative aggregate surplus values. Ending surplus values shall be determined by either extending the projection period until the in-force and associated assets and liabilities at the end of the projection period are immaterial or by adjusting the surplus amount at the end of the projection period by an amount that appropriately estimates the value that can reasonably be expected to arise from the assets and liabilities remaining in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appointed actuary uses assumptions in the asset adequacy analysis that are materially different from the assumptions used in the previous asset adequacy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reserves and the identity of the product lines that had been subjected to asset adequacy analysis in the prior opinion but were not subject to analysis for the current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Comments on any interim results that may be of significant concern to the appointed actuary, for example, the impact of the insufficiency of assets to support the payment of benefits and expenses and the establishment of statutory reserves during one or more interim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methods used by the actuary to recognize the impact of reinsurance on the company cash flows, including both assets and liabilities, under each of the scenarios tested;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actuary has been satisfied that all options, whether explicit or embedded, in any asset or liability (including but not limited to those affecting cash flows embedded in fixed income securities) and equitylike features in any investments have been appropriately considered in the asset adequacy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regulatory asset adequacy issues summary shall contain the name of the company for which the regulatory asset adequacy issues summary is being supplied and shall be signed and dated by the appointed actuary rendering the actuarial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Conformity to standards of practice. </w:t>
      </w:r>
      <w:r>
        <w:rPr>
          <w:rFonts w:ascii="Times New Roman" w:hAnsi="Times New Roman"/>
          <w:b w:val="false"/>
          <w:i w:val="false"/>
          <w:color w:val="000000"/>
          <w:sz w:val="22"/>
        </w:rPr>
        <w:t>The memorandum shall include the following statement: “Actuarial methods, considerations and analyses used in the preparation of this memorandum conform to the appropriate standards of practice as promulgated by the Actuarial Standards Board, which standards form the basis for this memorandum.”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Use of assets supporting the interest maintenance reserve and the asset valuation reserve. </w:t>
      </w:r>
      <w:r>
        <w:rPr>
          <w:rFonts w:ascii="Times New Roman" w:hAnsi="Times New Roman"/>
          <w:b w:val="false"/>
          <w:i w:val="false"/>
          <w:color w:val="000000"/>
          <w:sz w:val="22"/>
        </w:rPr>
        <w:t>An appropriate allocation of assets in the amount of the interest maintenance reserve (IMR), whether positive or negative, shall be used in any asset adequacy analysis. Analysis of risks regarding asset default may include an appropriate allocation of assets supporting the asset valuation reserve (AVR); these AVR assets may not be applied for any other risks with respect to reserve adequacy. Analysis of these and other risks may include assets supporting other mandatory or voluntary reserves available to the extent not used for risk analysis and reserve support.</w:t>
      </w:r>
    </w:p>
    <w:p>
      <w:pPr>
        <w:spacing w:before="0" w:after="0"/>
        <w:ind w:left="120"/>
        <w:jc w:val="both"/>
      </w:pPr>
      <w:r>
        <w:rPr>
          <w:rFonts w:ascii="Times New Roman" w:hAnsi="Times New Roman"/>
          <w:b w:val="false"/>
          <w:i w:val="false"/>
          <w:color w:val="000000"/>
          <w:sz w:val="22"/>
        </w:rPr>
        <w:t>The amount of assets used for the AVR shall be disclosed in the Table of Reserves and Liabilities of the opinion and in the memorandum. The method used for selecting particular assets or allocated portions of assets must be disclosed in the memorandum.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The appointed actuary shall retain on file, for at least seven years, sufficient documentation so that it will be possible to determine the procedures followed, the analyses performed, the bases for assumptions and the results obtained.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7">
        <w:r>
          <w:rPr>
            <w:rStyle w:val="Hyperlink"/>
            <w:rFonts w:ascii="Times New Roman" w:hAnsi="Times New Roman"/>
            <w:b w:val="false"/>
            <w:i w:val="false"/>
            <w:color w:val="000000"/>
            <w:sz w:val="22"/>
          </w:rPr>
          <w:t>508.36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9184B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191—5.35</w:t>
      </w:r>
      <w:r>
        <w:rPr>
          <w:rFonts w:ascii="Times New Roman" w:hAnsi="Times New Roman"/>
          <w:b w:val="false"/>
          <w:i w:val="false"/>
          <w:color w:val="000000"/>
          <w:sz w:val="22"/>
        </w:rPr>
        <w:t xml:space="preserve"> to </w:t>
      </w:r>
      <w:r>
        <w:rPr>
          <w:rFonts w:ascii="Times New Roman" w:hAnsi="Times New Roman"/>
          <w:b/>
          <w:i w:val="false"/>
          <w:color w:val="000000"/>
          <w:sz w:val="22"/>
        </w:rPr>
        <w:t>5.39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191—5.40</w:t>
      </w:r>
      <w:r>
        <w:rPr>
          <w:rFonts w:ascii="Times New Roman" w:hAnsi="Times New Roman"/>
          <w:b/>
          <w:i w:val="false"/>
          <w:color w:val="000000"/>
          <w:sz w:val="22"/>
        </w:rPr>
        <w:t xml:space="preserve">(515) </w:t>
      </w:r>
      <w:r>
        <w:rPr>
          <w:rFonts w:ascii="Times New Roman" w:hAnsi="Times New Roman"/>
          <w:b/>
          <w:i w:val="false"/>
          <w:color w:val="000000"/>
          <w:sz w:val="22"/>
        </w:rPr>
        <w:t xml:space="preserve">Premium tax. </w:t>
      </w:r>
      <w:r>
        <w:rPr>
          <w:rFonts w:ascii="Times New Roman" w:hAnsi="Times New Roman"/>
          <w:b w:val="false"/>
          <w:i w:val="false"/>
          <w:color w:val="000000"/>
          <w:sz w:val="22"/>
        </w:rPr>
        <w:t>The fact that the companies choose to call a stipulated amount a “policy fee” and do not include it under the term of “premium” would not have the effect of exempting this income from taxation. It is most assuredly a part of the premium or income received from policyholders for business done in Iowa and thus subject to taxation.</w:t>
      </w:r>
    </w:p>
    <w:p>
      <w:pPr>
        <w:spacing w:before="0" w:after="0"/>
        <w:ind w:left="120"/>
        <w:jc w:val="both"/>
      </w:pPr>
      <w:r>
        <w:rPr>
          <w:rFonts w:ascii="Times New Roman" w:hAnsi="Times New Roman"/>
          <w:b/>
          <w:i w:val="false"/>
          <w:color w:val="000000"/>
          <w:sz w:val="22"/>
        </w:rPr>
        <w:t>191—5.41</w:t>
      </w:r>
      <w:r>
        <w:rPr>
          <w:rFonts w:ascii="Times New Roman" w:hAnsi="Times New Roman"/>
          <w:b/>
          <w:i w:val="false"/>
          <w:color w:val="000000"/>
          <w:sz w:val="22"/>
        </w:rPr>
        <w:t xml:space="preserve">(508) </w:t>
      </w:r>
      <w:r>
        <w:rPr>
          <w:rFonts w:ascii="Times New Roman" w:hAnsi="Times New Roman"/>
          <w:b/>
          <w:i w:val="false"/>
          <w:color w:val="000000"/>
          <w:sz w:val="22"/>
        </w:rPr>
        <w:t xml:space="preserve">Tax on gross premiums—life companies. </w:t>
      </w:r>
      <w:r>
        <w:rPr>
          <w:rFonts w:ascii="Times New Roman" w:hAnsi="Times New Roman"/>
          <w:b w:val="false"/>
          <w:i w:val="false"/>
          <w:color w:val="000000"/>
          <w:sz w:val="22"/>
        </w:rPr>
        <w:t>In determining the gross amount of premiums to be taxed hereunder, there shall be excluded: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All premiums returned to policyholders or annuitants during the preceding calendar year, except cash surrender values.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dividends that, during said year, have been paid in cash or applied in reduction of premiums or left to accumulate to the credit of policyholders or annuitants.</w:t>
      </w:r>
    </w:p>
    <w:p>
      <w:pPr>
        <w:spacing w:before="0" w:after="0"/>
        <w:ind w:left="120"/>
        <w:jc w:val="both"/>
      </w:pPr>
      <w:r>
        <w:rPr>
          <w:rFonts w:ascii="Times New Roman" w:hAnsi="Times New Roman"/>
          <w:b/>
          <w:i w:val="false"/>
          <w:color w:val="000000"/>
          <w:sz w:val="22"/>
        </w:rPr>
        <w:t>191—5.42</w:t>
      </w:r>
      <w:r>
        <w:rPr>
          <w:rFonts w:ascii="Times New Roman" w:hAnsi="Times New Roman"/>
          <w:b/>
          <w:i w:val="false"/>
          <w:color w:val="000000"/>
          <w:sz w:val="22"/>
        </w:rPr>
        <w:t xml:space="preserve">(432) </w:t>
      </w:r>
      <w:r>
        <w:rPr>
          <w:rFonts w:ascii="Times New Roman" w:hAnsi="Times New Roman"/>
          <w:b/>
          <w:i w:val="false"/>
          <w:color w:val="000000"/>
          <w:sz w:val="22"/>
        </w:rPr>
        <w:t xml:space="preserve">Cash refund of premium tax. </w:t>
      </w:r>
      <w:r>
        <w:rPr>
          <w:rFonts w:ascii="Times New Roman" w:hAnsi="Times New Roman"/>
          <w:b w:val="false"/>
          <w:i w:val="false"/>
          <w:color w:val="000000"/>
          <w:sz w:val="22"/>
        </w:rPr>
        <w:t>A cash refund of premium tax may be made to an insurance company that has paid a premium tax payment or prepayment and demonstrates an inability to recoup the funds paid via a credit, provided that the division determines that a refund is appropriate. A claim for refund is a formal request made by the insurance company or its successor in interest to the division for repayment of premium tax prepayments that were paid with the insurance company’s previously filed tax return. The claim for refund shall not be filed with a premium tax prepayment, annual tax payment, or with other documents or forms submitted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5.42(1)</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w:t>
      </w:r>
      <w:r>
        <w:rPr>
          <w:rFonts w:ascii="Times New Roman" w:hAnsi="Times New Roman"/>
          <w:b w:val="false"/>
          <w:i w:val="false"/>
          <w:color w:val="000000"/>
          <w:sz w:val="22"/>
        </w:rPr>
        <w:t>Upon the written application of an insurance company or its successor in interest, the division shall authorize the department of revenue to make a cash refund to an insurer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insurance company is subject to an order of liquidation or equivalent order issued by a court of competent jurisdiction;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insurance company has not written any business in the state of Iowa for five years;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insurance company’s certificate of authority is voluntarily or involuntarily surrendered or terminated; upon application for a refund, the company shall be prohibited from applying for readmission in Iowa for at least five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insurance company has no insurer within its holding company which could utilize the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w:t>
      </w:r>
      <w:r>
        <w:rPr>
          <w:rFonts w:ascii="Times New Roman" w:hAnsi="Times New Roman"/>
          <w:b w:val="false"/>
          <w:i w:val="false"/>
          <w:color w:val="000000"/>
          <w:sz w:val="22"/>
        </w:rPr>
        <w:t>An insurance company may file a claim for a cash refund with the division by stating in detail the reasons and facts and including supporting documents with the claim for a cash refund. These documents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request applying for a cash refund and identifying the address where the cash refund should be mailed;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tax return from which the premium tax credit originated;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liquidation order or other documentation demonstrating that the insurance company’s certificate of authority has been surrendered and that the company is prohibited from applying for admission in Iowa for at least five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from the chief executive officer stating that the company has no plans for writing business in the state of Iowa and agrees to notify the division before writing any business in this state if the claim for refund is made pursuant to </w:t>
      </w:r>
      <w:hyperlink r:id="rId198">
        <w:r>
          <w:rPr>
            <w:rStyle w:val="Hyperlink"/>
            <w:rFonts w:ascii="Times New Roman" w:hAnsi="Times New Roman"/>
            <w:b w:val="false"/>
            <w:i w:val="false"/>
            <w:color w:val="000000"/>
            <w:sz w:val="22"/>
          </w:rPr>
          <w:t>5.42(1)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5.42(3)</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If the claim for refund is denied and the applicant wishes to appeal the denial, the division will consider an appeal to be timely if filed not later than 30 days following the date of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5.42(4)</w:t>
      </w:r>
      <w:r>
        <w:rPr>
          <w:rFonts w:ascii="Times New Roman" w:hAnsi="Times New Roman"/>
          <w:b w:val="false"/>
          <w:i w:val="false"/>
          <w:color w:val="000000"/>
          <w:sz w:val="22"/>
        </w:rPr>
        <w:t> </w:t>
      </w:r>
      <w:r>
        <w:rPr>
          <w:rFonts w:ascii="Times New Roman" w:hAnsi="Times New Roman"/>
          <w:b w:val="false"/>
          <w:i/>
          <w:color w:val="000000"/>
          <w:sz w:val="22"/>
        </w:rPr>
        <w:t xml:space="preserve">Statute of limitations. </w:t>
      </w:r>
      <w:r>
        <w:rPr>
          <w:rFonts w:ascii="Times New Roman" w:hAnsi="Times New Roman"/>
          <w:b w:val="false"/>
          <w:i w:val="false"/>
          <w:color w:val="000000"/>
          <w:sz w:val="22"/>
        </w:rPr>
        <w:t xml:space="preserve">Upon meeting the eligibility criteria outlined in </w:t>
      </w:r>
      <w:hyperlink r:id="rId199">
        <w:r>
          <w:rPr>
            <w:rStyle w:val="Hyperlink"/>
            <w:rFonts w:ascii="Times New Roman" w:hAnsi="Times New Roman"/>
            <w:b w:val="false"/>
            <w:i w:val="false"/>
            <w:color w:val="000000"/>
            <w:sz w:val="22"/>
          </w:rPr>
          <w:t>5.42(1)</w:t>
        </w:r>
      </w:hyperlink>
      <w:r>
        <w:rPr>
          <w:rFonts w:ascii="Times New Roman" w:hAnsi="Times New Roman"/>
          <w:b w:val="false"/>
          <w:i w:val="false"/>
          <w:color w:val="000000"/>
          <w:sz w:val="22"/>
        </w:rPr>
        <w:t>, an insurance company has up to five years to file an application for a refund. A refund will not be authorized if an application is not made within this time frame.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0">
        <w:r>
          <w:rPr>
            <w:rStyle w:val="Hyperlink"/>
            <w:rFonts w:ascii="Times New Roman" w:hAnsi="Times New Roman"/>
            <w:b w:val="false"/>
            <w:i w:val="false"/>
            <w:color w:val="000000"/>
            <w:sz w:val="22"/>
          </w:rPr>
          <w:t>432.1(6)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191—5.43</w:t>
      </w:r>
      <w:r>
        <w:rPr>
          <w:rFonts w:ascii="Times New Roman" w:hAnsi="Times New Roman"/>
          <w:b/>
          <w:i w:val="false"/>
          <w:color w:val="000000"/>
          <w:sz w:val="22"/>
        </w:rPr>
        <w:t xml:space="preserve">(510) </w:t>
      </w:r>
      <w:r>
        <w:rPr>
          <w:rFonts w:ascii="Times New Roman" w:hAnsi="Times New Roman"/>
          <w:b/>
          <w:i w:val="false"/>
          <w:color w:val="000000"/>
          <w:sz w:val="22"/>
        </w:rPr>
        <w:t xml:space="preserve">Managing general agents.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 that a domestic insurer submit its contracts with managing general agents for approval of the commissioner set forth in Iowa Code section </w:t>
      </w:r>
      <w:hyperlink r:id="rId201">
        <w:r>
          <w:rPr>
            <w:rStyle w:val="Hyperlink"/>
            <w:rFonts w:ascii="Times New Roman" w:hAnsi="Times New Roman"/>
            <w:b w:val="false"/>
            <w:i w:val="false"/>
            <w:color w:val="000000"/>
            <w:sz w:val="22"/>
          </w:rPr>
          <w:t>510.2</w:t>
        </w:r>
      </w:hyperlink>
      <w:r>
        <w:rPr>
          <w:rFonts w:ascii="Times New Roman" w:hAnsi="Times New Roman"/>
          <w:b w:val="false"/>
          <w:i w:val="false"/>
          <w:color w:val="000000"/>
          <w:sz w:val="22"/>
        </w:rPr>
        <w:t xml:space="preserve"> remains in effect after July 1, 1991.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5.43(2)</w:t>
      </w:r>
      <w:r>
        <w:rPr>
          <w:rFonts w:ascii="Times New Roman" w:hAnsi="Times New Roman"/>
          <w:b w:val="false"/>
          <w:i w:val="false"/>
          <w:color w:val="000000"/>
          <w:sz w:val="22"/>
        </w:rPr>
        <w:t> </w:t>
      </w:r>
      <w:r>
        <w:rPr>
          <w:rFonts w:ascii="Times New Roman" w:hAnsi="Times New Roman"/>
          <w:b w:val="false"/>
          <w:i w:val="false"/>
          <w:color w:val="000000"/>
          <w:sz w:val="22"/>
        </w:rPr>
        <w:t>A managing general agent shall at all times maintain a surety bond in the amount of $50,000 issued by an insurer licensed to transact business in this state for the benefit of each domestic insurer with which the managing general agent has contracted.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5.43(3)</w:t>
      </w:r>
      <w:r>
        <w:rPr>
          <w:rFonts w:ascii="Times New Roman" w:hAnsi="Times New Roman"/>
          <w:b w:val="false"/>
          <w:i w:val="false"/>
          <w:color w:val="000000"/>
          <w:sz w:val="22"/>
        </w:rPr>
        <w:t> </w:t>
      </w:r>
      <w:r>
        <w:rPr>
          <w:rFonts w:ascii="Times New Roman" w:hAnsi="Times New Roman"/>
          <w:b w:val="false"/>
          <w:i w:val="false"/>
          <w:color w:val="000000"/>
          <w:sz w:val="22"/>
        </w:rPr>
        <w:t>A managing general agent shall maintain an errors and omissions policy in the face amount of $250,000.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5.43(4)</w:t>
      </w:r>
      <w:r>
        <w:rPr>
          <w:rFonts w:ascii="Times New Roman" w:hAnsi="Times New Roman"/>
          <w:b w:val="false"/>
          <w:i w:val="false"/>
          <w:color w:val="000000"/>
          <w:sz w:val="22"/>
        </w:rPr>
        <w:t> </w:t>
      </w:r>
      <w:r>
        <w:rPr>
          <w:rFonts w:ascii="Times New Roman" w:hAnsi="Times New Roman"/>
          <w:b w:val="false"/>
          <w:i w:val="false"/>
          <w:color w:val="000000"/>
          <w:sz w:val="22"/>
        </w:rPr>
        <w:t xml:space="preserve">A third-party administrator subject to Iowa Code chapter </w:t>
      </w:r>
      <w:hyperlink r:id="rId202">
        <w:r>
          <w:rPr>
            <w:rStyle w:val="Hyperlink"/>
            <w:rFonts w:ascii="Times New Roman" w:hAnsi="Times New Roman"/>
            <w:b w:val="false"/>
            <w:i w:val="false"/>
            <w:color w:val="000000"/>
            <w:sz w:val="22"/>
          </w:rPr>
          <w:t>510</w:t>
        </w:r>
      </w:hyperlink>
      <w:r>
        <w:rPr>
          <w:rFonts w:ascii="Times New Roman" w:hAnsi="Times New Roman"/>
          <w:b w:val="false"/>
          <w:i w:val="false"/>
          <w:color w:val="000000"/>
          <w:sz w:val="22"/>
        </w:rPr>
        <w:t xml:space="preserve"> shall not be deemed to be a managing general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claims in excess of which a person is authorized to adjust or pay for purposes of the definition of “managing general agent” in Iowa Code section </w:t>
      </w:r>
      <w:hyperlink r:id="rId203">
        <w:r>
          <w:rPr>
            <w:rStyle w:val="Hyperlink"/>
            <w:rFonts w:ascii="Times New Roman" w:hAnsi="Times New Roman"/>
            <w:b w:val="false"/>
            <w:i w:val="false"/>
            <w:color w:val="000000"/>
            <w:sz w:val="22"/>
          </w:rPr>
          <w:t>510.1B(4)</w:t>
        </w:r>
      </w:hyperlink>
      <w:r>
        <w:rPr>
          <w:rFonts w:ascii="Times New Roman" w:hAnsi="Times New Roman"/>
          <w:b w:val="false"/>
          <w:i/>
          <w:color w:val="000000"/>
          <w:sz w:val="22"/>
        </w:rPr>
        <w:t>“a”</w:t>
      </w:r>
      <w:r>
        <w:rPr>
          <w:rFonts w:ascii="Times New Roman" w:hAnsi="Times New Roman"/>
          <w:b w:val="false"/>
          <w:i w:val="false"/>
          <w:color w:val="000000"/>
          <w:sz w:val="22"/>
        </w:rPr>
        <w:t>(3)(a) is $15,000 per claim.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DISCLOSURE OF MORTGAGE LOAN APPLICATIONS</w:t>
      </w:r>
    </w:p>
    <w:p>
      <w:pPr>
        <w:spacing w:before="210" w:after="0"/>
        <w:ind w:left="120"/>
        <w:jc w:val="both"/>
      </w:pPr>
      <w:r>
        <w:rPr>
          <w:rFonts w:ascii="Times New Roman" w:hAnsi="Times New Roman"/>
          <w:b/>
          <w:i w:val="false"/>
          <w:color w:val="000000"/>
          <w:sz w:val="22"/>
        </w:rPr>
        <w:t>191—5.44</w:t>
      </w:r>
      <w:r>
        <w:rPr>
          <w:rFonts w:ascii="Times New Roman" w:hAnsi="Times New Roman"/>
          <w:b w:val="false"/>
          <w:i w:val="false"/>
          <w:color w:val="000000"/>
          <w:sz w:val="22"/>
        </w:rPr>
        <w:t xml:space="preserve"> to </w:t>
      </w:r>
      <w:r>
        <w:rPr>
          <w:rFonts w:ascii="Times New Roman" w:hAnsi="Times New Roman"/>
          <w:b/>
          <w:i w:val="false"/>
          <w:color w:val="000000"/>
          <w:sz w:val="22"/>
        </w:rPr>
        <w:t>5.49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191—5.50</w:t>
      </w:r>
      <w:r>
        <w:rPr>
          <w:rFonts w:ascii="Times New Roman" w:hAnsi="Times New Roman"/>
          <w:b/>
          <w:i w:val="false"/>
          <w:color w:val="000000"/>
          <w:sz w:val="22"/>
        </w:rPr>
        <w:t xml:space="preserve">(535A)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These rules are adopted for the purpose of enforcing Iowa Code sections </w:t>
      </w:r>
      <w:hyperlink r:id="rId204">
        <w:r>
          <w:rPr>
            <w:rStyle w:val="Hyperlink"/>
            <w:rFonts w:ascii="Times New Roman" w:hAnsi="Times New Roman"/>
            <w:b w:val="false"/>
            <w:i w:val="false"/>
            <w:color w:val="000000"/>
            <w:sz w:val="22"/>
          </w:rPr>
          <w:t>535A.2</w:t>
        </w:r>
      </w:hyperlink>
      <w:r>
        <w:rPr>
          <w:rFonts w:ascii="Times New Roman" w:hAnsi="Times New Roman"/>
          <w:b w:val="false"/>
          <w:i w:val="false"/>
          <w:color w:val="000000"/>
          <w:sz w:val="22"/>
        </w:rPr>
        <w:t xml:space="preserve"> and </w:t>
      </w:r>
      <w:hyperlink r:id="rId205">
        <w:r>
          <w:rPr>
            <w:rStyle w:val="Hyperlink"/>
            <w:rFonts w:ascii="Times New Roman" w:hAnsi="Times New Roman"/>
            <w:b w:val="false"/>
            <w:i w:val="false"/>
            <w:color w:val="000000"/>
            <w:sz w:val="22"/>
          </w:rPr>
          <w:t>535A.4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191—5.51</w:t>
      </w:r>
      <w:r>
        <w:rPr>
          <w:rFonts w:ascii="Times New Roman" w:hAnsi="Times New Roman"/>
          <w:b/>
          <w:i w:val="false"/>
          <w:color w:val="000000"/>
          <w:sz w:val="22"/>
        </w:rPr>
        <w:t xml:space="preserve">(535A)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w:t>
      </w:r>
      <w:r>
        <w:rPr>
          <w:rFonts w:ascii="Times New Roman" w:hAnsi="Times New Roman"/>
          <w:b w:val="false"/>
          <w:i w:val="false"/>
          <w:color w:val="000000"/>
          <w:sz w:val="22"/>
        </w:rPr>
        <w:t> </w:t>
      </w:r>
      <w:r>
        <w:rPr>
          <w:rFonts w:ascii="Times New Roman" w:hAnsi="Times New Roman"/>
          <w:b w:val="false"/>
          <w:i/>
          <w:color w:val="000000"/>
          <w:sz w:val="22"/>
        </w:rPr>
        <w:t xml:space="preserve">“Reporting financial institution” </w:t>
      </w:r>
      <w:r>
        <w:rPr>
          <w:rFonts w:ascii="Times New Roman" w:hAnsi="Times New Roman"/>
          <w:b w:val="false"/>
          <w:i w:val="false"/>
          <w:color w:val="000000"/>
          <w:sz w:val="22"/>
        </w:rPr>
        <w:t>means a person which holds a certificate of authority to act as an insurer pursuant to any provision of Title XX, Iowa Code, if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beginning of a reporting period possessed assets in excess of $10 million;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During a reporting period received applications for mortgage loans on residential property situated in any Iowa city with a population in excess of 50,000, as determined in the most recent census, or in any standard metropolitan statistical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means an oral or written request for an extension of credit that is made in accordance with procedures established by a financial institution for the type of credit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w:t>
      </w:r>
      <w:r>
        <w:rPr>
          <w:rFonts w:ascii="Times New Roman" w:hAnsi="Times New Roman"/>
          <w:b w:val="false"/>
          <w:i w:val="false"/>
          <w:color w:val="000000"/>
          <w:sz w:val="22"/>
        </w:rPr>
        <w:t> </w:t>
      </w:r>
      <w:r>
        <w:rPr>
          <w:rFonts w:ascii="Times New Roman" w:hAnsi="Times New Roman"/>
          <w:b w:val="false"/>
          <w:i/>
          <w:color w:val="000000"/>
          <w:sz w:val="22"/>
        </w:rPr>
        <w:t xml:space="preserve">“Reporting period” </w:t>
      </w:r>
      <w:r>
        <w:rPr>
          <w:rFonts w:ascii="Times New Roman" w:hAnsi="Times New Roman"/>
          <w:b w:val="false"/>
          <w:i w:val="false"/>
          <w:color w:val="000000"/>
          <w:sz w:val="22"/>
        </w:rPr>
        <w:t>means the calendar year beginning January 1, 1979, and each calendar year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w:t>
      </w:r>
      <w:r>
        <w:rPr>
          <w:rFonts w:ascii="Times New Roman" w:hAnsi="Times New Roman"/>
          <w:b w:val="false"/>
          <w:i w:val="false"/>
          <w:color w:val="000000"/>
          <w:sz w:val="22"/>
        </w:rPr>
        <w:t> </w:t>
      </w:r>
      <w:r>
        <w:rPr>
          <w:rFonts w:ascii="Times New Roman" w:hAnsi="Times New Roman"/>
          <w:b w:val="false"/>
          <w:i/>
          <w:color w:val="000000"/>
          <w:sz w:val="22"/>
        </w:rPr>
        <w:t xml:space="preserve">“Mortgage loan” </w:t>
      </w:r>
      <w:r>
        <w:rPr>
          <w:rFonts w:ascii="Times New Roman" w:hAnsi="Times New Roman"/>
          <w:b w:val="false"/>
          <w:i w:val="false"/>
          <w:color w:val="000000"/>
          <w:sz w:val="22"/>
        </w:rPr>
        <w:t xml:space="preserve">means a mortgage loan as defined in Iowa Code section </w:t>
      </w:r>
      <w:hyperlink r:id="rId206">
        <w:r>
          <w:rPr>
            <w:rStyle w:val="Hyperlink"/>
            <w:rFonts w:ascii="Times New Roman" w:hAnsi="Times New Roman"/>
            <w:b w:val="false"/>
            <w:i w:val="false"/>
            <w:color w:val="000000"/>
            <w:sz w:val="22"/>
          </w:rPr>
          <w:t>535A.1</w:t>
        </w:r>
      </w:hyperlink>
      <w:r>
        <w:rPr>
          <w:rFonts w:ascii="Times New Roman" w:hAnsi="Times New Roman"/>
          <w:b w:val="false"/>
          <w:i w:val="false"/>
          <w:color w:val="000000"/>
          <w:sz w:val="22"/>
        </w:rPr>
        <w:t>, which is secured by a primary or secondary lien against residential property located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5.51(5)</w:t>
      </w:r>
      <w:r>
        <w:rPr>
          <w:rFonts w:ascii="Times New Roman" w:hAnsi="Times New Roman"/>
          <w:b w:val="false"/>
          <w:i w:val="false"/>
          <w:color w:val="000000"/>
          <w:sz w:val="22"/>
        </w:rPr>
        <w:t> </w:t>
      </w:r>
      <w:r>
        <w:rPr>
          <w:rFonts w:ascii="Times New Roman" w:hAnsi="Times New Roman"/>
          <w:b w:val="false"/>
          <w:i/>
          <w:color w:val="000000"/>
          <w:sz w:val="22"/>
        </w:rPr>
        <w:t xml:space="preserve">“Residential property” </w:t>
      </w:r>
      <w:r>
        <w:rPr>
          <w:rFonts w:ascii="Times New Roman" w:hAnsi="Times New Roman"/>
          <w:b w:val="false"/>
          <w:i w:val="false"/>
          <w:color w:val="000000"/>
          <w:sz w:val="22"/>
        </w:rPr>
        <w:t>means real property used or to be used for residential purposes, including single family homes, dwellings for from two to four families and individual units of condominiums and townhouses.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w:t>
      </w:r>
      <w:r>
        <w:rPr>
          <w:rFonts w:ascii="Times New Roman" w:hAnsi="Times New Roman"/>
          <w:b w:val="false"/>
          <w:i w:val="false"/>
          <w:color w:val="000000"/>
          <w:sz w:val="22"/>
        </w:rPr>
        <w:t> </w:t>
      </w:r>
      <w:r>
        <w:rPr>
          <w:rFonts w:ascii="Times New Roman" w:hAnsi="Times New Roman"/>
          <w:b w:val="false"/>
          <w:i/>
          <w:color w:val="000000"/>
          <w:sz w:val="22"/>
        </w:rPr>
        <w:t xml:space="preserve">“Residential mortgage loan” </w:t>
      </w:r>
      <w:r>
        <w:rPr>
          <w:rFonts w:ascii="Times New Roman" w:hAnsi="Times New Roman"/>
          <w:b w:val="false"/>
          <w:i w:val="false"/>
          <w:color w:val="000000"/>
          <w:sz w:val="22"/>
        </w:rPr>
        <w:t>means a mortgage loan other than a construction loan, a home improvement loan or a rehabilitation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w:t>
      </w:r>
      <w:r>
        <w:rPr>
          <w:rFonts w:ascii="Times New Roman" w:hAnsi="Times New Roman"/>
          <w:b w:val="false"/>
          <w:i w:val="false"/>
          <w:color w:val="000000"/>
          <w:sz w:val="22"/>
        </w:rPr>
        <w:t> </w:t>
      </w:r>
      <w:r>
        <w:rPr>
          <w:rFonts w:ascii="Times New Roman" w:hAnsi="Times New Roman"/>
          <w:b w:val="false"/>
          <w:i/>
          <w:color w:val="000000"/>
          <w:sz w:val="22"/>
        </w:rPr>
        <w:t xml:space="preserve">“Construction loan” </w:t>
      </w:r>
      <w:r>
        <w:rPr>
          <w:rFonts w:ascii="Times New Roman" w:hAnsi="Times New Roman"/>
          <w:b w:val="false"/>
          <w:i w:val="false"/>
          <w:color w:val="000000"/>
          <w:sz w:val="22"/>
        </w:rPr>
        <w:t>means a loan for a maximum of two years for the purpose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5.51(8)</w:t>
      </w:r>
      <w:r>
        <w:rPr>
          <w:rFonts w:ascii="Times New Roman" w:hAnsi="Times New Roman"/>
          <w:b w:val="false"/>
          <w:i w:val="false"/>
          <w:color w:val="000000"/>
          <w:sz w:val="22"/>
        </w:rPr>
        <w:t> </w:t>
      </w:r>
      <w:r>
        <w:rPr>
          <w:rFonts w:ascii="Times New Roman" w:hAnsi="Times New Roman"/>
          <w:b w:val="false"/>
          <w:i/>
          <w:color w:val="000000"/>
          <w:sz w:val="22"/>
        </w:rPr>
        <w:t xml:space="preserve">“Interest rate” </w:t>
      </w:r>
      <w:r>
        <w:rPr>
          <w:rFonts w:ascii="Times New Roman" w:hAnsi="Times New Roman"/>
          <w:b w:val="false"/>
          <w:i w:val="false"/>
          <w:color w:val="000000"/>
          <w:sz w:val="22"/>
        </w:rPr>
        <w:t>means the rate stated on the indenture.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5.51(9)</w:t>
      </w:r>
      <w:r>
        <w:rPr>
          <w:rFonts w:ascii="Times New Roman" w:hAnsi="Times New Roman"/>
          <w:b w:val="false"/>
          <w:i w:val="false"/>
          <w:color w:val="000000"/>
          <w:sz w:val="22"/>
        </w:rPr>
        <w:t> </w:t>
      </w:r>
      <w:r>
        <w:rPr>
          <w:rFonts w:ascii="Times New Roman" w:hAnsi="Times New Roman"/>
          <w:b w:val="false"/>
          <w:i/>
          <w:color w:val="000000"/>
          <w:sz w:val="22"/>
        </w:rPr>
        <w:t xml:space="preserve">“Standard metropolitan statistical area” </w:t>
      </w:r>
      <w:r>
        <w:rPr>
          <w:rFonts w:ascii="Times New Roman" w:hAnsi="Times New Roman"/>
          <w:b w:val="false"/>
          <w:i w:val="false"/>
          <w:color w:val="000000"/>
          <w:sz w:val="22"/>
        </w:rPr>
        <w:t>means an area located wholly or partly in the state of Iowa which is designated a standard metropolitan statistical area by the United States Department of Commerce.</w:t>
      </w:r>
    </w:p>
    <w:p>
      <w:pPr>
        <w:spacing w:before="0" w:after="0"/>
        <w:ind w:left="120"/>
        <w:jc w:val="both"/>
      </w:pPr>
      <w:r>
        <w:rPr>
          <w:rFonts w:ascii="Times New Roman" w:hAnsi="Times New Roman"/>
          <w:b/>
          <w:i w:val="false"/>
          <w:color w:val="000000"/>
          <w:sz w:val="22"/>
        </w:rPr>
        <w:t>191—5.52</w:t>
      </w:r>
      <w:r>
        <w:rPr>
          <w:rFonts w:ascii="Times New Roman" w:hAnsi="Times New Roman"/>
          <w:b/>
          <w:i w:val="false"/>
          <w:color w:val="000000"/>
          <w:sz w:val="22"/>
        </w:rPr>
        <w:t xml:space="preserve">(535A) </w:t>
      </w:r>
      <w:r>
        <w:rPr>
          <w:rFonts w:ascii="Times New Roman" w:hAnsi="Times New Roman"/>
          <w:b/>
          <w:i w:val="false"/>
          <w:color w:val="000000"/>
          <w:sz w:val="22"/>
        </w:rPr>
        <w:t xml:space="preserve">Filing of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reporting financial institution shall file the reports required by rule </w:t>
      </w:r>
      <w:hyperlink r:id="rId207">
        <w:r>
          <w:rPr>
            <w:rStyle w:val="Hyperlink"/>
            <w:rFonts w:ascii="Times New Roman" w:hAnsi="Times New Roman"/>
            <w:b w:val="false"/>
            <w:i w:val="false"/>
            <w:color w:val="000000"/>
            <w:sz w:val="22"/>
          </w:rPr>
          <w:t>191—5.53</w:t>
        </w:r>
      </w:hyperlink>
      <w:r>
        <w:rPr>
          <w:rFonts w:ascii="Times New Roman" w:hAnsi="Times New Roman"/>
          <w:b w:val="false"/>
          <w:i w:val="false"/>
          <w:color w:val="000000"/>
          <w:sz w:val="22"/>
        </w:rPr>
        <w:t>(535A) with the director of the Iowa housing finance authority and with the commissioner each year by January 15, and shall maintain a copy of each report at the office where its principal financial records are maintained for a period of five years after it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Reporting financial institutions shall file a report which complies with the Federal Home Mortgage Act of 1975, 12 U.S.C. 2801 to 2809, and regulations promulgated under that Act. Reporting financial institutions shall also report additional information required by rule </w:t>
      </w:r>
      <w:hyperlink r:id="rId208">
        <w:r>
          <w:rPr>
            <w:rStyle w:val="Hyperlink"/>
            <w:rFonts w:ascii="Times New Roman" w:hAnsi="Times New Roman"/>
            <w:b w:val="false"/>
            <w:i w:val="false"/>
            <w:color w:val="000000"/>
            <w:sz w:val="22"/>
          </w:rPr>
          <w:t>191—5.54</w:t>
        </w:r>
      </w:hyperlink>
      <w:r>
        <w:rPr>
          <w:rFonts w:ascii="Times New Roman" w:hAnsi="Times New Roman"/>
          <w:b w:val="false"/>
          <w:i w:val="false"/>
          <w:color w:val="000000"/>
          <w:sz w:val="22"/>
        </w:rPr>
        <w:t>(535A).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191—5.53</w:t>
      </w:r>
      <w:r>
        <w:rPr>
          <w:rFonts w:ascii="Times New Roman" w:hAnsi="Times New Roman"/>
          <w:b/>
          <w:i w:val="false"/>
          <w:color w:val="000000"/>
          <w:sz w:val="22"/>
        </w:rPr>
        <w:t xml:space="preserve">(535A) </w:t>
      </w:r>
      <w:r>
        <w:rPr>
          <w:rFonts w:ascii="Times New Roman" w:hAnsi="Times New Roman"/>
          <w:b/>
          <w:i w:val="false"/>
          <w:color w:val="000000"/>
          <w:sz w:val="22"/>
        </w:rPr>
        <w:t xml:space="preserve">Form and content of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required by rule </w:t>
      </w:r>
      <w:hyperlink r:id="rId209">
        <w:r>
          <w:rPr>
            <w:rStyle w:val="Hyperlink"/>
            <w:rFonts w:ascii="Times New Roman" w:hAnsi="Times New Roman"/>
            <w:b w:val="false"/>
            <w:i w:val="false"/>
            <w:color w:val="000000"/>
            <w:sz w:val="22"/>
          </w:rPr>
          <w:t>191—5.53</w:t>
        </w:r>
      </w:hyperlink>
      <w:r>
        <w:rPr>
          <w:rFonts w:ascii="Times New Roman" w:hAnsi="Times New Roman"/>
          <w:b w:val="false"/>
          <w:i w:val="false"/>
          <w:color w:val="000000"/>
          <w:sz w:val="22"/>
        </w:rPr>
        <w:t>(535A) shall be filed on Disclosure Form A</w:t>
      </w:r>
      <w:r>
        <w:rPr>
          <w:rFonts w:ascii="Times New Roman" w:hAnsi="Times New Roman"/>
          <w:b w:val="false"/>
          <w:i w:val="false"/>
          <w:color w:val="000000"/>
          <w:sz w:val="10"/>
        </w:rPr>
        <w:t>1</w:t>
      </w:r>
      <w:r>
        <w:rPr>
          <w:rFonts w:ascii="Times New Roman" w:hAnsi="Times New Roman"/>
          <w:b w:val="false"/>
          <w:i w:val="false"/>
          <w:color w:val="000000"/>
          <w:sz w:val="22"/>
        </w:rPr>
        <w:t xml:space="preserve"> or a form similar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5.53(2)</w:t>
      </w:r>
      <w:r>
        <w:rPr>
          <w:rFonts w:ascii="Times New Roman" w:hAnsi="Times New Roman"/>
          <w:b w:val="false"/>
          <w:i w:val="false"/>
          <w:color w:val="000000"/>
          <w:sz w:val="22"/>
        </w:rPr>
        <w:t> </w:t>
      </w:r>
      <w:r>
        <w:rPr>
          <w:rFonts w:ascii="Times New Roman" w:hAnsi="Times New Roman"/>
          <w:b w:val="false"/>
          <w:i w:val="false"/>
          <w:color w:val="000000"/>
          <w:sz w:val="22"/>
        </w:rPr>
        <w:t>Financial institutions may submit computer printouts in lieu of the specimen form if the computer printouts contain the same information in the same sequence as on the specimen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5.53(3)</w:t>
      </w:r>
      <w:r>
        <w:rPr>
          <w:rFonts w:ascii="Times New Roman" w:hAnsi="Times New Roman"/>
          <w:b w:val="false"/>
          <w:i w:val="false"/>
          <w:color w:val="000000"/>
          <w:sz w:val="22"/>
        </w:rPr>
        <w:t> </w:t>
      </w:r>
      <w:r>
        <w:rPr>
          <w:rFonts w:ascii="Times New Roman" w:hAnsi="Times New Roman"/>
          <w:b w:val="false"/>
          <w:i w:val="false"/>
          <w:color w:val="000000"/>
          <w:sz w:val="22"/>
        </w:rPr>
        <w:t>Every report filed shall disclose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reporting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officer designated by the reporting financial institution to file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principal amount of a loan shall be disclosed with respect to construction loan applications, home improvement loan applications, total mortgage loan applications, and residential mortgage loan applications, and the requested amount shall be disclosed with respect to construction loan applications not approved, home improvement loan applications not approved, total mortgage loan applications not approved and residential mortgage loan applications not approved. The principal and requested amount disclosures required above shall be reported separately for each census tract or zip code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w:t>
      </w:r>
      <w:r>
        <w:rPr>
          <w:rFonts w:ascii="Times New Roman" w:hAnsi="Times New Roman"/>
          <w:b w:val="false"/>
          <w:i w:val="false"/>
          <w:color w:val="000000"/>
          <w:sz w:val="22"/>
        </w:rPr>
        <w:t> </w:t>
      </w:r>
      <w:r>
        <w:rPr>
          <w:rFonts w:ascii="Times New Roman" w:hAnsi="Times New Roman"/>
          <w:b w:val="false"/>
          <w:i w:val="false"/>
          <w:color w:val="000000"/>
          <w:sz w:val="22"/>
        </w:rPr>
        <w:t>Each report shall also indicate the number of persons requesting to examine the disclosure report for the previous reporting period.</w:t>
      </w:r>
    </w:p>
    <w:p>
      <w:pPr>
        <w:pBdr>
          <w:left w:space="1"/>
        </w:pBdr>
        <w:spacing w:before="0" w:after="0"/>
        <w:ind w:left="456"/>
        <w:jc w:val="both"/>
      </w:pPr>
      <w:r>
        <w:rPr>
          <w:rFonts w:ascii="Times New Roman" w:hAnsi="Times New Roman"/>
          <w:b w:val="false"/>
          <w:i w:val="false"/>
          <w:color w:val="000000"/>
          <w:sz w:val="10"/>
        </w:rPr>
        <w:t>1</w:t>
      </w:r>
      <w:r>
        <w:rPr>
          <w:rFonts w:ascii="Times New Roman" w:hAnsi="Times New Roman"/>
          <w:b w:val="false"/>
          <w:i w:val="false"/>
          <w:color w:val="000000"/>
          <w:sz w:val="16"/>
        </w:rPr>
        <w:t xml:space="preserve">Form omitted under Iowa Code section </w:t>
      </w:r>
      <w:hyperlink r:id="rId210">
        <w:r>
          <w:rPr>
            <w:rStyle w:val="Hyperlink"/>
            <w:rFonts w:ascii="Times New Roman" w:hAnsi="Times New Roman"/>
            <w:b w:val="false"/>
            <w:i w:val="false"/>
            <w:color w:val="000000"/>
            <w:sz w:val="16"/>
          </w:rPr>
          <w:t>17A.6(3)</w:t>
        </w:r>
      </w:hyperlink>
      <w:r>
        <w:rPr>
          <w:rFonts w:ascii="Times New Roman" w:hAnsi="Times New Roman"/>
          <w:b w:val="false"/>
          <w:i w:val="false"/>
          <w:color w:val="000000"/>
          <w:sz w:val="16"/>
        </w:rPr>
        <w:t>. They are available upon request from the agency.</w:t>
      </w:r>
    </w:p>
    <w:p>
      <w:pPr>
        <w:spacing w:before="0" w:after="0"/>
        <w:ind w:left="120"/>
        <w:jc w:val="both"/>
      </w:pPr>
      <w:r>
        <w:rPr>
          <w:rFonts w:ascii="Times New Roman" w:hAnsi="Times New Roman"/>
          <w:b/>
          <w:i w:val="false"/>
          <w:color w:val="000000"/>
          <w:sz w:val="22"/>
        </w:rPr>
        <w:t>191—5.54</w:t>
      </w:r>
      <w:r>
        <w:rPr>
          <w:rFonts w:ascii="Times New Roman" w:hAnsi="Times New Roman"/>
          <w:b/>
          <w:i w:val="false"/>
          <w:color w:val="000000"/>
          <w:sz w:val="22"/>
        </w:rPr>
        <w:t xml:space="preserve">(535A) </w:t>
      </w:r>
      <w:r>
        <w:rPr>
          <w:rFonts w:ascii="Times New Roman" w:hAnsi="Times New Roman"/>
          <w:b/>
          <w:i w:val="false"/>
          <w:color w:val="000000"/>
          <w:sz w:val="22"/>
        </w:rPr>
        <w:t xml:space="preserve">Additional information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5.54(1)</w:t>
      </w:r>
      <w:r>
        <w:rPr>
          <w:rFonts w:ascii="Times New Roman" w:hAnsi="Times New Roman"/>
          <w:b w:val="false"/>
          <w:i w:val="false"/>
          <w:color w:val="000000"/>
          <w:sz w:val="22"/>
        </w:rPr>
        <w:t> </w:t>
      </w:r>
      <w:r>
        <w:rPr>
          <w:rFonts w:ascii="Times New Roman" w:hAnsi="Times New Roman"/>
          <w:b w:val="false"/>
          <w:i w:val="false"/>
          <w:color w:val="000000"/>
          <w:sz w:val="22"/>
        </w:rPr>
        <w:t>Reporting financial institutions shall file with the commissioner on or before March 15 of each year Disclosure Form B or a form similar thereto the following additional information with respect to loans for the purchase of residential property made during the preceding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number of loans approved at each of the following percentages of the appraised value of the property used as security for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Less than 60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60 percent to 69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70 percent to 79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80 percent to 89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90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loans approved for each of the following amortization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Less than 10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10 to 14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15 to 19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20 to 24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25 to 29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30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of loans made at each interest rate charged.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5.54(2)</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Reporting financial institutions are not required to file the additional information required by subrule </w:t>
      </w:r>
      <w:hyperlink r:id="rId211">
        <w:r>
          <w:rPr>
            <w:rStyle w:val="Hyperlink"/>
            <w:rFonts w:ascii="Times New Roman" w:hAnsi="Times New Roman"/>
            <w:b w:val="false"/>
            <w:i w:val="false"/>
            <w:color w:val="000000"/>
            <w:sz w:val="22"/>
          </w:rPr>
          <w:t>5.54(1)</w:t>
        </w:r>
      </w:hyperlink>
      <w:r>
        <w:rPr>
          <w:rFonts w:ascii="Times New Roman" w:hAnsi="Times New Roman"/>
          <w:b w:val="false"/>
          <w:i w:val="false"/>
          <w:color w:val="000000"/>
          <w:sz w:val="22"/>
        </w:rPr>
        <w:t xml:space="preserve"> for any loan guaranteed in whole or part under any program of the United States or any of its agencies or instrumentalities,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reporting financial institution made a written loan commitment for the loan at the maximum rate of interest permitted under the program at the time of the commitment,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amortization period for a loan is the maximum period permitted under the program or a shorter period established in response to a request initiated solely by the borrower,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loan is made at the maximum percentage of appraised value of the property permitted under the program or for the total amount which the borrower desired to borrow,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reporting financial institution files with the commissioner on or before March 15 of each year its verified statement, signed by an officer of the reporting financial institution, that it has made loans under such a program and that it has filed the report required by this subrule for each such loan not exempted by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191—5.55</w:t>
      </w:r>
      <w:r>
        <w:rPr>
          <w:rFonts w:ascii="Times New Roman" w:hAnsi="Times New Roman"/>
          <w:b/>
          <w:i w:val="false"/>
          <w:color w:val="000000"/>
          <w:sz w:val="22"/>
        </w:rPr>
        <w:t xml:space="preserve">(535A) </w:t>
      </w:r>
      <w:r>
        <w:rPr>
          <w:rFonts w:ascii="Times New Roman" w:hAnsi="Times New Roman"/>
          <w:b/>
          <w:i w:val="false"/>
          <w:color w:val="000000"/>
          <w:sz w:val="22"/>
        </w:rPr>
        <w:t xml:space="preserve">Written complaints. </w:t>
      </w:r>
      <w:r>
        <w:rPr>
          <w:rFonts w:ascii="Times New Roman" w:hAnsi="Times New Roman"/>
          <w:b w:val="false"/>
          <w:i w:val="false"/>
          <w:color w:val="000000"/>
          <w:sz w:val="22"/>
        </w:rPr>
        <w:t xml:space="preserve">Any person who has reason to believe that a financial institution has failed to comply with the provisions of Iowa Code chapter </w:t>
      </w:r>
      <w:hyperlink r:id="rId212">
        <w:r>
          <w:rPr>
            <w:rStyle w:val="Hyperlink"/>
            <w:rFonts w:ascii="Times New Roman" w:hAnsi="Times New Roman"/>
            <w:b w:val="false"/>
            <w:i w:val="false"/>
            <w:color w:val="000000"/>
            <w:sz w:val="22"/>
          </w:rPr>
          <w:t>535A</w:t>
        </w:r>
      </w:hyperlink>
      <w:r>
        <w:rPr>
          <w:rFonts w:ascii="Times New Roman" w:hAnsi="Times New Roman"/>
          <w:b w:val="false"/>
          <w:i w:val="false"/>
          <w:color w:val="000000"/>
          <w:sz w:val="22"/>
        </w:rPr>
        <w:t xml:space="preserve"> or these rules may file a written complaint with the division or bring an action in the district court in accordance with Iowa Code chapter </w:t>
      </w:r>
      <w:hyperlink r:id="rId213">
        <w:r>
          <w:rPr>
            <w:rStyle w:val="Hyperlink"/>
            <w:rFonts w:ascii="Times New Roman" w:hAnsi="Times New Roman"/>
            <w:b w:val="false"/>
            <w:i w:val="false"/>
            <w:color w:val="000000"/>
            <w:sz w:val="22"/>
          </w:rPr>
          <w:t>535A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5515C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14">
        <w:r>
          <w:rPr>
            <w:rStyle w:val="Hyperlink"/>
            <w:rFonts w:ascii="Times New Roman" w:hAnsi="Times New Roman"/>
            <w:b w:val="false"/>
            <w:i w:val="false"/>
            <w:color w:val="000000"/>
            <w:sz w:val="22"/>
          </w:rPr>
          <w:t>535A.2</w:t>
        </w:r>
      </w:hyperlink>
      <w:r>
        <w:rPr>
          <w:rFonts w:ascii="Times New Roman" w:hAnsi="Times New Roman"/>
          <w:b w:val="false"/>
          <w:i w:val="false"/>
          <w:color w:val="000000"/>
          <w:sz w:val="22"/>
        </w:rPr>
        <w:t xml:space="preserve"> and </w:t>
      </w:r>
      <w:hyperlink r:id="rId215">
        <w:r>
          <w:rPr>
            <w:rStyle w:val="Hyperlink"/>
            <w:rFonts w:ascii="Times New Roman" w:hAnsi="Times New Roman"/>
            <w:b w:val="false"/>
            <w:i w:val="false"/>
            <w:color w:val="000000"/>
            <w:sz w:val="22"/>
          </w:rPr>
          <w:t>535A.4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191—5.56</w:t>
      </w:r>
      <w:r>
        <w:rPr>
          <w:rFonts w:ascii="Times New Roman" w:hAnsi="Times New Roman"/>
          <w:b w:val="false"/>
          <w:i w:val="false"/>
          <w:color w:val="000000"/>
          <w:sz w:val="22"/>
        </w:rPr>
        <w:t xml:space="preserve"> to </w:t>
      </w:r>
      <w:r>
        <w:rPr>
          <w:rFonts w:ascii="Times New Roman" w:hAnsi="Times New Roman"/>
          <w:b/>
          <w:i w:val="false"/>
          <w:color w:val="000000"/>
          <w:sz w:val="22"/>
        </w:rPr>
        <w:t>5.89</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191—5.90</w:t>
      </w:r>
      <w:r>
        <w:rPr>
          <w:rFonts w:ascii="Times New Roman" w:hAnsi="Times New Roman"/>
          <w:b/>
          <w:i w:val="false"/>
          <w:color w:val="000000"/>
          <w:sz w:val="22"/>
        </w:rPr>
        <w:t xml:space="preserve">(145) </w:t>
      </w:r>
      <w:r>
        <w:rPr>
          <w:rFonts w:ascii="Times New Roman" w:hAnsi="Times New Roman"/>
          <w:b/>
          <w:i w:val="false"/>
          <w:color w:val="000000"/>
          <w:sz w:val="22"/>
        </w:rPr>
        <w:t xml:space="preserve">Implementation of health data commission directives.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11/15/00</w:t>
      </w:r>
      <w:r>
        <w:rPr>
          <w:rFonts w:ascii="Times New Roman" w:hAnsi="Times New Roman"/>
          <w:b w:val="false"/>
          <w:i w:val="false"/>
          <w:color w:val="000000"/>
          <w:sz w:val="22"/>
        </w:rPr>
        <w:t>, effective 12/20/00.</w:t>
      </w:r>
    </w:p>
    <w:p>
      <w:pPr>
        <w:spacing w:before="0" w:after="0"/>
        <w:ind w:left="120"/>
        <w:jc w:val="center"/>
      </w:pPr>
      <w:r>
        <w:rPr>
          <w:rFonts w:ascii="Times New Roman" w:hAnsi="Times New Roman"/>
          <w:b w:val="false"/>
          <w:i w:val="false"/>
          <w:color w:val="000000"/>
          <w:sz w:val="21"/>
        </w:rPr>
        <w:t>[Filed 8/1/63, amended 11/21/63, 1/13/71]</w:t>
      </w:r>
    </w:p>
    <w:p>
      <w:pPr>
        <w:spacing w:before="0" w:after="0"/>
        <w:ind w:left="120"/>
        <w:jc w:val="center"/>
      </w:pPr>
      <w:r>
        <w:rPr>
          <w:rFonts w:ascii="Times New Roman" w:hAnsi="Times New Roman"/>
          <w:b w:val="false"/>
          <w:i w:val="false"/>
          <w:color w:val="000000"/>
          <w:sz w:val="21"/>
        </w:rPr>
        <w:t>[Filed emergency 5/24/76, Notice 4/19/76—published 6/14/76, effective 5/24/76]</w:t>
      </w:r>
    </w:p>
    <w:p>
      <w:pPr>
        <w:spacing w:before="0" w:after="0"/>
        <w:ind w:left="120"/>
        <w:jc w:val="center"/>
      </w:pPr>
      <w:r>
        <w:rPr>
          <w:rFonts w:ascii="Times New Roman" w:hAnsi="Times New Roman"/>
          <w:b w:val="false"/>
          <w:i w:val="false"/>
          <w:color w:val="000000"/>
          <w:sz w:val="21"/>
        </w:rPr>
        <w:t>[Filed emergency 2/13/79—published 3/7/79, effective 2/13/79]</w:t>
      </w:r>
    </w:p>
    <w:p>
      <w:pPr>
        <w:spacing w:before="0" w:after="0"/>
        <w:ind w:left="120"/>
        <w:jc w:val="center"/>
      </w:pPr>
      <w:r>
        <w:rPr>
          <w:rFonts w:ascii="Times New Roman" w:hAnsi="Times New Roman"/>
          <w:b w:val="false"/>
          <w:i w:val="false"/>
          <w:color w:val="000000"/>
          <w:sz w:val="21"/>
        </w:rPr>
        <w:t>[Filed emergency after Notice 7/20/79, Notice 3/7/79—published 8/8/79, effective 7/31/79]</w:t>
      </w:r>
    </w:p>
    <w:p>
      <w:pPr>
        <w:spacing w:before="0" w:after="0"/>
        <w:ind w:left="120"/>
        <w:jc w:val="center"/>
      </w:pPr>
      <w:r>
        <w:rPr>
          <w:rFonts w:ascii="Times New Roman" w:hAnsi="Times New Roman"/>
          <w:b w:val="false"/>
          <w:i w:val="false"/>
          <w:color w:val="000000"/>
          <w:sz w:val="21"/>
        </w:rPr>
        <w:t>[Filed 4/4/84, Notice 2/29/84—published 4/25/84, effective 5/30/84]</w:t>
      </w:r>
    </w:p>
    <w:p>
      <w:pPr>
        <w:spacing w:before="0" w:after="0"/>
        <w:ind w:left="120"/>
        <w:jc w:val="center"/>
      </w:pPr>
      <w:r>
        <w:rPr>
          <w:rFonts w:ascii="Times New Roman" w:hAnsi="Times New Roman"/>
          <w:b w:val="false"/>
          <w:i w:val="false"/>
          <w:color w:val="000000"/>
          <w:sz w:val="21"/>
        </w:rPr>
        <w:t>[Filed 4/3/85, Notice 2/27/85—published 4/24/85, effective 5/29/85]</w:t>
      </w:r>
    </w:p>
    <w:p>
      <w:pPr>
        <w:spacing w:before="0" w:after="0"/>
        <w:ind w:left="120"/>
        <w:jc w:val="center"/>
      </w:pPr>
      <w:r>
        <w:rPr>
          <w:rFonts w:ascii="Times New Roman" w:hAnsi="Times New Roman"/>
          <w:b w:val="false"/>
          <w:i w:val="false"/>
          <w:color w:val="000000"/>
          <w:sz w:val="21"/>
        </w:rPr>
        <w:t>[Filed 10/3/86, Notice 8/27/86—published 10/22/86, effective 11/26/86]</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2/5/88, Notice 12/30/87—published 2/24/88, effective 3/30/88]</w:t>
      </w:r>
    </w:p>
    <w:p>
      <w:pPr>
        <w:spacing w:before="0" w:after="0"/>
        <w:ind w:left="120"/>
        <w:jc w:val="center"/>
      </w:pPr>
      <w:r>
        <w:rPr>
          <w:rFonts w:ascii="Times New Roman" w:hAnsi="Times New Roman"/>
          <w:b w:val="false"/>
          <w:i w:val="false"/>
          <w:color w:val="000000"/>
          <w:sz w:val="21"/>
        </w:rPr>
        <w:t>[Filed 12/9/88, Notice 10/5/88—published 12/28/88, effective 2/1/89]</w:t>
      </w:r>
    </w:p>
    <w:p>
      <w:pPr>
        <w:spacing w:before="0" w:after="0"/>
        <w:ind w:left="120"/>
        <w:jc w:val="center"/>
      </w:pPr>
      <w:r>
        <w:rPr>
          <w:rFonts w:ascii="Times New Roman" w:hAnsi="Times New Roman"/>
          <w:b w:val="false"/>
          <w:i w:val="false"/>
          <w:color w:val="000000"/>
          <w:sz w:val="21"/>
        </w:rPr>
        <w:t>[Filed 7/21/89, Notice 5/31/89—published 8/9/89, effective 9/13/89]</w:t>
      </w:r>
    </w:p>
    <w:p>
      <w:pPr>
        <w:spacing w:before="0" w:after="0"/>
        <w:ind w:left="120"/>
        <w:jc w:val="center"/>
      </w:pPr>
      <w:r>
        <w:rPr>
          <w:rFonts w:ascii="Times New Roman" w:hAnsi="Times New Roman"/>
          <w:b w:val="false"/>
          <w:i w:val="false"/>
          <w:color w:val="000000"/>
          <w:sz w:val="21"/>
        </w:rPr>
        <w:t>[Filed 3/16/90, Notice 2/7/90—published 4/4/90, effective 5/9/90]</w:t>
      </w:r>
    </w:p>
    <w:p>
      <w:pPr>
        <w:spacing w:before="0" w:after="0"/>
        <w:ind w:left="120"/>
        <w:jc w:val="center"/>
      </w:pPr>
      <w:r>
        <w:rPr>
          <w:rFonts w:ascii="Times New Roman" w:hAnsi="Times New Roman"/>
          <w:b w:val="false"/>
          <w:i w:val="false"/>
          <w:color w:val="000000"/>
          <w:sz w:val="21"/>
        </w:rPr>
        <w:t>[Filed 1/4/91, Notice 11/28/90—published 1/23/91, effective 2/27/91]</w:t>
      </w:r>
    </w:p>
    <w:p>
      <w:pPr>
        <w:spacing w:before="0" w:after="0"/>
        <w:ind w:left="120"/>
        <w:jc w:val="center"/>
      </w:pPr>
      <w:r>
        <w:rPr>
          <w:rFonts w:ascii="Times New Roman" w:hAnsi="Times New Roman"/>
          <w:b w:val="false"/>
          <w:i w:val="false"/>
          <w:color w:val="000000"/>
          <w:sz w:val="21"/>
        </w:rPr>
        <w:t>[Filed 4/12/91, Notice 3/6/91—published 5/1/91, effective 6/5/91]</w:t>
      </w:r>
    </w:p>
    <w:p>
      <w:pPr>
        <w:spacing w:before="0" w:after="0"/>
        <w:ind w:left="120"/>
        <w:jc w:val="center"/>
      </w:pPr>
      <w:r>
        <w:rPr>
          <w:rFonts w:ascii="Times New Roman" w:hAnsi="Times New Roman"/>
          <w:b w:val="false"/>
          <w:i w:val="false"/>
          <w:color w:val="000000"/>
          <w:sz w:val="21"/>
        </w:rPr>
        <w:t>[Filed emergency 6/21/91—published 7/10/91, effective 6/21/91]</w:t>
      </w:r>
    </w:p>
    <w:p>
      <w:pPr>
        <w:spacing w:before="0" w:after="0"/>
        <w:ind w:left="120"/>
        <w:jc w:val="center"/>
      </w:pPr>
      <w:r>
        <w:rPr>
          <w:rFonts w:ascii="Times New Roman" w:hAnsi="Times New Roman"/>
          <w:b w:val="false"/>
          <w:i w:val="false"/>
          <w:color w:val="000000"/>
          <w:sz w:val="21"/>
        </w:rPr>
        <w:t>[Filed 7/3/91, Notice 5/29/91—published 7/24/91, effective 8/28/91]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8/15/91, Notice 7/10/91—published 9/4/91, effective 10/9/91]</w:t>
      </w:r>
    </w:p>
    <w:p>
      <w:pPr>
        <w:spacing w:before="0" w:after="0"/>
        <w:ind w:left="120"/>
        <w:jc w:val="center"/>
      </w:pPr>
      <w:r>
        <w:rPr>
          <w:rFonts w:ascii="Times New Roman" w:hAnsi="Times New Roman"/>
          <w:b w:val="false"/>
          <w:i w:val="false"/>
          <w:color w:val="000000"/>
          <w:sz w:val="21"/>
        </w:rPr>
        <w:t>[Filed 12/6/91, Notice 10/30/91—published 12/25/91, effective 1/29/92]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11/6/92—published 11/25/92, effective 11/6/92]</w:t>
      </w:r>
    </w:p>
    <w:p>
      <w:pPr>
        <w:spacing w:before="0" w:after="0"/>
        <w:ind w:left="120"/>
        <w:jc w:val="center"/>
      </w:pPr>
      <w:r>
        <w:rPr>
          <w:rFonts w:ascii="Times New Roman" w:hAnsi="Times New Roman"/>
          <w:b w:val="false"/>
          <w:i w:val="false"/>
          <w:color w:val="000000"/>
          <w:sz w:val="21"/>
        </w:rPr>
        <w:t>[Filed 8/13/93, Notice 7/7/93—published 9/1/93, effective 10/6/93]</w:t>
      </w:r>
    </w:p>
    <w:p>
      <w:pPr>
        <w:spacing w:before="0" w:after="0"/>
        <w:ind w:left="120"/>
        <w:jc w:val="center"/>
      </w:pPr>
      <w:r>
        <w:rPr>
          <w:rFonts w:ascii="Times New Roman" w:hAnsi="Times New Roman"/>
          <w:b w:val="false"/>
          <w:i w:val="false"/>
          <w:color w:val="000000"/>
          <w:sz w:val="21"/>
        </w:rPr>
        <w:t>[Filed 10/20/95, Notice 9/13/95—published 11/8/95, effective 1/1/96]</w:t>
      </w:r>
    </w:p>
    <w:p>
      <w:pPr>
        <w:spacing w:before="0" w:after="0"/>
        <w:ind w:left="120"/>
        <w:jc w:val="center"/>
      </w:pPr>
      <w:r>
        <w:rPr>
          <w:rFonts w:ascii="Times New Roman" w:hAnsi="Times New Roman"/>
          <w:b w:val="false"/>
          <w:i w:val="false"/>
          <w:color w:val="000000"/>
          <w:sz w:val="21"/>
        </w:rPr>
        <w:t>[Filed 3/5/99, Notice 11/4/98—published 3/24/99, effective 4/28/99]</w:t>
      </w:r>
    </w:p>
    <w:p>
      <w:pPr>
        <w:spacing w:before="0" w:after="0"/>
        <w:ind w:left="120"/>
        <w:jc w:val="center"/>
      </w:pPr>
      <w:r>
        <w:rPr>
          <w:rFonts w:ascii="Times New Roman" w:hAnsi="Times New Roman"/>
          <w:b w:val="false"/>
          <w:i w:val="false"/>
          <w:color w:val="000000"/>
          <w:sz w:val="21"/>
        </w:rPr>
        <w:t>[Filed 10/27/00, Notice 9/20/00—published 11/15/00, effective 12/20/00]</w:t>
      </w:r>
    </w:p>
    <w:p>
      <w:pPr>
        <w:spacing w:before="0" w:after="0"/>
        <w:ind w:left="120"/>
        <w:jc w:val="center"/>
      </w:pPr>
      <w:r>
        <w:rPr>
          <w:rFonts w:ascii="Times New Roman" w:hAnsi="Times New Roman"/>
          <w:b w:val="false"/>
          <w:i w:val="false"/>
          <w:color w:val="000000"/>
          <w:sz w:val="21"/>
        </w:rPr>
        <w:t>[Filed emergency 12/14/00 after Notice 8/23/00—published 1/10/01, effective 1/1/01]</w:t>
      </w:r>
    </w:p>
    <w:p>
      <w:pPr>
        <w:spacing w:before="0" w:after="0"/>
        <w:ind w:left="120"/>
        <w:jc w:val="center"/>
      </w:pPr>
      <w:r>
        <w:rPr>
          <w:rFonts w:ascii="Times New Roman" w:hAnsi="Times New Roman"/>
          <w:b w:val="false"/>
          <w:i w:val="false"/>
          <w:color w:val="000000"/>
          <w:sz w:val="21"/>
        </w:rPr>
        <w:t>[Filed emergency 12/4/03 after Notice 10/1/03—published 12/24/03, effective 1/1/04]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3/9/07, Notice 1/31/07—published 3/28/07, effective 5/2/07]</w:t>
      </w:r>
    </w:p>
    <w:p>
      <w:pPr>
        <w:spacing w:before="0" w:after="0"/>
        <w:ind w:left="120"/>
        <w:jc w:val="center"/>
      </w:pPr>
      <w:r>
        <w:rPr>
          <w:rFonts w:ascii="Times New Roman" w:hAnsi="Times New Roman"/>
          <w:b w:val="false"/>
          <w:i w:val="false"/>
          <w:color w:val="000000"/>
          <w:sz w:val="21"/>
        </w:rPr>
        <w:t>[Filed 7/17/07, Notice 3/14/07—published 8/15/07, effective 9/19/07]</w:t>
      </w:r>
    </w:p>
    <w:p>
      <w:pPr>
        <w:spacing w:before="0" w:after="0"/>
        <w:ind w:left="120"/>
        <w:jc w:val="center"/>
      </w:pPr>
      <w:r>
        <w:rPr>
          <w:rFonts w:ascii="Times New Roman" w:hAnsi="Times New Roman"/>
          <w:b w:val="false"/>
          <w:i w:val="false"/>
          <w:color w:val="000000"/>
          <w:sz w:val="21"/>
        </w:rPr>
        <w:t>[Filed ARC 9184B</w:t>
      </w:r>
      <w:r>
        <w:rPr>
          <w:rFonts w:ascii="Times New Roman" w:hAnsi="Times New Roman"/>
          <w:b w:val="false"/>
          <w:i w:val="false"/>
          <w:color w:val="000000"/>
          <w:sz w:val="21"/>
        </w:rPr>
        <w:t xml:space="preserve"> (Notice ARC 9069B, IAB 9/8/10)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9228B</w:t>
      </w:r>
      <w:r>
        <w:rPr>
          <w:rFonts w:ascii="Times New Roman" w:hAnsi="Times New Roman"/>
          <w:b w:val="false"/>
          <w:i w:val="false"/>
          <w:color w:val="000000"/>
          <w:sz w:val="21"/>
        </w:rPr>
        <w:t xml:space="preserve"> (Notice ARC 9079B, IAB 9/22/10)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1111C</w:t>
      </w:r>
      <w:r>
        <w:rPr>
          <w:rFonts w:ascii="Times New Roman" w:hAnsi="Times New Roman"/>
          <w:b w:val="false"/>
          <w:i w:val="false"/>
          <w:color w:val="000000"/>
          <w:sz w:val="21"/>
        </w:rPr>
        <w:t xml:space="preserve"> (Notice ARC 0960C, IAB 8/21/13)</w:t>
      </w:r>
      <w:r>
        <w:rPr>
          <w:rFonts w:ascii="Times New Roman" w:hAnsi="Times New Roman"/>
          <w:b w:val="false"/>
          <w:i w:val="false"/>
          <w:color w:val="000000"/>
          <w:sz w:val="21"/>
        </w:rPr>
        <w:t>, IAB 10/16/13, effective 1/1/14]</w:t>
      </w:r>
    </w:p>
    <w:p>
      <w:pPr>
        <w:spacing w:before="0" w:after="0"/>
        <w:ind w:left="120"/>
        <w:jc w:val="center"/>
      </w:pPr>
      <w:r>
        <w:rPr>
          <w:rFonts w:ascii="Times New Roman" w:hAnsi="Times New Roman"/>
          <w:b w:val="false"/>
          <w:i w:val="false"/>
          <w:color w:val="000000"/>
          <w:sz w:val="21"/>
        </w:rPr>
        <w:t>[Filed ARC 1279C</w:t>
      </w:r>
      <w:r>
        <w:rPr>
          <w:rFonts w:ascii="Times New Roman" w:hAnsi="Times New Roman"/>
          <w:b w:val="false"/>
          <w:i w:val="false"/>
          <w:color w:val="000000"/>
          <w:sz w:val="21"/>
        </w:rPr>
        <w:t xml:space="preserve"> (Notice ARC 1178C, IAB 11/13/13)</w:t>
      </w:r>
      <w:r>
        <w:rPr>
          <w:rFonts w:ascii="Times New Roman" w:hAnsi="Times New Roman"/>
          <w:b w:val="false"/>
          <w:i w:val="false"/>
          <w:color w:val="000000"/>
          <w:sz w:val="21"/>
        </w:rPr>
        <w:t>, IAB 1/8/14, effective 2/12/14]</w:t>
      </w:r>
    </w:p>
    <w:p>
      <w:pPr>
        <w:spacing w:before="0" w:after="0"/>
        <w:ind w:left="120"/>
        <w:jc w:val="center"/>
      </w:pPr>
      <w:r>
        <w:rPr>
          <w:rFonts w:ascii="Times New Roman" w:hAnsi="Times New Roman"/>
          <w:b w:val="false"/>
          <w:i w:val="false"/>
          <w:color w:val="000000"/>
          <w:sz w:val="21"/>
        </w:rPr>
        <w:t>[Filed ARC 5514C</w:t>
      </w:r>
      <w:r>
        <w:rPr>
          <w:rFonts w:ascii="Times New Roman" w:hAnsi="Times New Roman"/>
          <w:b w:val="false"/>
          <w:i w:val="false"/>
          <w:color w:val="000000"/>
          <w:sz w:val="21"/>
        </w:rPr>
        <w:t xml:space="preserve"> (Notice ARC 5388C, IAB 1/13/21)</w:t>
      </w:r>
      <w:r>
        <w:rPr>
          <w:rFonts w:ascii="Times New Roman" w:hAnsi="Times New Roman"/>
          <w:b w:val="false"/>
          <w:i w:val="false"/>
          <w:color w:val="000000"/>
          <w:sz w:val="21"/>
        </w:rPr>
        <w:t>, IAB 3/10/21, effective 4/14/21]</w:t>
      </w:r>
      <w:r>
        <w:br/>
      </w:r>
      <w:r>
        <w:rPr>
          <w:rFonts w:ascii="Times New Roman" w:hAnsi="Times New Roman"/>
          <w:b w:val="false"/>
          <w:i w:val="false"/>
          <w:color w:val="000000"/>
          <w:sz w:val="21"/>
        </w:rPr>
        <w:t>[Filed ARC 5515C</w:t>
      </w:r>
      <w:r>
        <w:rPr>
          <w:rFonts w:ascii="Times New Roman" w:hAnsi="Times New Roman"/>
          <w:b w:val="false"/>
          <w:i w:val="false"/>
          <w:color w:val="000000"/>
          <w:sz w:val="21"/>
        </w:rPr>
        <w:t xml:space="preserve"> (Notice ARC 5389C, IAB 1/13/21)</w:t>
      </w:r>
      <w:r>
        <w:rPr>
          <w:rFonts w:ascii="Times New Roman" w:hAnsi="Times New Roman"/>
          <w:b w:val="false"/>
          <w:i w:val="false"/>
          <w:color w:val="000000"/>
          <w:sz w:val="21"/>
        </w:rPr>
        <w:t>, IAB 3/10/21, effective 4/14/21]</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1.1.1.pdf" Type="http://schemas.openxmlformats.org/officeDocument/2006/relationships/hyperlink" Id="rId5"/>
    <Relationship TargetMode="External" Target="https://www.legis.iowa.gov/docs/ico/chapter/505.pdf" Type="http://schemas.openxmlformats.org/officeDocument/2006/relationships/hyperlink" Id="rId6"/>
    <Relationship TargetMode="External" Target="https://www.legis.iowa.gov/docs/ico/chapter/507.pdf" Type="http://schemas.openxmlformats.org/officeDocument/2006/relationships/hyperlink" Id="rId7"/>
    <Relationship TargetMode="External" Target="https://www.legis.iowa.gov/docs/ico/chapter/508.pdf" Type="http://schemas.openxmlformats.org/officeDocument/2006/relationships/hyperlink" Id="rId8"/>
    <Relationship TargetMode="External" Target="https://www.legis.iowa.gov/docs/ico/chapter/515.pdf" Type="http://schemas.openxmlformats.org/officeDocument/2006/relationships/hyperlink" Id="rId9"/>
    <Relationship TargetMode="External" Target="https://www.legis.iowa.gov/docs/ico/chapter/507.2.pdf" Type="http://schemas.openxmlformats.org/officeDocument/2006/relationships/hyperlink" Id="rId10"/>
    <Relationship TargetMode="External" Target="https://www.legis.iowa.gov/docs/ico/chapter/507.2.pdf" Type="http://schemas.openxmlformats.org/officeDocument/2006/relationships/hyperlink" Id="rId11"/>
    <Relationship TargetMode="External" Target="https://www.legis.iowa.gov/docs/ico/chapter/508.pdf" Type="http://schemas.openxmlformats.org/officeDocument/2006/relationships/hyperlink" Id="rId12"/>
    <Relationship TargetMode="External" Target="https://www.legis.iowa.gov/docs/ico/chapter/515.pdf" Type="http://schemas.openxmlformats.org/officeDocument/2006/relationships/hyperlink" Id="rId13"/>
    <Relationship TargetMode="External" Target="https://www.legis.iowa.gov/docs/ico/chapter/505.8.pdf" Type="http://schemas.openxmlformats.org/officeDocument/2006/relationships/hyperlink" Id="rId14"/>
    <Relationship TargetMode="External" Target="https://www.legis.iowa.gov/docs/ico/chapter/515.20.pdf" Type="http://schemas.openxmlformats.org/officeDocument/2006/relationships/hyperlink" Id="rId15"/>
    <Relationship TargetMode="External" Target="https://www.legis.iowa.gov/docs/ico/chapter/515.49.pdf" Type="http://schemas.openxmlformats.org/officeDocument/2006/relationships/hyperlink" Id="rId16"/>
    <Relationship TargetMode="External" Target="https://www.legis.iowa.gov/docs/ico/chapter/515.63.pdf" Type="http://schemas.openxmlformats.org/officeDocument/2006/relationships/hyperlink" Id="rId17"/>
    <Relationship TargetMode="External" Target="https://www.legis.iowa.gov/docs/ico/chapter/520.21.pdf" Type="http://schemas.openxmlformats.org/officeDocument/2006/relationships/hyperlink" Id="rId18"/>
    <Relationship TargetMode="External" Target="https://www.legis.iowa.gov/docs/iac/chapter/191.20.pdf" Type="http://schemas.openxmlformats.org/officeDocument/2006/relationships/hyperlink" Id="rId19"/>
    <Relationship TargetMode="External" Target="https://www.legis.iowa.gov/docs/iac/chapter/191.30.pdf" Type="http://schemas.openxmlformats.org/officeDocument/2006/relationships/hyperlink" Id="rId20"/>
    <Relationship TargetMode="External" Target="https://www.legis.iowa.gov/docs/iac/chapter/191.31.pdf" Type="http://schemas.openxmlformats.org/officeDocument/2006/relationships/hyperlink" Id="rId21"/>
    <Relationship TargetMode="External" Target="https://www.legis.iowa.gov/docs/iac/chapter/191.34.pdf" Type="http://schemas.openxmlformats.org/officeDocument/2006/relationships/hyperlink" Id="rId22"/>
    <Relationship TargetMode="External" Target="https://www.legis.iowa.gov/docs/iac/chapter/191.35.pdf" Type="http://schemas.openxmlformats.org/officeDocument/2006/relationships/hyperlink" Id="rId23"/>
    <Relationship TargetMode="External" Target="https://www.legis.iowa.gov/docs/iac/chapter/191.36.pdf" Type="http://schemas.openxmlformats.org/officeDocument/2006/relationships/hyperlink" Id="rId24"/>
    <Relationship TargetMode="External" Target="https://www.legis.iowa.gov/docs/iac/chapter/191.37.pdf" Type="http://schemas.openxmlformats.org/officeDocument/2006/relationships/hyperlink" Id="rId25"/>
    <Relationship TargetMode="External" Target="https://www.legis.iowa.gov/docs/iac/chapter/191.39.pdf" Type="http://schemas.openxmlformats.org/officeDocument/2006/relationships/hyperlink" Id="rId26"/>
    <Relationship TargetMode="External" Target="https://www.legis.iowa.gov/docs/ico/chapter/511.8.pdf" Type="http://schemas.openxmlformats.org/officeDocument/2006/relationships/hyperlink" Id="rId27"/>
    <Relationship TargetMode="External" Target="https://www.legis.iowa.gov/docs/ico/chapter/511.8.pdf" Type="http://schemas.openxmlformats.org/officeDocument/2006/relationships/hyperlink" Id="rId28"/>
    <Relationship TargetMode="External" Target="https://www.legis.iowa.gov/docs/iac/rule/191.22.1.pdf" Type="http://schemas.openxmlformats.org/officeDocument/2006/relationships/hyperlink" Id="rId29"/>
    <Relationship TargetMode="External" Target="https://www.legis.iowa.gov/docs/ico/chapter/511.8.pdf" Type="http://schemas.openxmlformats.org/officeDocument/2006/relationships/hyperlink" Id="rId30"/>
    <Relationship TargetMode="External" Target="https://www.legis.iowa.gov/docs/ico/chapter/511.8.pdf" Type="http://schemas.openxmlformats.org/officeDocument/2006/relationships/hyperlink" Id="rId31"/>
    <Relationship TargetMode="External" Target="https://www.legis.iowa.gov/docs/ico/chapter/511.8.pdf" Type="http://schemas.openxmlformats.org/officeDocument/2006/relationships/hyperlink" Id="rId32"/>
    <Relationship TargetMode="External" Target="https://www.legis.iowa.gov/docs/ico/chapter/515.35.pdf" Type="http://schemas.openxmlformats.org/officeDocument/2006/relationships/hyperlink" Id="rId33"/>
    <Relationship TargetMode="External" Target="https://www.legis.iowa.gov/docs/ico/chapter/508.8.pdf" Type="http://schemas.openxmlformats.org/officeDocument/2006/relationships/hyperlink" Id="rId34"/>
    <Relationship TargetMode="External" Target="https://www.legis.iowa.gov/docs/ico/chapter/511.12.pdf" Type="http://schemas.openxmlformats.org/officeDocument/2006/relationships/hyperlink" Id="rId35"/>
    <Relationship TargetMode="External" Target="https://www.legis.iowa.gov/docs/ico/chapter/508.11.pdf" Type="http://schemas.openxmlformats.org/officeDocument/2006/relationships/hyperlink" Id="rId36"/>
    <Relationship TargetMode="External" Target="https://www.legis.iowa.gov/docs/ico/chapter/512B.24.pdf" Type="http://schemas.openxmlformats.org/officeDocument/2006/relationships/hyperlink" Id="rId37"/>
    <Relationship TargetMode="External" Target="https://www.legis.iowa.gov/docs/ico/chapter/514.9.pdf" Type="http://schemas.openxmlformats.org/officeDocument/2006/relationships/hyperlink" Id="rId38"/>
    <Relationship TargetMode="External" Target="https://www.legis.iowa.gov/docs/ico/chapter/514B.12.pdf" Type="http://schemas.openxmlformats.org/officeDocument/2006/relationships/hyperlink" Id="rId39"/>
    <Relationship TargetMode="External" Target="https://www.legis.iowa.gov/docs/ico/chapter/515.63.pdf" Type="http://schemas.openxmlformats.org/officeDocument/2006/relationships/hyperlink" Id="rId40"/>
    <Relationship TargetMode="External" Target="https://www.legis.iowa.gov/docs/ico/chapter/520.10.pdf" Type="http://schemas.openxmlformats.org/officeDocument/2006/relationships/hyperlink" Id="rId41"/>
    <Relationship TargetMode="External" Target="https://www.legis.iowa.gov/docs/iac/rule/191.5.21.pdf" Type="http://schemas.openxmlformats.org/officeDocument/2006/relationships/hyperlink" Id="rId42"/>
    <Relationship TargetMode="External" Target="https://www.legis.iowa.gov/docs/ico/chapter/515C.4.pdf" Type="http://schemas.openxmlformats.org/officeDocument/2006/relationships/hyperlink" Id="rId43"/>
    <Relationship TargetMode="External" Target="https://www.legis.iowa.gov/docs/ico/chapter/515C.3.pdf" Type="http://schemas.openxmlformats.org/officeDocument/2006/relationships/hyperlink" Id="rId44"/>
    <Relationship TargetMode="External" Target="https://www.legis.iowa.gov/docs/ico/chapter/515C.4.pdf" Type="http://schemas.openxmlformats.org/officeDocument/2006/relationships/hyperlink" Id="rId45"/>
    <Relationship TargetMode="External" Target="https://www.legis.iowa.gov/docs/ico/chapter/512A.pdf" Type="http://schemas.openxmlformats.org/officeDocument/2006/relationships/hyperlink" Id="rId46"/>
    <Relationship TargetMode="External" Target="https://www.legis.iowa.gov/docs/ico/chapter/512B.pdf" Type="http://schemas.openxmlformats.org/officeDocument/2006/relationships/hyperlink" Id="rId47"/>
    <Relationship TargetMode="External" Target="https://www.legis.iowa.gov/docs/ico/chapter/514.pdf" Type="http://schemas.openxmlformats.org/officeDocument/2006/relationships/hyperlink" Id="rId48"/>
    <Relationship TargetMode="External" Target="https://www.legis.iowa.gov/docs/ico/chapter/514B.pdf" Type="http://schemas.openxmlformats.org/officeDocument/2006/relationships/hyperlink" Id="rId49"/>
    <Relationship TargetMode="External" Target="https://www.legis.iowa.gov/docs/ico/chapter/518.pdf" Type="http://schemas.openxmlformats.org/officeDocument/2006/relationships/hyperlink" Id="rId50"/>
    <Relationship TargetMode="External" Target="https://www.legis.iowa.gov/docs/ico/chapter/518A.pdf" Type="http://schemas.openxmlformats.org/officeDocument/2006/relationships/hyperlink" Id="rId51"/>
    <Relationship TargetMode="External" Target="https://www.legis.iowa.gov/docs/iac/rule/191.1.3.pdf" Type="http://schemas.openxmlformats.org/officeDocument/2006/relationships/hyperlink" Id="rId52"/>
    <Relationship TargetMode="External" Target="https://www.legis.iowa.gov/docs/ico/chapter/508.11.pdf" Type="http://schemas.openxmlformats.org/officeDocument/2006/relationships/hyperlink" Id="rId53"/>
    <Relationship TargetMode="External" Target="https://www.legis.iowa.gov/docs/ico/chapter/515.63.pdf" Type="http://schemas.openxmlformats.org/officeDocument/2006/relationships/hyperlink" Id="rId54"/>
    <Relationship TargetMode="External" Target="https://www.legis.iowa.gov/docs/iac/rule/191.5.3.pdf" Type="http://schemas.openxmlformats.org/officeDocument/2006/relationships/hyperlink" Id="rId55"/>
    <Relationship TargetMode="External" Target="https://www.legis.iowa.gov/docs/ico/chapter/512A.pdf" Type="http://schemas.openxmlformats.org/officeDocument/2006/relationships/hyperlink" Id="rId56"/>
    <Relationship TargetMode="External" Target="https://www.legis.iowa.gov/docs/ico/chapter/512B.pdf" Type="http://schemas.openxmlformats.org/officeDocument/2006/relationships/hyperlink" Id="rId57"/>
    <Relationship TargetMode="External" Target="https://www.legis.iowa.gov/docs/ico/chapter/514.pdf" Type="http://schemas.openxmlformats.org/officeDocument/2006/relationships/hyperlink" Id="rId58"/>
    <Relationship TargetMode="External" Target="https://www.legis.iowa.gov/docs/ico/chapter/514B.pdf" Type="http://schemas.openxmlformats.org/officeDocument/2006/relationships/hyperlink" Id="rId59"/>
    <Relationship TargetMode="External" Target="https://www.legis.iowa.gov/docs/ico/chapter/518.pdf" Type="http://schemas.openxmlformats.org/officeDocument/2006/relationships/hyperlink" Id="rId60"/>
    <Relationship TargetMode="External" Target="https://www.legis.iowa.gov/docs/ico/chapter/518A.pdf" Type="http://schemas.openxmlformats.org/officeDocument/2006/relationships/hyperlink" Id="rId61"/>
    <Relationship TargetMode="External" Target="https://www.legis.iowa.gov/docs/ico/chapter/508.11.pdf" Type="http://schemas.openxmlformats.org/officeDocument/2006/relationships/hyperlink" Id="rId62"/>
    <Relationship TargetMode="External" Target="https://www.legis.iowa.gov/docs/ico/chapter/515.63.pdf" Type="http://schemas.openxmlformats.org/officeDocument/2006/relationships/hyperlink" Id="rId63"/>
    <Relationship TargetMode="External" Target="https://www.legis.iowa.gov/docs/iac/rule/191.5.27.pdf" Type="http://schemas.openxmlformats.org/officeDocument/2006/relationships/hyperlink" Id="rId64"/>
    <Relationship TargetMode="External" Target="https://www.legis.iowa.gov/docs/ico/chapter/521A.2.pdf" Type="http://schemas.openxmlformats.org/officeDocument/2006/relationships/hyperlink" Id="rId65"/>
    <Relationship TargetMode="External" Target="https://www.legis.iowa.gov/docs/ico/chapter/508.pdf" Type="http://schemas.openxmlformats.org/officeDocument/2006/relationships/hyperlink" Id="rId66"/>
    <Relationship TargetMode="External" Target="https://www.legis.iowa.gov/docs/ico/chapter/515.pdf" Type="http://schemas.openxmlformats.org/officeDocument/2006/relationships/hyperlink" Id="rId67"/>
    <Relationship TargetMode="External" Target="https://www.legis.iowa.gov/docs/ico/chapter/518.pdf" Type="http://schemas.openxmlformats.org/officeDocument/2006/relationships/hyperlink" Id="rId68"/>
    <Relationship TargetMode="External" Target="https://www.legis.iowa.gov/docs/ico/chapter/518A.pdf" Type="http://schemas.openxmlformats.org/officeDocument/2006/relationships/hyperlink" Id="rId69"/>
    <Relationship TargetMode="External" Target="https://www.legis.iowa.gov/docs/ico/chapter/520.pdf" Type="http://schemas.openxmlformats.org/officeDocument/2006/relationships/hyperlink" Id="rId70"/>
    <Relationship TargetMode="External" Target="https://www.legis.iowa.gov/docs/ico/chapter/508.5.pdf" Type="http://schemas.openxmlformats.org/officeDocument/2006/relationships/hyperlink" Id="rId71"/>
    <Relationship TargetMode="External" Target="https://www.legis.iowa.gov/docs/ico/chapter/508.9.pdf" Type="http://schemas.openxmlformats.org/officeDocument/2006/relationships/hyperlink" Id="rId72"/>
    <Relationship TargetMode="External" Target="https://www.legis.iowa.gov/docs/ico/chapter/508.10.pdf" Type="http://schemas.openxmlformats.org/officeDocument/2006/relationships/hyperlink" Id="rId73"/>
    <Relationship TargetMode="External" Target="https://www.legis.iowa.gov/docs/ico/chapter/508.11.pdf" Type="http://schemas.openxmlformats.org/officeDocument/2006/relationships/hyperlink" Id="rId74"/>
    <Relationship TargetMode="External" Target="https://www.legis.iowa.gov/docs/ico/chapter/515.8.pdf" Type="http://schemas.openxmlformats.org/officeDocument/2006/relationships/hyperlink" Id="rId75"/>
    <Relationship TargetMode="External" Target="https://www.legis.iowa.gov/docs/ico/chapter/515.10.pdf" Type="http://schemas.openxmlformats.org/officeDocument/2006/relationships/hyperlink" Id="rId76"/>
    <Relationship TargetMode="External" Target="https://www.legis.iowa.gov/docs/ico/chapter/515.12.pdf" Type="http://schemas.openxmlformats.org/officeDocument/2006/relationships/hyperlink" Id="rId77"/>
    <Relationship TargetMode="External" Target="https://www.legis.iowa.gov/docs/ico/chapter/515.63.pdf" Type="http://schemas.openxmlformats.org/officeDocument/2006/relationships/hyperlink" Id="rId78"/>
    <Relationship TargetMode="External" Target="https://www.legis.iowa.gov/docs/ico/chapter/515.49.pdf" Type="http://schemas.openxmlformats.org/officeDocument/2006/relationships/hyperlink" Id="rId79"/>
    <Relationship TargetMode="External" Target="https://www.legis.iowa.gov/docs/iac/rule/191.5.10.pdf" Type="http://schemas.openxmlformats.org/officeDocument/2006/relationships/hyperlink" Id="rId80"/>
    <Relationship TargetMode="External" Target="https://www.legis.iowa.gov/docs/ico/chapter/515.35.pdf" Type="http://schemas.openxmlformats.org/officeDocument/2006/relationships/hyperlink" Id="rId81"/>
    <Relationship TargetMode="External" Target="https://www.legis.iowa.gov/docs/iac/rule/191.5.6.pdf" Type="http://schemas.openxmlformats.org/officeDocument/2006/relationships/hyperlink" Id="rId82"/>
    <Relationship TargetMode="External" Target="https://www.legis.iowa.gov/docs/ico/chapter/511.8.pdf" Type="http://schemas.openxmlformats.org/officeDocument/2006/relationships/hyperlink" Id="rId83"/>
    <Relationship TargetMode="External" Target="https://www.legis.iowa.gov/docs/ico/chapter/515.35.pdf" Type="http://schemas.openxmlformats.org/officeDocument/2006/relationships/hyperlink" Id="rId84"/>
    <Relationship TargetMode="External" Target="https://www.legis.iowa.gov/docs/ico/chapter/521B.1-5.pdf" Type="http://schemas.openxmlformats.org/officeDocument/2006/relationships/hyperlink" Id="rId85"/>
    <Relationship TargetMode="External" Target="https://www.legis.iowa.gov/docs/iac/rule/191.5.33.pdf" Type="http://schemas.openxmlformats.org/officeDocument/2006/relationships/hyperlink" Id="rId86"/>
    <Relationship TargetMode="External" Target="https://www.legis.iowa.gov/docs/iac/rule/191.5.33.pdf" Type="http://schemas.openxmlformats.org/officeDocument/2006/relationships/hyperlink" Id="rId87"/>
    <Relationship TargetMode="External" Target="https://www.legis.iowa.gov/docs/iac/rule/191.5.33.pdf" Type="http://schemas.openxmlformats.org/officeDocument/2006/relationships/hyperlink" Id="rId88"/>
    <Relationship TargetMode="External" Target="https://www.legis.iowa.gov/docs/iac/rule/191.5.33.pdf" Type="http://schemas.openxmlformats.org/officeDocument/2006/relationships/hyperlink" Id="rId89"/>
    <Relationship TargetMode="External" Target="https://www.legis.iowa.gov/docs/ico/chapter/521B.102.pdf" Type="http://schemas.openxmlformats.org/officeDocument/2006/relationships/hyperlink" Id="rId90"/>
    <Relationship TargetMode="External" Target="https://www.legis.iowa.gov/docs/ico/chapter/521B.103.pdf" Type="http://schemas.openxmlformats.org/officeDocument/2006/relationships/hyperlink" Id="rId91"/>
    <Relationship TargetMode="External" Target="https://www.legis.iowa.gov/docs/iac/rule/191.5.33.pdf" Type="http://schemas.openxmlformats.org/officeDocument/2006/relationships/hyperlink" Id="rId92"/>
    <Relationship TargetMode="External" Target="https://www.legis.iowa.gov/docs/iac/rule/191.5.33.pdf" Type="http://schemas.openxmlformats.org/officeDocument/2006/relationships/hyperlink" Id="rId93"/>
    <Relationship TargetMode="External" Target="https://www.legis.iowa.gov/docs/iac/rule/191.5.33.pdf" Type="http://schemas.openxmlformats.org/officeDocument/2006/relationships/hyperlink" Id="rId94"/>
    <Relationship TargetMode="External" Target="https://www.legis.iowa.gov/docs/iac/rule/191.5.33.pdf" Type="http://schemas.openxmlformats.org/officeDocument/2006/relationships/hyperlink" Id="rId95"/>
    <Relationship TargetMode="External" Target="https://www.legis.iowa.gov/docs/iac/rule/191.5.33.pdf" Type="http://schemas.openxmlformats.org/officeDocument/2006/relationships/hyperlink" Id="rId96"/>
    <Relationship TargetMode="External" Target="https://www.legis.iowa.gov/docs/iac/rule/191.5.33.pdf" Type="http://schemas.openxmlformats.org/officeDocument/2006/relationships/hyperlink" Id="rId97"/>
    <Relationship TargetMode="External" Target="https://www.legis.iowa.gov/docs/ico/chapter/22.pdf" Type="http://schemas.openxmlformats.org/officeDocument/2006/relationships/hyperlink" Id="rId98"/>
    <Relationship TargetMode="External" Target="https://www.legis.iowa.gov/docs/iac/rule/191.5.33.pdf" Type="http://schemas.openxmlformats.org/officeDocument/2006/relationships/hyperlink" Id="rId99"/>
    <Relationship TargetMode="External" Target="https://www.legis.iowa.gov/docs/iac/rule/191.5.33.pdf" Type="http://schemas.openxmlformats.org/officeDocument/2006/relationships/hyperlink" Id="rId100"/>
    <Relationship TargetMode="External" Target="https://www.legis.iowa.gov/docs/iac/rule/191.5.33.pdf" Type="http://schemas.openxmlformats.org/officeDocument/2006/relationships/hyperlink" Id="rId101"/>
    <Relationship TargetMode="External" Target="https://www.legis.iowa.gov/docs/iac/rule/191.5.33.pdf" Type="http://schemas.openxmlformats.org/officeDocument/2006/relationships/hyperlink" Id="rId102"/>
    <Relationship TargetMode="External" Target="https://www.legis.iowa.gov/docs/iac/rule/191.5.33.pdf" Type="http://schemas.openxmlformats.org/officeDocument/2006/relationships/hyperlink" Id="rId103"/>
    <Relationship TargetMode="External" Target="https://www.legis.iowa.gov/docs/iac/rule/191.5.33.pdf" Type="http://schemas.openxmlformats.org/officeDocument/2006/relationships/hyperlink" Id="rId104"/>
    <Relationship TargetMode="External" Target="https://www.legis.iowa.gov/docs/iac/rule/191.5.33.pdf" Type="http://schemas.openxmlformats.org/officeDocument/2006/relationships/hyperlink" Id="rId105"/>
    <Relationship TargetMode="External" Target="https://www.legis.iowa.gov/docs/iac/rule/191.5.33.pdf" Type="http://schemas.openxmlformats.org/officeDocument/2006/relationships/hyperlink" Id="rId106"/>
    <Relationship TargetMode="External" Target="https://www.legis.iowa.gov/docs/ico/chapter/521B.102.pdf" Type="http://schemas.openxmlformats.org/officeDocument/2006/relationships/hyperlink" Id="rId107"/>
    <Relationship TargetMode="External" Target="https://www.legis.iowa.gov/docs/iac/rule/191.5.33.pdf" Type="http://schemas.openxmlformats.org/officeDocument/2006/relationships/hyperlink" Id="rId108"/>
    <Relationship TargetMode="External" Target="https://www.legis.iowa.gov/docs/ico/chapter/521B.102.pdf" Type="http://schemas.openxmlformats.org/officeDocument/2006/relationships/hyperlink" Id="rId109"/>
    <Relationship TargetMode="External" Target="https://www.legis.iowa.gov/docs/iac/rule/191.5.33.pdf" Type="http://schemas.openxmlformats.org/officeDocument/2006/relationships/hyperlink" Id="rId110"/>
    <Relationship TargetMode="External" Target="https://www.legis.iowa.gov/docs/iac/rule/191.5.33.pdf" Type="http://schemas.openxmlformats.org/officeDocument/2006/relationships/hyperlink" Id="rId111"/>
    <Relationship TargetMode="External" Target="https://www.legis.iowa.gov/docs/iac/rule/191.5.33.pdf" Type="http://schemas.openxmlformats.org/officeDocument/2006/relationships/hyperlink" Id="rId112"/>
    <Relationship TargetMode="External" Target="https://www.legis.iowa.gov/docs/iac/rule/191.5.33.pdf" Type="http://schemas.openxmlformats.org/officeDocument/2006/relationships/hyperlink" Id="rId113"/>
    <Relationship TargetMode="External" Target="https://www.legis.iowa.gov/docs/iac/rule/191.5.33.pdf" Type="http://schemas.openxmlformats.org/officeDocument/2006/relationships/hyperlink" Id="rId114"/>
    <Relationship TargetMode="External" Target="https://www.legis.iowa.gov/docs/iac/rule/191.5.33.pdf" Type="http://schemas.openxmlformats.org/officeDocument/2006/relationships/hyperlink" Id="rId115"/>
    <Relationship TargetMode="External" Target="https://www.legis.iowa.gov/docs/iac/rule/191.5.33.pdf" Type="http://schemas.openxmlformats.org/officeDocument/2006/relationships/hyperlink" Id="rId116"/>
    <Relationship TargetMode="External" Target="https://www.legis.iowa.gov/docs/ico/chapter/521B.103.pdf" Type="http://schemas.openxmlformats.org/officeDocument/2006/relationships/hyperlink" Id="rId117"/>
    <Relationship TargetMode="External" Target="https://www.legis.iowa.gov/docs/iac/rule/191.5.33.pdf" Type="http://schemas.openxmlformats.org/officeDocument/2006/relationships/hyperlink" Id="rId118"/>
    <Relationship TargetMode="External" Target="https://www.legis.iowa.gov/docs/iac/rule/191.5.33.pdf" Type="http://schemas.openxmlformats.org/officeDocument/2006/relationships/hyperlink" Id="rId119"/>
    <Relationship TargetMode="External" Target="https://www.legis.iowa.gov/docs/iac/rule/191.5.33.pdf" Type="http://schemas.openxmlformats.org/officeDocument/2006/relationships/hyperlink" Id="rId120"/>
    <Relationship TargetMode="External" Target="https://www.legis.iowa.gov/docs/iac/rule/191.5.33.pdf" Type="http://schemas.openxmlformats.org/officeDocument/2006/relationships/hyperlink" Id="rId121"/>
    <Relationship TargetMode="External" Target="https://www.legis.iowa.gov/docs/iac/rule/191.5.33.pdf" Type="http://schemas.openxmlformats.org/officeDocument/2006/relationships/hyperlink" Id="rId122"/>
    <Relationship TargetMode="External" Target="https://www.legis.iowa.gov/docs/iac/rule/191.5.33.pdf" Type="http://schemas.openxmlformats.org/officeDocument/2006/relationships/hyperlink" Id="rId123"/>
    <Relationship TargetMode="External" Target="https://www.legis.iowa.gov/docs/iac/rule/191.5.33.pdf" Type="http://schemas.openxmlformats.org/officeDocument/2006/relationships/hyperlink" Id="rId124"/>
    <Relationship TargetMode="External" Target="https://www.legis.iowa.gov/docs/iac/rule/191.5.33.pdf" Type="http://schemas.openxmlformats.org/officeDocument/2006/relationships/hyperlink" Id="rId125"/>
    <Relationship TargetMode="External" Target="https://www.legis.iowa.gov/docs/ico/chapter/521B.pdf" Type="http://schemas.openxmlformats.org/officeDocument/2006/relationships/hyperlink" Id="rId126"/>
    <Relationship TargetMode="External" Target="https://www.legis.iowa.gov/docs/iac/rule/191.5.33.pdf" Type="http://schemas.openxmlformats.org/officeDocument/2006/relationships/hyperlink" Id="rId127"/>
    <Relationship TargetMode="External" Target="https://www.legis.iowa.gov/docs/iac/rule/191.5.33.pdf" Type="http://schemas.openxmlformats.org/officeDocument/2006/relationships/hyperlink" Id="rId128"/>
    <Relationship TargetMode="External" Target="https://www.legis.iowa.gov/docs/iac/rule/191.5.33.pdf" Type="http://schemas.openxmlformats.org/officeDocument/2006/relationships/hyperlink" Id="rId129"/>
    <Relationship TargetMode="External" Target="https://www.legis.iowa.gov/docs/iac/rule/191.5.33.pdf" Type="http://schemas.openxmlformats.org/officeDocument/2006/relationships/hyperlink" Id="rId130"/>
    <Relationship TargetMode="External" Target="https://www.legis.iowa.gov/docs/iac/rule/191.5.33.pdf" Type="http://schemas.openxmlformats.org/officeDocument/2006/relationships/hyperlink" Id="rId131"/>
    <Relationship TargetMode="External" Target="https://www.legis.iowa.gov/docs/iac/rule/191.5.33.pdf" Type="http://schemas.openxmlformats.org/officeDocument/2006/relationships/hyperlink" Id="rId132"/>
    <Relationship TargetMode="External" Target="https://www.legis.iowa.gov/docs/iac/rule/191.5.33.pdf" Type="http://schemas.openxmlformats.org/officeDocument/2006/relationships/hyperlink" Id="rId133"/>
    <Relationship TargetMode="External" Target="https://www.legis.iowa.gov/docs/iac/rule/191.5.33.pdf" Type="http://schemas.openxmlformats.org/officeDocument/2006/relationships/hyperlink" Id="rId134"/>
    <Relationship TargetMode="External" Target="https://www.legis.iowa.gov/docs/iac/rule/191.32.4.pdf" Type="http://schemas.openxmlformats.org/officeDocument/2006/relationships/hyperlink" Id="rId135"/>
    <Relationship TargetMode="External" Target="https://www.legis.iowa.gov/docs/iac/rule/191.5.33.pdf" Type="http://schemas.openxmlformats.org/officeDocument/2006/relationships/hyperlink" Id="rId136"/>
    <Relationship TargetMode="External" Target="https://www.legis.iowa.gov/docs/iac/rule/191.5.33.pdf" Type="http://schemas.openxmlformats.org/officeDocument/2006/relationships/hyperlink" Id="rId137"/>
    <Relationship TargetMode="External" Target="https://www.legis.iowa.gov/docs/iac/rule/191.5.33.pdf" Type="http://schemas.openxmlformats.org/officeDocument/2006/relationships/hyperlink" Id="rId138"/>
    <Relationship TargetMode="External" Target="https://www.legis.iowa.gov/docs/iac/rule/191.5.33.pdf" Type="http://schemas.openxmlformats.org/officeDocument/2006/relationships/hyperlink" Id="rId139"/>
    <Relationship TargetMode="External" Target="https://www.legis.iowa.gov/docs/iac/rule/191.5.33.pdf" Type="http://schemas.openxmlformats.org/officeDocument/2006/relationships/hyperlink" Id="rId140"/>
    <Relationship TargetMode="External" Target="https://www.legis.iowa.gov/docs/iac/rule/191.5.33.pdf" Type="http://schemas.openxmlformats.org/officeDocument/2006/relationships/hyperlink" Id="rId141"/>
    <Relationship TargetMode="External" Target="https://www.legis.iowa.gov/docs/iac/rule/191.5.33.pdf" Type="http://schemas.openxmlformats.org/officeDocument/2006/relationships/hyperlink" Id="rId142"/>
    <Relationship TargetMode="External" Target="https://www.legis.iowa.gov/docs/iac/rule/191.5.33.pdf" Type="http://schemas.openxmlformats.org/officeDocument/2006/relationships/hyperlink" Id="rId143"/>
    <Relationship TargetMode="External" Target="https://www.legis.iowa.gov/docs/iac/rule/191.5.33.pdf" Type="http://schemas.openxmlformats.org/officeDocument/2006/relationships/hyperlink" Id="rId144"/>
    <Relationship TargetMode="External" Target="https://www.legis.iowa.gov/docs/iac/rule/191.5.33.pdf" Type="http://schemas.openxmlformats.org/officeDocument/2006/relationships/hyperlink" Id="rId145"/>
    <Relationship TargetMode="External" Target="https://www.legis.iowa.gov/docs/iac/rule/191.5.33.pdf" Type="http://schemas.openxmlformats.org/officeDocument/2006/relationships/hyperlink" Id="rId146"/>
    <Relationship TargetMode="External" Target="https://www.legis.iowa.gov/docs/iac/rule/191.5.33.pdf" Type="http://schemas.openxmlformats.org/officeDocument/2006/relationships/hyperlink" Id="rId147"/>
    <Relationship TargetMode="External" Target="https://www.legis.iowa.gov/docs/iac/rule/191.5.33.pdf" Type="http://schemas.openxmlformats.org/officeDocument/2006/relationships/hyperlink" Id="rId148"/>
    <Relationship TargetMode="External" Target="https://www.legis.iowa.gov/docs/iac/rule/191.5.33.pdf" Type="http://schemas.openxmlformats.org/officeDocument/2006/relationships/hyperlink" Id="rId149"/>
    <Relationship TargetMode="External" Target="https://www.legis.iowa.gov/docs/iac/rule/191.5.33.pdf" Type="http://schemas.openxmlformats.org/officeDocument/2006/relationships/hyperlink" Id="rId150"/>
    <Relationship TargetMode="External" Target="https://www.legis.iowa.gov/docs/iac/rule/191.5.33.pdf" Type="http://schemas.openxmlformats.org/officeDocument/2006/relationships/hyperlink" Id="rId151"/>
    <Relationship TargetMode="External" Target="https://www.legis.iowa.gov/docs/iac/rule/191.5.33.pdf" Type="http://schemas.openxmlformats.org/officeDocument/2006/relationships/hyperlink" Id="rId152"/>
    <Relationship TargetMode="External" Target="https://www.legis.iowa.gov/docs/iac/rule/191.5.33.pdf" Type="http://schemas.openxmlformats.org/officeDocument/2006/relationships/hyperlink" Id="rId153"/>
    <Relationship TargetMode="External" Target="https://www.legis.iowa.gov/docs/iac/rule/191.5.33.pdf" Type="http://schemas.openxmlformats.org/officeDocument/2006/relationships/hyperlink" Id="rId154"/>
    <Relationship TargetMode="External" Target="https://www.legis.iowa.gov/docs/iac/rule/191.5.33.pdf" Type="http://schemas.openxmlformats.org/officeDocument/2006/relationships/hyperlink" Id="rId155"/>
    <Relationship TargetMode="External" Target="https://www.legis.iowa.gov/docs/iac/rule/191.5.33.pdf" Type="http://schemas.openxmlformats.org/officeDocument/2006/relationships/hyperlink" Id="rId156"/>
    <Relationship TargetMode="External" Target="https://www.legis.iowa.gov/docs/ico/chapter/507C.32.pdf" Type="http://schemas.openxmlformats.org/officeDocument/2006/relationships/hyperlink" Id="rId157"/>
    <Relationship TargetMode="External" Target="https://www.legis.iowa.gov/docs/ico/chapter/521B.pdf" Type="http://schemas.openxmlformats.org/officeDocument/2006/relationships/hyperlink" Id="rId158"/>
    <Relationship TargetMode="External" Target="https://www.legis.iowa.gov/docs/ico/chapter/508.36.pdf" Type="http://schemas.openxmlformats.org/officeDocument/2006/relationships/hyperlink" Id="rId159"/>
    <Relationship TargetMode="External" Target="https://www.legis.iowa.gov/docs/ico/chapter/508.36.pdf" Type="http://schemas.openxmlformats.org/officeDocument/2006/relationships/hyperlink" Id="rId160"/>
    <Relationship TargetMode="External" Target="https://www.legis.iowa.gov/docs/iac/rule/191.5.34.pdf" Type="http://schemas.openxmlformats.org/officeDocument/2006/relationships/hyperlink" Id="rId161"/>
    <Relationship TargetMode="External" Target="https://www.legis.iowa.gov/docs/iac/rule/191.5.34.pdf" Type="http://schemas.openxmlformats.org/officeDocument/2006/relationships/hyperlink" Id="rId162"/>
    <Relationship TargetMode="External" Target="https://www.legis.iowa.gov/docs/iac/rule/191.5.34.pdf" Type="http://schemas.openxmlformats.org/officeDocument/2006/relationships/hyperlink" Id="rId163"/>
    <Relationship TargetMode="External" Target="https://www.legis.iowa.gov/docs/ico/chapter/508.11.pdf" Type="http://schemas.openxmlformats.org/officeDocument/2006/relationships/hyperlink" Id="rId164"/>
    <Relationship TargetMode="External" Target="https://www.legis.iowa.gov/docs/iac/rule/191.5.34.pdf" Type="http://schemas.openxmlformats.org/officeDocument/2006/relationships/hyperlink" Id="rId165"/>
    <Relationship TargetMode="External" Target="https://www.legis.iowa.gov/docs/ico/chapter/508.36.pdf" Type="http://schemas.openxmlformats.org/officeDocument/2006/relationships/hyperlink" Id="rId166"/>
    <Relationship TargetMode="External" Target="https://www.legis.iowa.gov/docs/iac/rule/191.5.34.pdf" Type="http://schemas.openxmlformats.org/officeDocument/2006/relationships/hyperlink" Id="rId167"/>
    <Relationship TargetMode="External" Target="https://www.legis.iowa.gov/docs/iac/rule/191.5.34.pdf" Type="http://schemas.openxmlformats.org/officeDocument/2006/relationships/hyperlink" Id="rId168"/>
    <Relationship TargetMode="External" Target="https://www.legis.iowa.gov/docs/iac/rule/191.5.34.pdf" Type="http://schemas.openxmlformats.org/officeDocument/2006/relationships/hyperlink" Id="rId169"/>
    <Relationship TargetMode="External" Target="https://www.legis.iowa.gov/docs/iac/rule/191.5.34.pdf" Type="http://schemas.openxmlformats.org/officeDocument/2006/relationships/hyperlink" Id="rId170"/>
    <Relationship TargetMode="External" Target="https://www.legis.iowa.gov/docs/iac/rule/191.5.34.pdf" Type="http://schemas.openxmlformats.org/officeDocument/2006/relationships/hyperlink" Id="rId171"/>
    <Relationship TargetMode="External" Target="https://www.legis.iowa.gov/docs/iac/rule/191.5.34.pdf" Type="http://schemas.openxmlformats.org/officeDocument/2006/relationships/hyperlink" Id="rId172"/>
    <Relationship TargetMode="External" Target="https://www.legis.iowa.gov/docs/iac/rule/191.5.34.pdf" Type="http://schemas.openxmlformats.org/officeDocument/2006/relationships/hyperlink" Id="rId173"/>
    <Relationship TargetMode="External" Target="https://www.legis.iowa.gov/docs/ico/chapter/508.36.pdf" Type="http://schemas.openxmlformats.org/officeDocument/2006/relationships/hyperlink" Id="rId174"/>
    <Relationship TargetMode="External" Target="https://www.legis.iowa.gov/docs/ico/chapter/508.36.pdf" Type="http://schemas.openxmlformats.org/officeDocument/2006/relationships/hyperlink" Id="rId175"/>
    <Relationship TargetMode="External" Target="https://www.legis.iowa.gov/docs/iac/rule/191.5.34.pdf" Type="http://schemas.openxmlformats.org/officeDocument/2006/relationships/hyperlink" Id="rId176"/>
    <Relationship TargetMode="External" Target="https://www.legis.iowa.gov/docs/iac/rule/191.5.34.pdf" Type="http://schemas.openxmlformats.org/officeDocument/2006/relationships/hyperlink" Id="rId177"/>
    <Relationship TargetMode="External" Target="https://www.legis.iowa.gov/docs/iac/rule/191.5.34.pdf" Type="http://schemas.openxmlformats.org/officeDocument/2006/relationships/hyperlink" Id="rId178"/>
    <Relationship TargetMode="External" Target="https://www.legis.iowa.gov/docs/iac/rule/191.5.34.pdf" Type="http://schemas.openxmlformats.org/officeDocument/2006/relationships/hyperlink" Id="rId179"/>
    <Relationship TargetMode="External" Target="https://www.legis.iowa.gov/docs/iac/rule/191.5.34.pdf" Type="http://schemas.openxmlformats.org/officeDocument/2006/relationships/hyperlink" Id="rId180"/>
    <Relationship TargetMode="External" Target="https://www.legis.iowa.gov/docs/iac/rule/191.5.34.pdf" Type="http://schemas.openxmlformats.org/officeDocument/2006/relationships/hyperlink" Id="rId181"/>
    <Relationship TargetMode="External" Target="https://www.legis.iowa.gov/docs/iac/rule/191.5.34.pdf" Type="http://schemas.openxmlformats.org/officeDocument/2006/relationships/hyperlink" Id="rId182"/>
    <Relationship TargetMode="External" Target="https://www.legis.iowa.gov/docs/iac/rule/191.5.34.pdf" Type="http://schemas.openxmlformats.org/officeDocument/2006/relationships/hyperlink" Id="rId183"/>
    <Relationship TargetMode="External" Target="https://www.legis.iowa.gov/docs/iac/rule/191.5.34.pdf" Type="http://schemas.openxmlformats.org/officeDocument/2006/relationships/hyperlink" Id="rId184"/>
    <Relationship TargetMode="External" Target="https://www.legis.iowa.gov/docs/iac/rule/191.5.34.pdf" Type="http://schemas.openxmlformats.org/officeDocument/2006/relationships/hyperlink" Id="rId185"/>
    <Relationship TargetMode="External" Target="https://www.legis.iowa.gov/docs/ico/chapter/508.36.pdf" Type="http://schemas.openxmlformats.org/officeDocument/2006/relationships/hyperlink" Id="rId186"/>
    <Relationship TargetMode="External" Target="https://www.legis.iowa.gov/docs/iac/rule/191.5.34.pdf" Type="http://schemas.openxmlformats.org/officeDocument/2006/relationships/hyperlink" Id="rId187"/>
    <Relationship TargetMode="External" Target="https://www.legis.iowa.gov/docs/iac/rule/191.5.34.pdf" Type="http://schemas.openxmlformats.org/officeDocument/2006/relationships/hyperlink" Id="rId188"/>
    <Relationship TargetMode="External" Target="https://www.legis.iowa.gov/docs/iac/rule/191.5.15.pdf" Type="http://schemas.openxmlformats.org/officeDocument/2006/relationships/hyperlink" Id="rId189"/>
    <Relationship TargetMode="External" Target="https://www.legis.iowa.gov/docs/iac/rule/191.5.34.pdf" Type="http://schemas.openxmlformats.org/officeDocument/2006/relationships/hyperlink" Id="rId190"/>
    <Relationship TargetMode="External" Target="https://www.legis.iowa.gov/docs/ico/chapter/508.36.pdf" Type="http://schemas.openxmlformats.org/officeDocument/2006/relationships/hyperlink" Id="rId191"/>
    <Relationship TargetMode="External" Target="https://www.legis.iowa.gov/docs/iac/rule/191.5.34.pdf" Type="http://schemas.openxmlformats.org/officeDocument/2006/relationships/hyperlink" Id="rId192"/>
    <Relationship TargetMode="External" Target="https://www.legis.iowa.gov/docs/ico/chapter/508.36.pdf" Type="http://schemas.openxmlformats.org/officeDocument/2006/relationships/hyperlink" Id="rId193"/>
    <Relationship TargetMode="External" Target="https://www.legis.iowa.gov/docs/iac/rule/191.5.34.pdf" Type="http://schemas.openxmlformats.org/officeDocument/2006/relationships/hyperlink" Id="rId194"/>
    <Relationship TargetMode="External" Target="https://www.legis.iowa.gov/docs/iac/rule/191.5.34.pdf" Type="http://schemas.openxmlformats.org/officeDocument/2006/relationships/hyperlink" Id="rId195"/>
    <Relationship TargetMode="External" Target="https://www.legis.iowa.gov/docs/iac/rule/191.5.34.pdf" Type="http://schemas.openxmlformats.org/officeDocument/2006/relationships/hyperlink" Id="rId196"/>
    <Relationship TargetMode="External" Target="https://www.legis.iowa.gov/docs/ico/chapter/508.36.pdf" Type="http://schemas.openxmlformats.org/officeDocument/2006/relationships/hyperlink" Id="rId197"/>
    <Relationship TargetMode="External" Target="https://www.legis.iowa.gov/docs/iac/rule/191.5.42.pdf" Type="http://schemas.openxmlformats.org/officeDocument/2006/relationships/hyperlink" Id="rId198"/>
    <Relationship TargetMode="External" Target="https://www.legis.iowa.gov/docs/iac/rule/191.5.42.pdf" Type="http://schemas.openxmlformats.org/officeDocument/2006/relationships/hyperlink" Id="rId199"/>
    <Relationship TargetMode="External" Target="https://www.legis.iowa.gov/docs/ico/chapter/432.1.pdf" Type="http://schemas.openxmlformats.org/officeDocument/2006/relationships/hyperlink" Id="rId200"/>
    <Relationship TargetMode="External" Target="https://www.legis.iowa.gov/docs/ico/chapter/510.2.pdf" Type="http://schemas.openxmlformats.org/officeDocument/2006/relationships/hyperlink" Id="rId201"/>
    <Relationship TargetMode="External" Target="https://www.legis.iowa.gov/docs/ico/chapter/510.pdf" Type="http://schemas.openxmlformats.org/officeDocument/2006/relationships/hyperlink" Id="rId202"/>
    <Relationship TargetMode="External" Target="https://www.legis.iowa.gov/docs/ico/chapter/510.1B.pdf" Type="http://schemas.openxmlformats.org/officeDocument/2006/relationships/hyperlink" Id="rId203"/>
    <Relationship TargetMode="External" Target="https://www.legis.iowa.gov/docs/ico/chapter/535A.2.pdf" Type="http://schemas.openxmlformats.org/officeDocument/2006/relationships/hyperlink" Id="rId204"/>
    <Relationship TargetMode="External" Target="https://www.legis.iowa.gov/docs/ico/chapter/535A.4.pdf" Type="http://schemas.openxmlformats.org/officeDocument/2006/relationships/hyperlink" Id="rId205"/>
    <Relationship TargetMode="External" Target="https://www.legis.iowa.gov/docs/ico/chapter/535A.1.pdf" Type="http://schemas.openxmlformats.org/officeDocument/2006/relationships/hyperlink" Id="rId206"/>
    <Relationship TargetMode="External" Target="https://www.legis.iowa.gov/docs/iac/rule/191.5.53.pdf" Type="http://schemas.openxmlformats.org/officeDocument/2006/relationships/hyperlink" Id="rId207"/>
    <Relationship TargetMode="External" Target="https://www.legis.iowa.gov/docs/iac/rule/191.5.54.pdf" Type="http://schemas.openxmlformats.org/officeDocument/2006/relationships/hyperlink" Id="rId208"/>
    <Relationship TargetMode="External" Target="https://www.legis.iowa.gov/docs/iac/rule/191.5.53.pdf" Type="http://schemas.openxmlformats.org/officeDocument/2006/relationships/hyperlink" Id="rId209"/>
    <Relationship TargetMode="External" Target="https://www.legis.iowa.gov/docs/ico/chapter/17A.6.pdf" Type="http://schemas.openxmlformats.org/officeDocument/2006/relationships/hyperlink" Id="rId210"/>
    <Relationship TargetMode="External" Target="https://www.legis.iowa.gov/docs/iac/rule/191.5.54.pdf" Type="http://schemas.openxmlformats.org/officeDocument/2006/relationships/hyperlink" Id="rId211"/>
    <Relationship TargetMode="External" Target="https://www.legis.iowa.gov/docs/ico/chapter/535A.pdf" Type="http://schemas.openxmlformats.org/officeDocument/2006/relationships/hyperlink" Id="rId212"/>
    <Relationship TargetMode="External" Target="https://www.legis.iowa.gov/docs/ico/chapter/535A.pdf" Type="http://schemas.openxmlformats.org/officeDocument/2006/relationships/hyperlink" Id="rId213"/>
    <Relationship TargetMode="External" Target="https://www.legis.iowa.gov/docs/ico/chapter/535A.2.pdf" Type="http://schemas.openxmlformats.org/officeDocument/2006/relationships/hyperlink" Id="rId214"/>
    <Relationship TargetMode="External" Target="https://www.legis.iowa.gov/docs/ico/chapter/535A.4.pdf" Type="http://schemas.openxmlformats.org/officeDocument/2006/relationships/hyperlink" Id="rId2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