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VALUATION OF LIFE INSURANCE POLICIES</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(Including New Select Mortality Factors)</w:t>
      </w:r>
    </w:p>
    <w:p>
      <w:pPr>
        <w:spacing w:before="210" w:after="0"/>
        <w:ind w:left="120"/>
        <w:jc w:val="both"/>
      </w:pPr>
      <w:r>
        <w:rPr>
          <w:rFonts w:ascii="Times New Roman" w:hAnsi="Times New Roman"/>
          <w:b/>
          <w:i w:val="false"/>
          <w:color w:val="000000"/>
          <w:sz w:val="22"/>
        </w:rPr>
        <w:t>191—47.1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provide tables of select mortality factors and rules for their use, rules concerning a minimum standard for the valuation of plans with nonlevel premiums or benefits, and rules concerning a minimum standard for the valuation of plans with secondary guarantees. The method for calculating basic reserves defined in this chapter will constitute the commissioners’ reserve valuation method for policies to which this chapter is applicable. This chapter is issued under the authority of Iowa Code section </w:t>
      </w:r>
      <w:hyperlink r:id="rId5">
        <w:r>
          <w:rPr>
            <w:rStyle w:val="Hyperlink"/>
            <w:rFonts w:ascii="Times New Roman" w:hAnsi="Times New Roman"/>
            <w:b w:val="false"/>
            <w:i w:val="false"/>
            <w:color w:val="000000"/>
            <w:sz w:val="22"/>
          </w:rPr>
          <w:t>508.36(3)</w:t>
        </w:r>
      </w:hyperlink>
      <w:r>
        <w:rPr>
          <w:rFonts w:ascii="Times New Roman" w:hAnsi="Times New Roman"/>
          <w:b w:val="false"/>
          <w:i/>
          <w:color w:val="000000"/>
          <w:sz w:val="22"/>
        </w:rPr>
        <w:t>“a”</w:t>
      </w:r>
      <w:r>
        <w:rPr>
          <w:rFonts w:ascii="Times New Roman" w:hAnsi="Times New Roman"/>
          <w:b w:val="false"/>
          <w:i w:val="false"/>
          <w:color w:val="000000"/>
          <w:sz w:val="22"/>
        </w:rPr>
        <w:t xml:space="preserve">(3)(c) and is intended to implement Iowa Code section </w:t>
      </w:r>
      <w:hyperlink r:id="rId6">
        <w:r>
          <w:rPr>
            <w:rStyle w:val="Hyperlink"/>
            <w:rFonts w:ascii="Times New Roman" w:hAnsi="Times New Roman"/>
            <w:b w:val="false"/>
            <w:i w:val="false"/>
            <w:color w:val="000000"/>
            <w:sz w:val="22"/>
          </w:rPr>
          <w:t>508.36(6)</w:t>
        </w:r>
      </w:hyperlink>
      <w:r>
        <w:rPr>
          <w:rFonts w:ascii="Times New Roman" w:hAnsi="Times New Roman"/>
          <w:b w:val="false"/>
          <w:i/>
          <w:color w:val="000000"/>
          <w:sz w:val="22"/>
        </w:rPr>
        <w:t>“c.”</w:t>
      </w:r>
    </w:p>
    <w:p>
      <w:pPr>
        <w:spacing w:before="0" w:after="0"/>
        <w:ind w:left="120"/>
        <w:jc w:val="both"/>
      </w:pPr>
      <w:r>
        <w:rPr>
          <w:rFonts w:ascii="Times New Roman" w:hAnsi="Times New Roman"/>
          <w:b/>
          <w:i w:val="false"/>
          <w:color w:val="000000"/>
          <w:sz w:val="22"/>
        </w:rPr>
        <w:t>191—47.2</w:t>
      </w:r>
      <w:r>
        <w:rPr>
          <w:rFonts w:ascii="Times New Roman" w:hAnsi="Times New Roman"/>
          <w:b/>
          <w:i w:val="false"/>
          <w:color w:val="000000"/>
          <w:sz w:val="22"/>
        </w:rPr>
        <w:t xml:space="preserve">(508) </w:t>
      </w:r>
      <w:r>
        <w:rPr>
          <w:rFonts w:ascii="Times New Roman" w:hAnsi="Times New Roman"/>
          <w:b/>
          <w:i w:val="false"/>
          <w:color w:val="000000"/>
          <w:sz w:val="22"/>
        </w:rPr>
        <w:t xml:space="preserve">Application. </w:t>
      </w:r>
      <w:r>
        <w:rPr>
          <w:rFonts w:ascii="Times New Roman" w:hAnsi="Times New Roman"/>
          <w:b w:val="false"/>
          <w:i w:val="false"/>
          <w:color w:val="000000"/>
          <w:sz w:val="22"/>
        </w:rPr>
        <w:t>This chapter shall apply to all life insurance policies, with or without nonforfeiture values, issued on or after February 16, 2000, subject to the following exceptions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47.2(1)</w:t>
      </w:r>
      <w:r>
        <w:rPr>
          <w:rFonts w:ascii="Times New Roman" w:hAnsi="Times New Roman"/>
          <w:b w:val="false"/>
          <w:i w:val="false"/>
          <w:color w:val="000000"/>
          <w:sz w:val="22"/>
        </w:rPr>
        <w:t> </w:t>
      </w:r>
      <w:r>
        <w:rPr>
          <w:rFonts w:ascii="Times New Roman" w:hAnsi="Times New Roman"/>
          <w:b w:val="false"/>
          <w:i w:val="false"/>
          <w:color w:val="000000"/>
          <w:sz w:val="22"/>
        </w:rPr>
        <w:t>This chapter shall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life insurance policy issued on or after February 16, 2000, if the policy is issued in accordance with and as a result of the exercise of a reentry provision contained in the original life insurance policy of the same or greater face amount, issued before February 16, 2000, that guarantees the premium rates of the new policy. This chapter shall also not apply to subsequent policies issued as a result of the exercise of such a provision, or a derivation of the provision, in the new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universal life insurance policy that meets all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Secondary guarantee period, if any, is five years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Specified premium for the secondary guarantee period is not less than the net level reserve premium for the secondary guarantee period based on the CSO valuation tables as defined in rule </w:t>
      </w:r>
      <w:hyperlink r:id="rId7">
        <w:r>
          <w:rPr>
            <w:rStyle w:val="Hyperlink"/>
            <w:rFonts w:ascii="Times New Roman" w:hAnsi="Times New Roman"/>
            <w:b w:val="false"/>
            <w:i w:val="false"/>
            <w:color w:val="000000"/>
            <w:sz w:val="22"/>
          </w:rPr>
          <w:t>47.3(508)</w:t>
        </w:r>
      </w:hyperlink>
      <w:r>
        <w:rPr>
          <w:rFonts w:ascii="Times New Roman" w:hAnsi="Times New Roman"/>
          <w:b w:val="false"/>
          <w:i w:val="false"/>
          <w:color w:val="000000"/>
          <w:sz w:val="22"/>
        </w:rPr>
        <w:t xml:space="preserve"> and the applicable valuation interest 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surrender charge is not less than 100 percent of the first year annualized specified premium for the secondary guarantee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variable life insurance policy that provides for life insurance, the amount or duration of which varies according to the investment experience of any separate account or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variable universal life insurance policy that provides for life insurance, the amount or duration of which varies according to the investment experience of any separate account or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group life insurance certificate unless the certificate provides for a stated or implied schedule of maximum gross premiums required in order to continue coverage in force for a period in excess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w:t>
      </w:r>
      <w:r>
        <w:rPr>
          <w:rFonts w:ascii="Times New Roman" w:hAnsi="Times New Roman"/>
          <w:b w:val="false"/>
          <w:i w:val="false"/>
          <w:color w:val="000000"/>
          <w:sz w:val="22"/>
        </w:rPr>
        <w:t> </w:t>
      </w:r>
      <w:r>
        <w:rPr>
          <w:rFonts w:ascii="Times New Roman" w:hAnsi="Times New Roman"/>
          <w:b w:val="false"/>
          <w:i w:val="false"/>
          <w:color w:val="000000"/>
          <w:sz w:val="22"/>
        </w:rPr>
        <w:t>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the minimum valuation standard for policies with guaranteed nonlevel gross premiums or guaranteed nonlevel benefits (other than universal life policies), or both, shall be in accordance with the provisions of rule </w:t>
      </w:r>
      <w:hyperlink r:id="rId8">
        <w:r>
          <w:rPr>
            <w:rStyle w:val="Hyperlink"/>
            <w:rFonts w:ascii="Times New Roman" w:hAnsi="Times New Roman"/>
            <w:b w:val="false"/>
            <w:i w:val="false"/>
            <w:color w:val="000000"/>
            <w:sz w:val="22"/>
          </w:rPr>
          <w:t>47.5(508)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the minimum valuation standard for flexible premium and fixed premium universal life insurance policies that contain provisions resulting in the ability of a policyholder to keep a policy in force over a secondary guarantee period shall be in accordance with the provisions of rule </w:t>
      </w:r>
      <w:hyperlink r:id="rId9">
        <w:r>
          <w:rPr>
            <w:rStyle w:val="Hyperlink"/>
            <w:rFonts w:ascii="Times New Roman" w:hAnsi="Times New Roman"/>
            <w:b w:val="false"/>
            <w:i w:val="false"/>
            <w:color w:val="000000"/>
            <w:sz w:val="22"/>
          </w:rPr>
          <w:t>47.6(508)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191—47.3</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reserves” </w:t>
      </w:r>
      <w:r>
        <w:rPr>
          <w:rFonts w:ascii="Times New Roman" w:hAnsi="Times New Roman"/>
          <w:b w:val="false"/>
          <w:i w:val="false"/>
          <w:color w:val="000000"/>
          <w:sz w:val="22"/>
        </w:rPr>
        <w:t xml:space="preserve">means reserves calculated in accordance with Iowa Code section </w:t>
      </w:r>
      <w:hyperlink r:id="rId10">
        <w:r>
          <w:rPr>
            <w:rStyle w:val="Hyperlink"/>
            <w:rFonts w:ascii="Times New Roman" w:hAnsi="Times New Roman"/>
            <w:b w:val="false"/>
            <w:i w:val="false"/>
            <w:color w:val="000000"/>
            <w:sz w:val="22"/>
          </w:rPr>
          <w:t>508.36(6)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segmentation method” </w:t>
      </w:r>
      <w:r>
        <w:rPr>
          <w:rFonts w:ascii="Times New Roman" w:hAnsi="Times New Roman"/>
          <w:b w:val="false"/>
          <w:i w:val="false"/>
          <w:color w:val="000000"/>
          <w:sz w:val="22"/>
        </w:rPr>
        <w:t xml:space="preserve">means the method of dividing the period from issue to mandatory expiration of a policy into successive segments, with the length of each segment being defined as the period from the end of the prior segment (from policy inception, for the first segment) to the end of the latest policy year as determined below. All calculations are made using the 1980 CSO valuation tables, as defined in this rule (or any other valuation mortality table adopted by the National Association of Insurance Commissioners (NAIC) after January 1, 2000, and promulgated by rule by the commissioner for this purpose), and, if elected, the optional minimum mortality standard for deficiency reserves stipulated in subrule </w:t>
      </w:r>
      <w:hyperlink r:id="rId11">
        <w:r>
          <w:rPr>
            <w:rStyle w:val="Hyperlink"/>
            <w:rFonts w:ascii="Times New Roman" w:hAnsi="Times New Roman"/>
            <w:b w:val="false"/>
            <w:i w:val="false"/>
            <w:color w:val="000000"/>
            <w:sz w:val="22"/>
          </w:rPr>
          <w:t>47.4(2)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length of a particular contract segment shall be set equal to the minimum of the value </w:t>
      </w:r>
      <w:r>
        <w:rPr>
          <w:rFonts w:ascii="Times New Roman" w:hAnsi="Times New Roman"/>
          <w:b w:val="false"/>
          <w:i/>
          <w:color w:val="000000"/>
          <w:sz w:val="22"/>
        </w:rPr>
        <w:t>t</w:t>
      </w:r>
      <w:r>
        <w:rPr>
          <w:rFonts w:ascii="Times New Roman" w:hAnsi="Times New Roman"/>
          <w:b w:val="false"/>
          <w:i w:val="false"/>
          <w:color w:val="000000"/>
          <w:sz w:val="22"/>
        </w:rPr>
        <w:t xml:space="preserve"> for which G</w:t>
      </w:r>
      <w:r>
        <w:rPr>
          <w:rFonts w:ascii="Times New Roman" w:hAnsi="Times New Roman"/>
          <w:b w:val="false"/>
          <w:i w:val="false"/>
          <w:color w:val="000000"/>
          <w:sz w:val="18"/>
          <w:vertAlign w:val="subscript"/>
        </w:rPr>
        <w:t xml:space="preserve">t </w:t>
      </w:r>
      <w:r>
        <w:rPr>
          <w:rFonts w:ascii="Times New Roman" w:hAnsi="Times New Roman"/>
          <w:b w:val="false"/>
          <w:i w:val="false"/>
          <w:color w:val="000000"/>
          <w:sz w:val="22"/>
        </w:rPr>
        <w:t>is greater than R</w:t>
      </w:r>
      <w:r>
        <w:rPr>
          <w:rFonts w:ascii="Times New Roman" w:hAnsi="Times New Roman"/>
          <w:b w:val="false"/>
          <w:i w:val="false"/>
          <w:color w:val="000000"/>
          <w:sz w:val="18"/>
          <w:vertAlign w:val="subscript"/>
        </w:rPr>
        <w:t xml:space="preserve">t </w:t>
      </w:r>
      <w:r>
        <w:rPr>
          <w:rFonts w:ascii="Times New Roman" w:hAnsi="Times New Roman"/>
          <w:b w:val="false"/>
          <w:i w:val="false"/>
          <w:color w:val="000000"/>
          <w:sz w:val="22"/>
        </w:rPr>
        <w:t>(if G</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never exceeds R</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the segment length is deemed to be the number of years from the beginning of the segment to the mandatory expiration date of the policy), where G</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and R</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are defined as follows:</w:t>
      </w:r>
    </w:p>
    <w:tbl>
      <w:tblPr>
        <w:tblW w:w="5000" w:type="pct"/>
        <w:tblCellSpacing w:w="0" w:type="auto"/>
        <w:tblBorders>
          <w:top w:val="none"/>
          <w:left w:val="none"/>
          <w:bottom w:val="none"/>
          <w:right w:val="none"/>
          <w:insideH w:val="none"/>
          <w:insideV w:val="none"/>
        </w:tblBorders>
        <w:tblLayout w:type="fixed"/>
      </w:tblPr>
      <w:tblGrid>
        <w:gridCol w:w="782"/>
        <w:gridCol w:w="974"/>
        <w:gridCol w:w="1357"/>
        <w:gridCol w:w="8077"/>
      </w:tblGrid>
      <w:tr>
        <w:trPr>
          <w:trHeight w:val="270" w:hRule="atLeast"/>
        </w:trPr>
        <w:tc>
          <w:tcPr>
            <w:tcW w:w="782"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G</w:t>
            </w:r>
            <w:r>
              <w:rPr>
                <w:rFonts w:ascii="Times New Roman" w:hAnsi="Times New Roman"/>
                <w:b w:val="false"/>
                <w:i w:val="false"/>
                <w:color w:val="000000"/>
                <w:sz w:val="18"/>
                <w:vertAlign w:val="subscript"/>
              </w:rPr>
              <w:t>t</w:t>
            </w:r>
          </w:p>
        </w:tc>
        <w:tc>
          <w:tcPr>
            <w:tcW w:w="97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w:t>
            </w:r>
          </w:p>
        </w:tc>
        <w:tc>
          <w:tcPr>
            <w:tcW w:w="1357"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GP</w:t>
            </w:r>
            <w:r>
              <w:rPr>
                <w:rFonts w:ascii="Times New Roman" w:hAnsi="Times New Roman"/>
                <w:b w:val="false"/>
                <w:i w:val="false"/>
                <w:color w:val="000000"/>
                <w:sz w:val="18"/>
                <w:vertAlign w:val="subscript"/>
              </w:rPr>
              <w:t>x+k+t</w:t>
            </w:r>
          </w:p>
        </w:tc>
        <w:tc>
          <w:tcPr>
            <w:tcW w:w="80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70" w:hRule="atLeast"/>
        </w:trPr>
        <w:tc>
          <w:tcPr>
            <w:tcW w:w="0" w:type="auto"/>
            <w:vMerge/>
            <w:tcBorders>
              <w:top w:val="nil"/>
            </w:tcBorders>
          </w:tcPr>
          <w:p/>
        </w:tc>
        <w:tc>
          <w:tcPr>
            <w:tcW w:w="0" w:type="auto"/>
            <w:vMerge/>
            <w:tcBorders>
              <w:top w:val="nil"/>
            </w:tcBorders>
          </w:tcPr>
          <w:p/>
        </w:tc>
        <w:tc>
          <w:tcPr>
            <w:tcW w:w="1357"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GP</w:t>
            </w:r>
            <w:r>
              <w:rPr>
                <w:rFonts w:ascii="Times New Roman" w:hAnsi="Times New Roman"/>
                <w:b w:val="false"/>
                <w:i w:val="false"/>
                <w:color w:val="000000"/>
                <w:sz w:val="18"/>
                <w:vertAlign w:val="subscript"/>
              </w:rPr>
              <w:t>x+k+t-1</w:t>
            </w:r>
          </w:p>
        </w:tc>
        <w:tc>
          <w:tcPr>
            <w:tcW w:w="80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2318"/>
        <w:gridCol w:w="1166"/>
        <w:gridCol w:w="781"/>
        <w:gridCol w:w="6925"/>
      </w:tblGrid>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where:</w:t>
            </w:r>
          </w:p>
        </w:tc>
      </w:tr>
      <w:tr>
        <w:trPr>
          <w:trHeight w:val="210" w:hRule="atLeast"/>
        </w:trPr>
        <w:tc>
          <w:tcPr>
            <w:tcW w:w="23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x =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original issue age;</w:t>
            </w:r>
          </w:p>
        </w:tc>
      </w:tr>
      <w:tr>
        <w:trPr>
          <w:trHeight w:val="210" w:hRule="atLeast"/>
        </w:trPr>
        <w:tc>
          <w:tcPr>
            <w:tcW w:w="23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k =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number of years from the date of issue to the beginning of the segment;</w:t>
            </w:r>
          </w:p>
        </w:tc>
      </w:tr>
      <w:tr>
        <w:trPr>
          <w:trHeight w:val="210" w:hRule="atLeast"/>
        </w:trPr>
        <w:tc>
          <w:tcPr>
            <w:tcW w:w="23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t =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 2, ...; </w:t>
            </w:r>
            <w:r>
              <w:rPr>
                <w:rFonts w:ascii="Times New Roman" w:hAnsi="Times New Roman"/>
                <w:b w:val="false"/>
                <w:i/>
                <w:color w:val="000000"/>
                <w:sz w:val="16"/>
              </w:rPr>
              <w:t>t</w:t>
            </w:r>
            <w:r>
              <w:rPr>
                <w:rFonts w:ascii="Times New Roman" w:hAnsi="Times New Roman"/>
                <w:b w:val="false"/>
                <w:i w:val="false"/>
                <w:color w:val="000000"/>
                <w:sz w:val="16"/>
              </w:rPr>
              <w:t xml:space="preserve"> is reset to 1 at the beginning of each segment;</w:t>
            </w:r>
          </w:p>
        </w:tc>
      </w:tr>
      <w:tr>
        <w:trPr>
          <w:trHeight w:val="390" w:hRule="atLeast"/>
        </w:trPr>
        <w:tc>
          <w:tcPr>
            <w:tcW w:w="23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GP</w:t>
            </w:r>
            <w:r>
              <w:rPr>
                <w:rFonts w:ascii="Times New Roman" w:hAnsi="Times New Roman"/>
                <w:b w:val="false"/>
                <w:i w:val="false"/>
                <w:color w:val="000000"/>
                <w:sz w:val="18"/>
                <w:vertAlign w:val="subscript"/>
              </w:rPr>
              <w:t>x+k+t-1</w:t>
            </w:r>
            <w:r>
              <w:rPr>
                <w:rFonts w:ascii="Times New Roman" w:hAnsi="Times New Roman"/>
                <w:b w:val="false"/>
                <w:i w:val="false"/>
                <w:color w:val="000000"/>
                <w:sz w:val="16"/>
              </w:rPr>
              <w:t xml:space="preserve"> =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Guaranteed gross premium per thousand of face amount for year </w:t>
            </w:r>
            <w:r>
              <w:rPr>
                <w:rFonts w:ascii="Times New Roman" w:hAnsi="Times New Roman"/>
                <w:b w:val="false"/>
                <w:i/>
                <w:color w:val="000000"/>
                <w:sz w:val="16"/>
              </w:rPr>
              <w:t>t</w:t>
            </w:r>
            <w:r>
              <w:rPr>
                <w:rFonts w:ascii="Times New Roman" w:hAnsi="Times New Roman"/>
                <w:b w:val="false"/>
                <w:i w:val="false"/>
                <w:color w:val="000000"/>
                <w:sz w:val="16"/>
              </w:rPr>
              <w:t xml:space="preserve"> of the segment, ignoring policy fees only if level for the premium paying period of the policy.</w:t>
            </w:r>
          </w:p>
        </w:tc>
      </w:tr>
      <w:tr>
        <w:trPr>
          <w:trHeight w:val="270" w:hRule="atLeast"/>
        </w:trPr>
        <w:tc>
          <w:tcPr>
            <w:tcW w:w="231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w:t>
            </w:r>
            <w:r>
              <w:rPr>
                <w:rFonts w:ascii="Times New Roman" w:hAnsi="Times New Roman"/>
                <w:b w:val="false"/>
                <w:i w:val="false"/>
                <w:color w:val="000000"/>
                <w:sz w:val="18"/>
                <w:vertAlign w:val="subscript"/>
              </w:rPr>
              <w:t>t</w:t>
            </w:r>
            <w:r>
              <w:rPr>
                <w:rFonts w:ascii="Times New Roman" w:hAnsi="Times New Roman"/>
                <w:b w:val="false"/>
                <w:i w:val="false"/>
                <w:color w:val="000000"/>
                <w:sz w:val="16"/>
              </w:rPr>
              <w:t xml:space="preserve"> = </w:t>
            </w:r>
          </w:p>
        </w:tc>
        <w:tc>
          <w:tcPr>
            <w:tcW w:w="11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w:t>
            </w:r>
            <w:r>
              <w:rPr>
                <w:rFonts w:ascii="Times New Roman" w:hAnsi="Times New Roman"/>
                <w:b w:val="false"/>
                <w:i w:val="false"/>
                <w:color w:val="000000"/>
                <w:sz w:val="18"/>
                <w:vertAlign w:val="subscript"/>
              </w:rPr>
              <w:t>x+k+t</w:t>
            </w:r>
          </w:p>
        </w:tc>
        <w:tc>
          <w:tcPr>
            <w:tcW w:w="78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6925"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However, R</w:t>
            </w:r>
            <w:r>
              <w:rPr>
                <w:rFonts w:ascii="Times New Roman" w:hAnsi="Times New Roman"/>
                <w:b w:val="false"/>
                <w:i w:val="false"/>
                <w:color w:val="000000"/>
                <w:sz w:val="18"/>
                <w:vertAlign w:val="subscript"/>
              </w:rPr>
              <w:t>t</w:t>
            </w:r>
            <w:r>
              <w:rPr>
                <w:rFonts w:ascii="Times New Roman" w:hAnsi="Times New Roman"/>
                <w:b w:val="false"/>
                <w:i w:val="false"/>
                <w:color w:val="000000"/>
                <w:sz w:val="16"/>
              </w:rPr>
              <w:t xml:space="preserve"> may be increased or decreased by 1 percent in any policy year, at the company’s option, but R</w:t>
            </w:r>
            <w:r>
              <w:rPr>
                <w:rFonts w:ascii="Times New Roman" w:hAnsi="Times New Roman"/>
                <w:b w:val="false"/>
                <w:i w:val="false"/>
                <w:color w:val="000000"/>
                <w:sz w:val="18"/>
                <w:vertAlign w:val="subscript"/>
              </w:rPr>
              <w:t>t</w:t>
            </w:r>
            <w:r>
              <w:rPr>
                <w:rFonts w:ascii="Times New Roman" w:hAnsi="Times New Roman"/>
                <w:b w:val="false"/>
                <w:i w:val="false"/>
                <w:color w:val="000000"/>
                <w:sz w:val="16"/>
              </w:rPr>
              <w:t xml:space="preserve"> shall not be less than one;</w:t>
            </w:r>
          </w:p>
        </w:tc>
      </w:tr>
      <w:tr>
        <w:trPr>
          <w:trHeight w:val="270" w:hRule="atLeast"/>
        </w:trPr>
        <w:tc>
          <w:tcPr>
            <w:tcW w:w="0" w:type="auto"/>
            <w:vMerge/>
            <w:tcBorders>
              <w:top w:val="nil"/>
            </w:tcBorders>
          </w:tcPr>
          <w:p/>
        </w:tc>
        <w:tc>
          <w:tcPr>
            <w:tcW w:w="11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w:t>
            </w:r>
            <w:r>
              <w:rPr>
                <w:rFonts w:ascii="Times New Roman" w:hAnsi="Times New Roman"/>
                <w:b w:val="false"/>
                <w:i w:val="false"/>
                <w:color w:val="000000"/>
                <w:sz w:val="18"/>
                <w:vertAlign w:val="subscript"/>
              </w:rPr>
              <w:t>x+k+t-1</w:t>
            </w:r>
          </w:p>
        </w:tc>
        <w:tc>
          <w:tcPr>
            <w:tcW w:w="0" w:type="auto"/>
            <w:vMerge/>
            <w:tcBorders>
              <w:top w:val="nil"/>
            </w:tcBorders>
          </w:tcPr>
          <w:p/>
        </w:tc>
        <w:tc>
          <w:tcPr>
            <w:tcW w:w="0" w:type="auto"/>
            <w:vMerge/>
            <w:tcBorders>
              <w:top w:val="nil"/>
            </w:tcBorders>
          </w:tcPr>
          <w:p/>
        </w:tc>
      </w:tr>
    </w:tbl>
    <w:tbl>
      <w:tblPr>
        <w:tblW w:w="5000" w:type="pct"/>
        <w:tblCellSpacing w:w="0" w:type="auto"/>
        <w:tblBorders>
          <w:top w:val="none"/>
          <w:left w:val="none"/>
          <w:bottom w:val="none"/>
          <w:right w:val="none"/>
          <w:insideH w:val="none"/>
          <w:insideV w:val="none"/>
        </w:tblBorders>
        <w:tblLayout w:type="fixed"/>
      </w:tblPr>
      <w:tblGrid>
        <w:gridCol w:w="2715"/>
        <w:gridCol w:w="8475"/>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where:</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x, k and t are as defined above, and</w:t>
            </w:r>
          </w:p>
        </w:tc>
      </w:tr>
      <w:tr>
        <w:trPr>
          <w:trHeight w:val="390" w:hRule="atLeast"/>
        </w:trPr>
        <w:tc>
          <w:tcPr>
            <w:tcW w:w="271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q</w:t>
            </w:r>
            <w:r>
              <w:rPr>
                <w:rFonts w:ascii="Times New Roman" w:hAnsi="Times New Roman"/>
                <w:b w:val="false"/>
                <w:i w:val="false"/>
                <w:color w:val="000000"/>
                <w:sz w:val="18"/>
                <w:vertAlign w:val="subscript"/>
              </w:rPr>
              <w:t>x+k+t-1</w:t>
            </w:r>
            <w:r>
              <w:rPr>
                <w:rFonts w:ascii="Times New Roman" w:hAnsi="Times New Roman"/>
                <w:b w:val="false"/>
                <w:i w:val="false"/>
                <w:color w:val="000000"/>
                <w:sz w:val="16"/>
              </w:rPr>
              <w:t xml:space="preserve"> =</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valuation mortality rate for deficiency reserves in policy year k+t but using the mortality of paragraph </w:t>
            </w:r>
            <w:hyperlink r:id="rId12">
              <w:r>
                <w:rPr>
                  <w:rStyle w:val="Hyperlink"/>
                  <w:rFonts w:ascii="Times New Roman" w:hAnsi="Times New Roman"/>
                  <w:b w:val="false"/>
                  <w:i w:val="false"/>
                  <w:color w:val="000000"/>
                  <w:sz w:val="16"/>
                </w:rPr>
                <w:t>47.4(2)</w:t>
              </w:r>
            </w:hyperlink>
            <w:r>
              <w:rPr>
                <w:rFonts w:ascii="Times New Roman" w:hAnsi="Times New Roman"/>
                <w:b w:val="false"/>
                <w:i/>
                <w:color w:val="000000"/>
                <w:sz w:val="16"/>
              </w:rPr>
              <w:t>“b”</w:t>
            </w:r>
            <w:r>
              <w:rPr>
                <w:rFonts w:ascii="Times New Roman" w:hAnsi="Times New Roman"/>
                <w:b w:val="false"/>
                <w:i w:val="false"/>
                <w:color w:val="000000"/>
                <w:sz w:val="16"/>
              </w:rPr>
              <w:t xml:space="preserve"> if paragraph </w:t>
            </w:r>
            <w:hyperlink r:id="rId13">
              <w:r>
                <w:rPr>
                  <w:rStyle w:val="Hyperlink"/>
                  <w:rFonts w:ascii="Times New Roman" w:hAnsi="Times New Roman"/>
                  <w:b w:val="false"/>
                  <w:i w:val="false"/>
                  <w:color w:val="000000"/>
                  <w:sz w:val="16"/>
                </w:rPr>
                <w:t>47.4(2)</w:t>
              </w:r>
            </w:hyperlink>
            <w:r>
              <w:rPr>
                <w:rFonts w:ascii="Times New Roman" w:hAnsi="Times New Roman"/>
                <w:b w:val="false"/>
                <w:i/>
                <w:color w:val="000000"/>
                <w:sz w:val="16"/>
              </w:rPr>
              <w:t>“c”</w:t>
            </w:r>
            <w:r>
              <w:rPr>
                <w:rFonts w:ascii="Times New Roman" w:hAnsi="Times New Roman"/>
                <w:b w:val="false"/>
                <w:i w:val="false"/>
                <w:color w:val="000000"/>
                <w:sz w:val="16"/>
              </w:rPr>
              <w:t xml:space="preserve"> is elected for deficiency reserves.</w:t>
            </w:r>
          </w:p>
        </w:tc>
      </w:tr>
    </w:tbl>
    <w:p>
      <w:pPr>
        <w:spacing w:before="0" w:after="0"/>
        <w:ind w:left="120"/>
        <w:jc w:val="both"/>
      </w:pPr>
      <w:r>
        <w:rPr>
          <w:rFonts w:ascii="Times New Roman" w:hAnsi="Times New Roman"/>
          <w:b w:val="false"/>
          <w:i w:val="false"/>
          <w:color w:val="000000"/>
          <w:sz w:val="22"/>
        </w:rPr>
        <w:t>However, if GP</w:t>
      </w:r>
      <w:r>
        <w:rPr>
          <w:rFonts w:ascii="Times New Roman" w:hAnsi="Times New Roman"/>
          <w:b w:val="false"/>
          <w:i w:val="false"/>
          <w:color w:val="000000"/>
          <w:sz w:val="18"/>
          <w:vertAlign w:val="subscript"/>
        </w:rPr>
        <w:t xml:space="preserve">x+k+t </w:t>
      </w:r>
      <w:r>
        <w:rPr>
          <w:rFonts w:ascii="Times New Roman" w:hAnsi="Times New Roman"/>
          <w:b w:val="false"/>
          <w:i w:val="false"/>
          <w:color w:val="000000"/>
          <w:sz w:val="22"/>
        </w:rPr>
        <w:t>is greater than 0 and GP</w:t>
      </w:r>
      <w:r>
        <w:rPr>
          <w:rFonts w:ascii="Times New Roman" w:hAnsi="Times New Roman"/>
          <w:b w:val="false"/>
          <w:i w:val="false"/>
          <w:color w:val="000000"/>
          <w:sz w:val="18"/>
          <w:vertAlign w:val="subscript"/>
        </w:rPr>
        <w:t>x+k+t-1</w:t>
      </w:r>
      <w:r>
        <w:rPr>
          <w:rFonts w:ascii="Times New Roman" w:hAnsi="Times New Roman"/>
          <w:b w:val="false"/>
          <w:i w:val="false"/>
          <w:color w:val="000000"/>
          <w:sz w:val="22"/>
        </w:rPr>
        <w:t xml:space="preserve"> is equal to 0, G</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shall be deemed to be 1000. If GP</w:t>
      </w:r>
      <w:r>
        <w:rPr>
          <w:rFonts w:ascii="Times New Roman" w:hAnsi="Times New Roman"/>
          <w:b w:val="false"/>
          <w:i w:val="false"/>
          <w:color w:val="000000"/>
          <w:sz w:val="18"/>
          <w:vertAlign w:val="subscript"/>
        </w:rPr>
        <w:t xml:space="preserve">x+k+t </w:t>
      </w:r>
      <w:r>
        <w:rPr>
          <w:rFonts w:ascii="Times New Roman" w:hAnsi="Times New Roman"/>
          <w:b w:val="false"/>
          <w:i w:val="false"/>
          <w:color w:val="000000"/>
          <w:sz w:val="22"/>
        </w:rPr>
        <w:t>and GP</w:t>
      </w:r>
      <w:r>
        <w:rPr>
          <w:rFonts w:ascii="Times New Roman" w:hAnsi="Times New Roman"/>
          <w:b w:val="false"/>
          <w:i w:val="false"/>
          <w:color w:val="000000"/>
          <w:sz w:val="18"/>
          <w:vertAlign w:val="subscript"/>
        </w:rPr>
        <w:t xml:space="preserve">x+k+t-1 </w:t>
      </w:r>
      <w:r>
        <w:rPr>
          <w:rFonts w:ascii="Times New Roman" w:hAnsi="Times New Roman"/>
          <w:b w:val="false"/>
          <w:i w:val="false"/>
          <w:color w:val="000000"/>
          <w:sz w:val="22"/>
        </w:rPr>
        <w:t>are both equal to 0, G</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shall be deemed to be 0.</w:t>
      </w:r>
    </w:p>
    <w:p>
      <w:pPr>
        <w:spacing w:before="0" w:after="0"/>
        <w:ind w:left="120"/>
        <w:jc w:val="both"/>
      </w:pPr>
      <w:r>
        <w:rPr>
          <w:rFonts w:ascii="Times New Roman" w:hAnsi="Times New Roman"/>
          <w:b w:val="false"/>
          <w:i/>
          <w:color w:val="000000"/>
          <w:sz w:val="22"/>
        </w:rPr>
        <w:t>“Deficiency reserves”</w:t>
      </w:r>
      <w:r>
        <w:rPr>
          <w:rFonts w:ascii="Times New Roman" w:hAnsi="Times New Roman"/>
          <w:b w:val="false"/>
          <w:i w:val="false"/>
          <w:color w:val="000000"/>
          <w:sz w:val="22"/>
        </w:rPr>
        <w:t xml:space="preserve"> means the excess, if greater than zero,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Minimum reserves calculated in accordance with Iowa Code section </w:t>
      </w:r>
      <w:hyperlink r:id="rId14">
        <w:r>
          <w:rPr>
            <w:rStyle w:val="Hyperlink"/>
            <w:rFonts w:ascii="Times New Roman" w:hAnsi="Times New Roman"/>
            <w:b w:val="false"/>
            <w:i w:val="false"/>
            <w:color w:val="000000"/>
            <w:sz w:val="22"/>
          </w:rPr>
          <w:t>508.36(10)</w:t>
        </w:r>
      </w:hyperlink>
      <w:r>
        <w:rPr>
          <w:rFonts w:ascii="Times New Roman" w:hAnsi="Times New Roman"/>
          <w:b w:val="false"/>
          <w:i w:val="false"/>
          <w:color w:val="000000"/>
          <w:sz w:val="22"/>
        </w:rPr>
        <w:t xml:space="preserve"> over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Basic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“Guaranteed gross premiums” </w:t>
      </w:r>
      <w:r>
        <w:rPr>
          <w:rFonts w:ascii="Times New Roman" w:hAnsi="Times New Roman"/>
          <w:b w:val="false"/>
          <w:i w:val="false"/>
          <w:color w:val="000000"/>
          <w:sz w:val="22"/>
        </w:rPr>
        <w:t>means the premiums under a policy of life insurance that are guaranteed and determined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valuation interest rates” </w:t>
      </w:r>
      <w:r>
        <w:rPr>
          <w:rFonts w:ascii="Times New Roman" w:hAnsi="Times New Roman"/>
          <w:b w:val="false"/>
          <w:i w:val="false"/>
          <w:color w:val="000000"/>
          <w:sz w:val="22"/>
        </w:rPr>
        <w:t xml:space="preserve">means the interest rates defined in Iowa Code section </w:t>
      </w:r>
      <w:hyperlink r:id="rId15">
        <w:r>
          <w:rPr>
            <w:rStyle w:val="Hyperlink"/>
            <w:rFonts w:ascii="Times New Roman" w:hAnsi="Times New Roman"/>
            <w:b w:val="false"/>
            <w:i w:val="false"/>
            <w:color w:val="000000"/>
            <w:sz w:val="22"/>
          </w:rPr>
          <w:t>508.36(5)</w:t>
        </w:r>
      </w:hyperlink>
      <w:r>
        <w:rPr>
          <w:rFonts w:ascii="Times New Roman" w:hAnsi="Times New Roman"/>
          <w:b w:val="false"/>
          <w:i w:val="false"/>
          <w:color w:val="000000"/>
          <w:sz w:val="22"/>
        </w:rPr>
        <w:t xml:space="preserve"> that are to be used in determining the minimum standard for the valuation of life insurance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CSO valuation tables” </w:t>
      </w:r>
      <w:r>
        <w:rPr>
          <w:rFonts w:ascii="Times New Roman" w:hAnsi="Times New Roman"/>
          <w:b w:val="false"/>
          <w:i w:val="false"/>
          <w:color w:val="000000"/>
          <w:sz w:val="22"/>
        </w:rPr>
        <w:t>means the Commissioners’ 1980 Standard Ordinary Mortality Table (1980 CSO Table) without ten-year selection factors, incorporated into the 1980 amendments to the NAIC Standard Valuation Law, and variations of the 1980 CSO Table approved by the NAIC, such as the smoker and nonsmoker versions approved in December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“Scheduled gross premium” </w:t>
      </w:r>
      <w:r>
        <w:rPr>
          <w:rFonts w:ascii="Times New Roman" w:hAnsi="Times New Roman"/>
          <w:b w:val="false"/>
          <w:i w:val="false"/>
          <w:color w:val="000000"/>
          <w:sz w:val="22"/>
        </w:rPr>
        <w:t xml:space="preserve">means the smallest illustrated gross premium at issue for other than universal life insurance policies. For universal life insurance policies, scheduled gross premium means the smallest specified premium described in paragraph </w:t>
      </w:r>
      <w:hyperlink r:id="rId16">
        <w:r>
          <w:rPr>
            <w:rStyle w:val="Hyperlink"/>
            <w:rFonts w:ascii="Times New Roman" w:hAnsi="Times New Roman"/>
            <w:b w:val="false"/>
            <w:i w:val="false"/>
            <w:color w:val="000000"/>
            <w:sz w:val="22"/>
          </w:rPr>
          <w:t>47.6(1)</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any, or else the minimum premium described in paragraph </w:t>
      </w:r>
      <w:hyperlink r:id="rId17">
        <w:r>
          <w:rPr>
            <w:rStyle w:val="Hyperlink"/>
            <w:rFonts w:ascii="Times New Roman" w:hAnsi="Times New Roman"/>
            <w:b w:val="false"/>
            <w:i w:val="false"/>
            <w:color w:val="000000"/>
            <w:sz w:val="22"/>
          </w:rPr>
          <w:t>47.6(1)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“Segmented reserves” </w:t>
      </w:r>
      <w:r>
        <w:rPr>
          <w:rFonts w:ascii="Times New Roman" w:hAnsi="Times New Roman"/>
          <w:b w:val="false"/>
          <w:i w:val="false"/>
          <w:color w:val="000000"/>
          <w:sz w:val="22"/>
        </w:rPr>
        <w:t>means reserves, calculated using segments produced by the contract segmentation method, equal to the present value of all future guaranteed benefits less the present value of all future net premiums to the mandatory expiration of a policy, where the net premiums within each segment are a uniform percentage of the respective guaranteed gross premiums within the segment. The uniform percentage for each segment is such that, at the beginning of the segment, the present value of the net premiums within the segment equals: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present value of the death benefits within the segment, plus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present value of any unusual guaranteed cash value (see subrule </w:t>
      </w:r>
      <w:hyperlink r:id="rId18">
        <w:r>
          <w:rPr>
            <w:rStyle w:val="Hyperlink"/>
            <w:rFonts w:ascii="Times New Roman" w:hAnsi="Times New Roman"/>
            <w:b w:val="false"/>
            <w:i w:val="false"/>
            <w:color w:val="000000"/>
            <w:sz w:val="22"/>
          </w:rPr>
          <w:t>47.5(4)</w:t>
        </w:r>
      </w:hyperlink>
      <w:r>
        <w:rPr>
          <w:rFonts w:ascii="Times New Roman" w:hAnsi="Times New Roman"/>
          <w:b w:val="false"/>
          <w:i w:val="false"/>
          <w:color w:val="000000"/>
          <w:sz w:val="22"/>
        </w:rPr>
        <w:t>) occurring at the end of the segment, less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unusual guaranteed cash value occurring at the start of the segment, plus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the first segment only, the excess of </w:t>
      </w:r>
      <w:r>
        <w:rPr>
          <w:rFonts w:ascii="Times New Roman" w:hAnsi="Times New Roman"/>
          <w:b w:val="false"/>
          <w:i/>
          <w:color w:val="000000"/>
          <w:sz w:val="22"/>
        </w:rPr>
        <w:t>“a”</w:t>
      </w:r>
      <w:r>
        <w:rPr>
          <w:rFonts w:ascii="Times New Roman" w:hAnsi="Times New Roman"/>
          <w:b w:val="false"/>
          <w:i w:val="false"/>
          <w:color w:val="000000"/>
          <w:sz w:val="22"/>
        </w:rPr>
        <w:t xml:space="preserve"> over </w:t>
      </w:r>
      <w:r>
        <w:rPr>
          <w:rFonts w:ascii="Times New Roman" w:hAnsi="Times New Roman"/>
          <w:b w:val="false"/>
          <w:i/>
          <w:color w:val="000000"/>
          <w:sz w:val="22"/>
        </w:rPr>
        <w:t>“b”</w:t>
      </w:r>
      <w:r>
        <w:rPr>
          <w:rFonts w:ascii="Times New Roman" w:hAnsi="Times New Roman"/>
          <w:b w:val="false"/>
          <w:i w:val="false"/>
          <w:color w:val="000000"/>
          <w:sz w:val="22"/>
        </w:rPr>
        <w:t xml:space="preserve"> below, as follows: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net level annual premium equal to the present value, at the date of issue, of the benefits provided for in the first segment after the first policy year, divided by the present value, at the date of issue, of an annuity of one per year payable on the first and each subsequent anniversary within the first segment on which a premium falls due. However, the net level annual premium shall not exceed the net level annual premium on the 19-year premium whole life plan of insurance of the same renewal year equivalent level amount at an age one year higher than the age at issue of the policy.</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net one-year term premium for the benefits provided for in the first policy year.</w:t>
      </w:r>
    </w:p>
    <w:p>
      <w:pPr>
        <w:spacing w:before="0" w:after="0"/>
        <w:ind w:left="120"/>
        <w:jc w:val="both"/>
      </w:pPr>
      <w:r>
        <w:rPr>
          <w:rFonts w:ascii="Times New Roman" w:hAnsi="Times New Roman"/>
          <w:b w:val="false"/>
          <w:i w:val="false"/>
          <w:color w:val="000000"/>
          <w:sz w:val="22"/>
        </w:rPr>
        <w:t>The length of each segment is determined by the “contract segmentation method,” as defined in this rule. The interest rates used in the present value calculations for any policy may not exceed the maximum valuation interest rate, determined with a guarantee duration equal to the sum of the lengths of all segments of the policy.</w:t>
      </w:r>
    </w:p>
    <w:p>
      <w:pPr>
        <w:spacing w:before="0" w:after="0"/>
        <w:ind w:left="120"/>
        <w:jc w:val="both"/>
      </w:pPr>
      <w:r>
        <w:rPr>
          <w:rFonts w:ascii="Times New Roman" w:hAnsi="Times New Roman"/>
          <w:b w:val="false"/>
          <w:i w:val="false"/>
          <w:color w:val="000000"/>
          <w:sz w:val="22"/>
        </w:rPr>
        <w:t>For both basic reserves and deficiency reserves computed by the segmentation method, present values shall include future benefits and net premiums in the current segment and in all subsequent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“Tabular cost of insurance” </w:t>
      </w:r>
      <w:r>
        <w:rPr>
          <w:rFonts w:ascii="Times New Roman" w:hAnsi="Times New Roman"/>
          <w:b w:val="false"/>
          <w:i w:val="false"/>
          <w:color w:val="000000"/>
          <w:sz w:val="22"/>
        </w:rPr>
        <w:t>means the net single premium at the beginning of a policy year for one-year term insurance in the amount of the guaranteed death benefit in that policy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“Ten-year select factors” </w:t>
      </w:r>
      <w:r>
        <w:rPr>
          <w:rFonts w:ascii="Times New Roman" w:hAnsi="Times New Roman"/>
          <w:b w:val="false"/>
          <w:i w:val="false"/>
          <w:color w:val="000000"/>
          <w:sz w:val="22"/>
        </w:rPr>
        <w:t>means the select factors adopted with the 1980 amendments to the NAIC Standard Valuation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“Unitary reserves” </w:t>
      </w:r>
      <w:r>
        <w:rPr>
          <w:rFonts w:ascii="Times New Roman" w:hAnsi="Times New Roman"/>
          <w:b w:val="false"/>
          <w:i w:val="false"/>
          <w:color w:val="000000"/>
          <w:sz w:val="22"/>
        </w:rPr>
        <w:t>means the present value of all future guaranteed benefits less the present value of all future modified net premiums, where: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Guaranteed benefits and modified net premiums are considered to the mandatory expiration of the policy;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Modified net premiums are a uniform percentage of the respective guaranteed gross premiums, where the uniform percentage is such that, at issue, the present value of the net premiums equals the present value of all death benefits and pure endowments, plus the excess of </w:t>
      </w:r>
      <w:r>
        <w:rPr>
          <w:rFonts w:ascii="Times New Roman" w:hAnsi="Times New Roman"/>
          <w:b w:val="false"/>
          <w:i/>
          <w:color w:val="000000"/>
          <w:sz w:val="22"/>
        </w:rPr>
        <w:t>“a”</w:t>
      </w:r>
      <w:r>
        <w:rPr>
          <w:rFonts w:ascii="Times New Roman" w:hAnsi="Times New Roman"/>
          <w:b w:val="false"/>
          <w:i w:val="false"/>
          <w:color w:val="000000"/>
          <w:sz w:val="22"/>
        </w:rPr>
        <w:t xml:space="preserve"> over </w:t>
      </w:r>
      <w:r>
        <w:rPr>
          <w:rFonts w:ascii="Times New Roman" w:hAnsi="Times New Roman"/>
          <w:b w:val="false"/>
          <w:i/>
          <w:color w:val="000000"/>
          <w:sz w:val="22"/>
        </w:rPr>
        <w:t>“b”</w:t>
      </w:r>
      <w:r>
        <w:rPr>
          <w:rFonts w:ascii="Times New Roman" w:hAnsi="Times New Roman"/>
          <w:b w:val="false"/>
          <w:i w:val="false"/>
          <w:color w:val="000000"/>
          <w:sz w:val="22"/>
        </w:rPr>
        <w:t xml:space="preserve"> below, as follows: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net level annual premium equal to the present value, at the date of issue, of the benefits provided for after the first policy year, divided by the present value, at the date of issue, of an annuity of one per year payable on the first and each subsequent anniversary of the policy on which a premium falls due. However, the net level annual premium shall not exceed the net level annual premium on the 19-year premium whole life plan of insurance of the same renewal year equivalent level amount at an age one year higher than the age at issue of the policy.</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net one-year term premium for the benefits provided for in the first policy year.</w:t>
      </w:r>
    </w:p>
    <w:p>
      <w:pPr>
        <w:spacing w:before="0" w:after="0"/>
        <w:ind w:left="120"/>
        <w:jc w:val="both"/>
      </w:pPr>
      <w:r>
        <w:rPr>
          <w:rFonts w:ascii="Times New Roman" w:hAnsi="Times New Roman"/>
          <w:b w:val="false"/>
          <w:i w:val="false"/>
          <w:color w:val="000000"/>
          <w:sz w:val="22"/>
        </w:rPr>
        <w:t>The interest rates used in the present value calculations for any policy may not exceed the maximum valuation interest rate, determined with a guarantee duration equal to the length from issue to the mandatory expiration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“Universal life insurance policy” </w:t>
      </w:r>
      <w:r>
        <w:rPr>
          <w:rFonts w:ascii="Times New Roman" w:hAnsi="Times New Roman"/>
          <w:b w:val="false"/>
          <w:i w:val="false"/>
          <w:color w:val="000000"/>
          <w:sz w:val="22"/>
        </w:rPr>
        <w:t>means any individual life insurance policy under the provisions of which separately identified interest credits (other than in connection with dividend accumulations, premium deposit funds, or other supplementary accounts) and mortality or expense charges are made to the policy.</w:t>
      </w:r>
    </w:p>
    <w:p>
      <w:pPr>
        <w:spacing w:before="0" w:after="0"/>
        <w:ind w:left="120"/>
        <w:jc w:val="both"/>
      </w:pPr>
      <w:r>
        <w:rPr>
          <w:rFonts w:ascii="Times New Roman" w:hAnsi="Times New Roman"/>
          <w:b/>
          <w:i w:val="false"/>
          <w:color w:val="000000"/>
          <w:sz w:val="22"/>
        </w:rPr>
        <w:t>191—47.4</w:t>
      </w:r>
      <w:r>
        <w:rPr>
          <w:rFonts w:ascii="Times New Roman" w:hAnsi="Times New Roman"/>
          <w:b/>
          <w:i w:val="false"/>
          <w:color w:val="000000"/>
          <w:sz w:val="22"/>
        </w:rPr>
        <w:t xml:space="preserve">(508) </w:t>
      </w:r>
      <w:r>
        <w:rPr>
          <w:rFonts w:ascii="Times New Roman" w:hAnsi="Times New Roman"/>
          <w:b/>
          <w:i w:val="false"/>
          <w:color w:val="000000"/>
          <w:sz w:val="22"/>
        </w:rPr>
        <w:t xml:space="preserve">General calculation requirements for basic reserves and premium deficiency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At the election of the company for any one or more specified plans of life insurance, the minimum mortality standard for basic reserves may be calculated using the 1980 CSO valuation tables with select mortality factors (or any other valuation mortality table adopted by the NAIC after January 1, 2000, and promulgated by rule by the commissioner for this purpose). If select mortality factors are elected, they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ten-year select mortality factors incorporated into the 1980 amendments to the NAIC Standard Valuation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select mortality factors in the appendix to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table of select mortality factors adopted by the NAIC after February 16, 2000, and promulgated by rule by the commissioner for the purpose of calculating basic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Deficiency reserves, if any, are calculated for each policy as the excess, if greater than zero, of the quantity A over the basic reserve. The quantity A is obtained by recalculating the basic reserve for the policy using guaranteed gross premiums instead of net premiums when the guaranteed gross premiums are less than the corresponding net premiums. At the election of the company for any one or more specified plans of insurance, the quantity A and the corresponding net premiums used in the determination of quantity A may be based upon the 1980 CSO valuation tables with select mortality factors (or any other valuation mortality table adopted by the NAIC after February 16, 2000, and promulgated by rule by the commissioner). If select mortality factors are elected, they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ten-year select mortality factors incorporated into the 1980 amendments to the NAIC Standard Valuation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select mortality factors in the appendix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durations in the first segment, X percent of the select mortality factors in the appendix,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 may vary by policy year, policy form, underwriting classification, issue age, or any other policy factor expected to affect mortality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X is such that, when using the valuation interest rate used for basic reserves, “1” below is greater than or equal to “2”;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actuarial present value of future death benefits, calculated using the mortality rates resulting from the application of X;</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actuarial present value of future death benefits calculated using anticipated mortality experience without recognition of mortality improvement beyond the valuation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X is such that the mortality rates resulting from the application of X are at least as great as the anticipated mortality experience, without recognition of mortality improvement beyond the valuation date, in each of the first five years after the valuation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appointed actuary shall increase X at any valuation date where it is necessary to continue to meet all the requirements of paragraph </w:t>
      </w:r>
      <w:hyperlink r:id="rId19">
        <w:r>
          <w:rPr>
            <w:rStyle w:val="Hyperlink"/>
            <w:rFonts w:ascii="Times New Roman" w:hAnsi="Times New Roman"/>
            <w:b w:val="false"/>
            <w:i w:val="false"/>
            <w:color w:val="000000"/>
            <w:sz w:val="22"/>
          </w:rPr>
          <w:t>47.4(2)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appointed actuary may decrease X at any valuation date as long as X continues to meet all the requirements of paragraph </w:t>
      </w:r>
      <w:hyperlink r:id="rId20">
        <w:r>
          <w:rPr>
            <w:rStyle w:val="Hyperlink"/>
            <w:rFonts w:ascii="Times New Roman" w:hAnsi="Times New Roman"/>
            <w:b w:val="false"/>
            <w:i w:val="false"/>
            <w:color w:val="000000"/>
            <w:sz w:val="22"/>
          </w:rPr>
          <w:t>47.4(2)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appointed actuary shall specifically take into account the adverse effect on expected mortality and lapsation of any anticipated or actual increase in gross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X is less than 100 percent at any duration for any policy, the following requirements shall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appointed actuary shall annually prepare an actuarial opinion and memorandum for the company in conformance with the requirements of </w:t>
      </w:r>
      <w:hyperlink r:id="rId21">
        <w:r>
          <w:rPr>
            <w:rStyle w:val="Hyperlink"/>
            <w:rFonts w:ascii="Times New Roman" w:hAnsi="Times New Roman"/>
            <w:b w:val="false"/>
            <w:i w:val="false"/>
            <w:color w:val="000000"/>
            <w:sz w:val="22"/>
          </w:rPr>
          <w:t>191—subrule 5.34(3)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appointed actuary shall disclose, in the regulatory asset adequacy issues summary, the impact of the insufficiency of assets to support the payment of benefits and expenses and the establishment of statutory reserves during one or more interim periods;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appointed actuary shall annually opine for all policies subject to this chapter as to whether the mortality rates resulting from the application of X meet the requirements of paragraph </w:t>
      </w:r>
      <w:hyperlink r:id="rId22">
        <w:r>
          <w:rPr>
            <w:rStyle w:val="Hyperlink"/>
            <w:rFonts w:ascii="Times New Roman" w:hAnsi="Times New Roman"/>
            <w:b w:val="false"/>
            <w:i w:val="false"/>
            <w:color w:val="000000"/>
            <w:sz w:val="22"/>
          </w:rPr>
          <w:t>47.4(2)</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opinion shall be supported by an actuarial report, subject to appropriate Actuarial Standards of Practice promulgated by the Actuarial Standards Board of the American Academy of Actuaries. The X factors shall reflect anticipated future mortality, without recognition of mortality improvement beyond the valuation date, taking into account relevant emerging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table of select mortality factors adopted by the NAIC after January 1, 2000, and promulgated by rule by the commissioner for the purpose of calculating deficiency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47.4(3)</w:t>
      </w:r>
      <w:r>
        <w:rPr>
          <w:rFonts w:ascii="Times New Roman" w:hAnsi="Times New Roman"/>
          <w:b w:val="false"/>
          <w:i w:val="false"/>
          <w:color w:val="000000"/>
          <w:sz w:val="22"/>
        </w:rPr>
        <w:t> </w:t>
      </w:r>
      <w:r>
        <w:rPr>
          <w:rFonts w:ascii="Times New Roman" w:hAnsi="Times New Roman"/>
          <w:b w:val="false"/>
          <w:i w:val="false"/>
          <w:color w:val="000000"/>
          <w:sz w:val="22"/>
        </w:rPr>
        <w:t>This rule applies to both basic reserves and deficiency reserves. Any set of select mortality factors may be used only for the first segment. However, if the first segment is less than ten years, the appropriate ten-year select mortality factors incorporated into the 1980 amendments to the NAIC Standard Valuation Law may be used thereafter through the tenth policy year from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47.4(4)</w:t>
      </w:r>
      <w:r>
        <w:rPr>
          <w:rFonts w:ascii="Times New Roman" w:hAnsi="Times New Roman"/>
          <w:b w:val="false"/>
          <w:i w:val="false"/>
          <w:color w:val="000000"/>
          <w:sz w:val="22"/>
        </w:rPr>
        <w:t> </w:t>
      </w:r>
      <w:r>
        <w:rPr>
          <w:rFonts w:ascii="Times New Roman" w:hAnsi="Times New Roman"/>
          <w:b w:val="false"/>
          <w:i w:val="false"/>
          <w:color w:val="000000"/>
          <w:sz w:val="22"/>
        </w:rPr>
        <w:t>In determining basic reserves or deficiency reserves, guaranteed gross premiums without policy fees may be used where the calculation involves the guaranteed gross premium but only if the policy fee is a level dollar amount after the first policy year. In determining deficiency reserves, policy fees may be included in guaranteed gross premiums, even if not included in the actual calculation of basic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47.4(5)</w:t>
      </w:r>
      <w:r>
        <w:rPr>
          <w:rFonts w:ascii="Times New Roman" w:hAnsi="Times New Roman"/>
          <w:b w:val="false"/>
          <w:i w:val="false"/>
          <w:color w:val="000000"/>
          <w:sz w:val="22"/>
        </w:rPr>
        <w:t> </w:t>
      </w:r>
      <w:r>
        <w:rPr>
          <w:rFonts w:ascii="Times New Roman" w:hAnsi="Times New Roman"/>
          <w:b w:val="false"/>
          <w:i w:val="false"/>
          <w:color w:val="000000"/>
          <w:sz w:val="22"/>
        </w:rPr>
        <w:t>Reserves for policies that have changes to guaranteed gross premiums, guaranteed benefits, guaranteed charges, or guaranteed credits that are unilaterally made by the insurer after issue and that are effective for more than one year after the date of the change shall be the greatest of the following: (1) reserves calculated ignoring the guarantee, (2) reserves assuming the guarantee was made at issue, and (3) reserves assuming that the policy was issued on the date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require that the company document the extent of the adequacy of reserves for specified blocks, including but not limited to policies issued prior to February 16, 2000. This documentation may include a demonstration of the extent to which aggregation with other non-specified blocks of business is relied upon in the formation of the appointed actuary opinion pursuant to and consistent with the requirements of </w:t>
      </w:r>
      <w:hyperlink r:id="rId23">
        <w:r>
          <w:rPr>
            <w:rStyle w:val="Hyperlink"/>
            <w:rFonts w:ascii="Times New Roman" w:hAnsi="Times New Roman"/>
            <w:b w:val="false"/>
            <w:i w:val="false"/>
            <w:color w:val="000000"/>
            <w:sz w:val="22"/>
          </w:rPr>
          <w:t>191—subrule 5.34(8)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191—47.5</w:t>
      </w:r>
      <w:r>
        <w:rPr>
          <w:rFonts w:ascii="Times New Roman" w:hAnsi="Times New Roman"/>
          <w:b/>
          <w:i w:val="false"/>
          <w:color w:val="000000"/>
          <w:sz w:val="22"/>
        </w:rPr>
        <w:t xml:space="preserve">(508) </w:t>
      </w:r>
      <w:r>
        <w:rPr>
          <w:rFonts w:ascii="Times New Roman" w:hAnsi="Times New Roman"/>
          <w:b/>
          <w:i w:val="false"/>
          <w:color w:val="000000"/>
          <w:sz w:val="22"/>
        </w:rPr>
        <w:t xml:space="preserve">Calculation of minimum valuation standard for policies with guaranteed nonlevel gross premiums or guaranteed nonlevel benefits (other than universal life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47.5(1)</w:t>
      </w:r>
      <w:r>
        <w:rPr>
          <w:rFonts w:ascii="Times New Roman" w:hAnsi="Times New Roman"/>
          <w:b w:val="false"/>
          <w:i w:val="false"/>
          <w:color w:val="000000"/>
          <w:sz w:val="22"/>
        </w:rPr>
        <w:t> </w:t>
      </w:r>
      <w:r>
        <w:rPr>
          <w:rFonts w:ascii="Times New Roman" w:hAnsi="Times New Roman"/>
          <w:b w:val="false"/>
          <w:i/>
          <w:color w:val="000000"/>
          <w:sz w:val="22"/>
        </w:rPr>
        <w:t xml:space="preserve">Basic reserves. </w:t>
      </w:r>
      <w:r>
        <w:rPr>
          <w:rFonts w:ascii="Times New Roman" w:hAnsi="Times New Roman"/>
          <w:b w:val="false"/>
          <w:i w:val="false"/>
          <w:color w:val="000000"/>
          <w:sz w:val="22"/>
        </w:rPr>
        <w:t xml:space="preserve">Basic reserves shall be calculated as the greater of the segmented reserves and the unitary reserves. Both the segmented reserves and the unitary reserves for any policy shall use the same valuation mortality table and selection factors. At the option of the insurer, in calculating segmented reserves and net premiums, either of the adjustments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below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 the unitary reserve, if greater than zero, applicable at the end of each segment as a pure endowment and subtract the unitary reserve, if greater than zero, applicable at the beginning of each segment from the present value of guaranteed life insurance and endowment benefits for each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 the guaranteed cash surrender value, if greater than zero, applicable at the end of each segment as a pure endowment; and subtract the guaranteed cash surrender value, if greater than zero, applicable at the beginning of each segment from the present value of guaranteed life insurance and endowment benefits for each segment.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w:t>
      </w:r>
      <w:r>
        <w:rPr>
          <w:rFonts w:ascii="Times New Roman" w:hAnsi="Times New Roman"/>
          <w:b w:val="false"/>
          <w:i w:val="false"/>
          <w:color w:val="000000"/>
          <w:sz w:val="22"/>
        </w:rPr>
        <w:t> </w:t>
      </w:r>
      <w:r>
        <w:rPr>
          <w:rFonts w:ascii="Times New Roman" w:hAnsi="Times New Roman"/>
          <w:b w:val="false"/>
          <w:i/>
          <w:color w:val="000000"/>
          <w:sz w:val="22"/>
        </w:rPr>
        <w:t xml:space="preserve">Deficiency reserves.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deficiency reserve at any duration shall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 a unitary basis if the corresponding basic reserve determined by subrule </w:t>
      </w:r>
      <w:hyperlink r:id="rId24">
        <w:r>
          <w:rPr>
            <w:rStyle w:val="Hyperlink"/>
            <w:rFonts w:ascii="Times New Roman" w:hAnsi="Times New Roman"/>
            <w:b w:val="false"/>
            <w:i w:val="false"/>
            <w:color w:val="000000"/>
            <w:sz w:val="22"/>
          </w:rPr>
          <w:t>47.5(1)</w:t>
        </w:r>
      </w:hyperlink>
      <w:r>
        <w:rPr>
          <w:rFonts w:ascii="Times New Roman" w:hAnsi="Times New Roman"/>
          <w:b w:val="false"/>
          <w:i w:val="false"/>
          <w:color w:val="000000"/>
          <w:sz w:val="22"/>
        </w:rPr>
        <w:t xml:space="preserve"> is unitary;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 a segmented basis if the corresponding basic reserve determined by subrule </w:t>
      </w:r>
      <w:hyperlink r:id="rId25">
        <w:r>
          <w:rPr>
            <w:rStyle w:val="Hyperlink"/>
            <w:rFonts w:ascii="Times New Roman" w:hAnsi="Times New Roman"/>
            <w:b w:val="false"/>
            <w:i w:val="false"/>
            <w:color w:val="000000"/>
            <w:sz w:val="22"/>
          </w:rPr>
          <w:t>47.5(1)</w:t>
        </w:r>
      </w:hyperlink>
      <w:r>
        <w:rPr>
          <w:rFonts w:ascii="Times New Roman" w:hAnsi="Times New Roman"/>
          <w:b w:val="false"/>
          <w:i w:val="false"/>
          <w:color w:val="000000"/>
          <w:sz w:val="22"/>
        </w:rPr>
        <w:t xml:space="preserve"> is segmented;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On a segmented basis if the corresponding basic reserve determined by subrule </w:t>
      </w:r>
      <w:hyperlink r:id="rId26">
        <w:r>
          <w:rPr>
            <w:rStyle w:val="Hyperlink"/>
            <w:rFonts w:ascii="Times New Roman" w:hAnsi="Times New Roman"/>
            <w:b w:val="false"/>
            <w:i w:val="false"/>
            <w:color w:val="000000"/>
            <w:sz w:val="22"/>
          </w:rPr>
          <w:t>47.5(1)</w:t>
        </w:r>
      </w:hyperlink>
      <w:r>
        <w:rPr>
          <w:rFonts w:ascii="Times New Roman" w:hAnsi="Times New Roman"/>
          <w:b w:val="false"/>
          <w:i w:val="false"/>
          <w:color w:val="000000"/>
          <w:sz w:val="22"/>
        </w:rPr>
        <w:t xml:space="preserve"> is equal to both the segmented reserve and the unitary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shall apply to any policy for which the guaranteed gross premium at any duration is less than the corresponding modified net premium calculated by the method used in determining the basic reserves, but using the minimum valuation standards of mortality in subrule </w:t>
      </w:r>
      <w:hyperlink r:id="rId27">
        <w:r>
          <w:rPr>
            <w:rStyle w:val="Hyperlink"/>
            <w:rFonts w:ascii="Times New Roman" w:hAnsi="Times New Roman"/>
            <w:b w:val="false"/>
            <w:i w:val="false"/>
            <w:color w:val="000000"/>
            <w:sz w:val="22"/>
          </w:rPr>
          <w:t>47.4(2)</w:t>
        </w:r>
      </w:hyperlink>
      <w:r>
        <w:rPr>
          <w:rFonts w:ascii="Times New Roman" w:hAnsi="Times New Roman"/>
          <w:b w:val="false"/>
          <w:i w:val="false"/>
          <w:color w:val="000000"/>
          <w:sz w:val="22"/>
        </w:rPr>
        <w:t xml:space="preserve"> and rate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Deficiency reserves, if any, shall be calculated for each policy, as the excess if greater than zero, for the current and all remaining periods, of the quantity A over the basic reserve, where A is obtained as indicated in subrule </w:t>
      </w:r>
      <w:hyperlink r:id="rId28">
        <w:r>
          <w:rPr>
            <w:rStyle w:val="Hyperlink"/>
            <w:rFonts w:ascii="Times New Roman" w:hAnsi="Times New Roman"/>
            <w:b w:val="false"/>
            <w:i w:val="false"/>
            <w:color w:val="000000"/>
            <w:sz w:val="22"/>
          </w:rPr>
          <w:t>47.4(2)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deficiency reserves determined on a segmented basis, the quantity A is determined using segment lengths equal to those determined for segmented basic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47.5(3)</w:t>
      </w:r>
      <w:r>
        <w:rPr>
          <w:rFonts w:ascii="Times New Roman" w:hAnsi="Times New Roman"/>
          <w:b w:val="false"/>
          <w:i w:val="false"/>
          <w:color w:val="000000"/>
          <w:sz w:val="22"/>
        </w:rPr>
        <w:t> </w:t>
      </w:r>
      <w:r>
        <w:rPr>
          <w:rFonts w:ascii="Times New Roman" w:hAnsi="Times New Roman"/>
          <w:b w:val="false"/>
          <w:i/>
          <w:color w:val="000000"/>
          <w:sz w:val="22"/>
        </w:rPr>
        <w:t xml:space="preserve">Minimum value. </w:t>
      </w:r>
      <w:r>
        <w:rPr>
          <w:rFonts w:ascii="Times New Roman" w:hAnsi="Times New Roman"/>
          <w:b w:val="false"/>
          <w:i w:val="false"/>
          <w:color w:val="000000"/>
          <w:sz w:val="22"/>
        </w:rPr>
        <w:t>Basic reserves may not be less than the tabular cost of insurance for the balance of the policy year, if mean reserves are used. Basic reserves may not be less than the tabular cost of insurance for the balance of the current modal period or to the paid-to-date, if later, but not beyond the next policy anniversary, if mid-terminal reserves are used. The tabular cost of insurance shall use the same valuation mortality table and interest rates as that used for the calculation of the segmented reserves. However, if select mortality factors are used, they shall be the ten-year select factors incorporated into the 1980 amendments of the NAIC Standard Valuation Law. In no case may total reserves (including basic reserves, deficiency reserves and any reserves held for supplemental benefits that would expire upon contract termination) be less than the amount that the policyowner would receive (including the cash surrender value of the supplemental benefits, if any, referred to above), exclusive of any deduction for policy loans, upon termination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w:t>
      </w:r>
      <w:r>
        <w:rPr>
          <w:rFonts w:ascii="Times New Roman" w:hAnsi="Times New Roman"/>
          <w:b w:val="false"/>
          <w:i w:val="false"/>
          <w:color w:val="000000"/>
          <w:sz w:val="22"/>
        </w:rPr>
        <w:t> </w:t>
      </w:r>
      <w:r>
        <w:rPr>
          <w:rFonts w:ascii="Times New Roman" w:hAnsi="Times New Roman"/>
          <w:b w:val="false"/>
          <w:i/>
          <w:color w:val="000000"/>
          <w:sz w:val="22"/>
        </w:rPr>
        <w:t xml:space="preserve">Unusual pattern of guaranteed cash surrender values.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policy with an unusual pattern of guaranteed cash surrender values, the reserves actually held prior to the first unusual guaranteed cash surrender value shall not be less than the reserves calculated by treating the first unusual guaranteed cash surrender value as a pure endowment and treating the policy as an</w:t>
      </w:r>
      <w:r>
        <w:rPr>
          <w:rFonts w:ascii="Times New Roman" w:hAnsi="Times New Roman"/>
          <w:b w:val="false"/>
          <w:i/>
          <w:color w:val="000000"/>
          <w:sz w:val="22"/>
        </w:rPr>
        <w:t xml:space="preserve"> n</w:t>
      </w:r>
      <w:r>
        <w:rPr>
          <w:rFonts w:ascii="Times New Roman" w:hAnsi="Times New Roman"/>
          <w:b w:val="false"/>
          <w:i w:val="false"/>
          <w:color w:val="000000"/>
          <w:sz w:val="22"/>
        </w:rPr>
        <w:t xml:space="preserve"> year policy providing term insurance plus a pure endowment equal to the unusual cash surrender value, where </w:t>
      </w:r>
      <w:r>
        <w:rPr>
          <w:rFonts w:ascii="Times New Roman" w:hAnsi="Times New Roman"/>
          <w:b w:val="false"/>
          <w:i/>
          <w:color w:val="000000"/>
          <w:sz w:val="22"/>
        </w:rPr>
        <w:t>n</w:t>
      </w:r>
      <w:r>
        <w:rPr>
          <w:rFonts w:ascii="Times New Roman" w:hAnsi="Times New Roman"/>
          <w:b w:val="false"/>
          <w:i w:val="false"/>
          <w:color w:val="000000"/>
          <w:sz w:val="22"/>
        </w:rPr>
        <w:t xml:space="preserve"> is the number of years from the date of issue to the date the unusual cash surrender value is scheduled.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reserves actually held subsequent to any unusual guaranteed cash surrender value shall not be less than the reserves calculated by treating the policy as an </w:t>
      </w:r>
      <w:r>
        <w:rPr>
          <w:rFonts w:ascii="Times New Roman" w:hAnsi="Times New Roman"/>
          <w:b w:val="false"/>
          <w:i/>
          <w:color w:val="000000"/>
          <w:sz w:val="22"/>
        </w:rPr>
        <w:t>n</w:t>
      </w:r>
      <w:r>
        <w:rPr>
          <w:rFonts w:ascii="Times New Roman" w:hAnsi="Times New Roman"/>
          <w:b w:val="false"/>
          <w:i w:val="false"/>
          <w:color w:val="000000"/>
          <w:sz w:val="22"/>
        </w:rPr>
        <w:t xml:space="preserve"> year policy providing term insurance plus a pure endowment equal to the next unusual guaranteed cash surrender value, and treating any unusual guaranteed cash surrender value at the end of the prior segment as a net single premium,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xml:space="preserve"> is the number of years from the date of the last unusual guaranteed cash surrender value prior to the valuation date to the earlier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of the next unusual guaranteed cash surrender value, if any, that is scheduled after the valuation date;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mandatory expiration date of the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premium for a given year during the </w:t>
      </w:r>
      <w:r>
        <w:rPr>
          <w:rFonts w:ascii="Times New Roman" w:hAnsi="Times New Roman"/>
          <w:b w:val="false"/>
          <w:i/>
          <w:color w:val="000000"/>
          <w:sz w:val="22"/>
        </w:rPr>
        <w:t>n</w:t>
      </w:r>
      <w:r>
        <w:rPr>
          <w:rFonts w:ascii="Times New Roman" w:hAnsi="Times New Roman"/>
          <w:b w:val="false"/>
          <w:i w:val="false"/>
          <w:color w:val="000000"/>
          <w:sz w:val="22"/>
        </w:rPr>
        <w:t xml:space="preserve"> year period is equal to the product of the net to gross ratio and the respective gross premium;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net to gross ratio is equal to “1” divided by “2” below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present value, at the beginning of the </w:t>
      </w:r>
      <w:r>
        <w:rPr>
          <w:rFonts w:ascii="Times New Roman" w:hAnsi="Times New Roman"/>
          <w:b w:val="false"/>
          <w:i/>
          <w:color w:val="000000"/>
          <w:sz w:val="22"/>
        </w:rPr>
        <w:t xml:space="preserve">n </w:t>
      </w:r>
      <w:r>
        <w:rPr>
          <w:rFonts w:ascii="Times New Roman" w:hAnsi="Times New Roman"/>
          <w:b w:val="false"/>
          <w:i w:val="false"/>
          <w:color w:val="000000"/>
          <w:sz w:val="22"/>
        </w:rPr>
        <w:t xml:space="preserve">year period, of death benefits payable during the </w:t>
      </w:r>
      <w:r>
        <w:rPr>
          <w:rFonts w:ascii="Times New Roman" w:hAnsi="Times New Roman"/>
          <w:b w:val="false"/>
          <w:i/>
          <w:color w:val="000000"/>
          <w:sz w:val="22"/>
        </w:rPr>
        <w:t>n</w:t>
      </w:r>
      <w:r>
        <w:rPr>
          <w:rFonts w:ascii="Times New Roman" w:hAnsi="Times New Roman"/>
          <w:b w:val="false"/>
          <w:i w:val="false"/>
          <w:color w:val="000000"/>
          <w:sz w:val="22"/>
        </w:rPr>
        <w:t xml:space="preserve"> year period plus the present value, at the beginning of the </w:t>
      </w:r>
      <w:r>
        <w:rPr>
          <w:rFonts w:ascii="Times New Roman" w:hAnsi="Times New Roman"/>
          <w:b w:val="false"/>
          <w:i/>
          <w:color w:val="000000"/>
          <w:sz w:val="22"/>
        </w:rPr>
        <w:t>n</w:t>
      </w:r>
      <w:r>
        <w:rPr>
          <w:rFonts w:ascii="Times New Roman" w:hAnsi="Times New Roman"/>
          <w:b w:val="false"/>
          <w:i w:val="false"/>
          <w:color w:val="000000"/>
          <w:sz w:val="22"/>
        </w:rPr>
        <w:t xml:space="preserve"> year period, of the next unusual guaranteed cash surrender value, if any, minus the amount of the last unusual guaranteed cash surrender value, if any, scheduled at the beginning of the </w:t>
      </w:r>
      <w:r>
        <w:rPr>
          <w:rFonts w:ascii="Times New Roman" w:hAnsi="Times New Roman"/>
          <w:b w:val="false"/>
          <w:i/>
          <w:color w:val="000000"/>
          <w:sz w:val="22"/>
        </w:rPr>
        <w:t>n</w:t>
      </w:r>
      <w:r>
        <w:rPr>
          <w:rFonts w:ascii="Times New Roman" w:hAnsi="Times New Roman"/>
          <w:b w:val="false"/>
          <w:i w:val="false"/>
          <w:color w:val="000000"/>
          <w:sz w:val="22"/>
        </w:rPr>
        <w:t xml:space="preserve"> year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present value, at the beginning of the </w:t>
      </w:r>
      <w:r>
        <w:rPr>
          <w:rFonts w:ascii="Times New Roman" w:hAnsi="Times New Roman"/>
          <w:b w:val="false"/>
          <w:i/>
          <w:color w:val="000000"/>
          <w:sz w:val="22"/>
        </w:rPr>
        <w:t>n</w:t>
      </w:r>
      <w:r>
        <w:rPr>
          <w:rFonts w:ascii="Times New Roman" w:hAnsi="Times New Roman"/>
          <w:b w:val="false"/>
          <w:i w:val="false"/>
          <w:color w:val="000000"/>
          <w:sz w:val="22"/>
        </w:rPr>
        <w:t xml:space="preserve"> year period, of the scheduled gross premiums payable during the </w:t>
      </w:r>
      <w:r>
        <w:rPr>
          <w:rFonts w:ascii="Times New Roman" w:hAnsi="Times New Roman"/>
          <w:b w:val="false"/>
          <w:i/>
          <w:color w:val="000000"/>
          <w:sz w:val="22"/>
        </w:rPr>
        <w:t>n</w:t>
      </w:r>
      <w:r>
        <w:rPr>
          <w:rFonts w:ascii="Times New Roman" w:hAnsi="Times New Roman"/>
          <w:b w:val="false"/>
          <w:i w:val="false"/>
          <w:color w:val="000000"/>
          <w:sz w:val="22"/>
        </w:rPr>
        <w:t xml:space="preserve"> 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policy is considered to have an unusual pattern of guaranteed cash surrender values if any future guaranteed cash surrender value exceeds the prior year’s guaranteed cash surrender value by more than the sum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ten percent of the scheduled gross premium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hundred ten percent of one year’s accrued interest on the sum of the prior year’s guaranteed cash surrender value and the scheduled gross premium using the nonforfeiture interest rate used for calculating policy guaranteed cash surrender values;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Five percent of the first policy year surrender charge,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w:t>
      </w:r>
      <w:r>
        <w:rPr>
          <w:rFonts w:ascii="Times New Roman" w:hAnsi="Times New Roman"/>
          <w:b w:val="false"/>
          <w:i w:val="false"/>
          <w:color w:val="000000"/>
          <w:sz w:val="22"/>
        </w:rPr>
        <w:t> </w:t>
      </w:r>
      <w:r>
        <w:rPr>
          <w:rFonts w:ascii="Times New Roman" w:hAnsi="Times New Roman"/>
          <w:b w:val="false"/>
          <w:i/>
          <w:color w:val="000000"/>
          <w:sz w:val="22"/>
        </w:rPr>
        <w:t xml:space="preserve">Optional exemption for yearly renewable term (YRT) reinsurance. </w:t>
      </w:r>
      <w:r>
        <w:rPr>
          <w:rFonts w:ascii="Times New Roman" w:hAnsi="Times New Roman"/>
          <w:b w:val="false"/>
          <w:i w:val="false"/>
          <w:color w:val="000000"/>
          <w:sz w:val="22"/>
        </w:rPr>
        <w:t>At the option of the company, the following approach for reserves on YRT reinsurance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Calculate the valuation net premium for each future policy year as the tabular cost of insurance for that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reserves shall never be less than the tabular cost of insurance for the appropriate period, as defined in subrule </w:t>
      </w:r>
      <w:hyperlink r:id="rId29">
        <w:r>
          <w:rPr>
            <w:rStyle w:val="Hyperlink"/>
            <w:rFonts w:ascii="Times New Roman" w:hAnsi="Times New Roman"/>
            <w:b w:val="false"/>
            <w:i w:val="false"/>
            <w:color w:val="000000"/>
            <w:sz w:val="22"/>
          </w:rPr>
          <w:t>47.5(3)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Deficiency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policy year, calculate the excess, if greater than zero, of the valuation net premium over the respective maximum guaranteed gross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Deficiency reserves shall never be less than the sum of the present values, at the date of valuation, of the excesses determined in accordance with subparagraph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calculations use the maximum valuation interest rate and the 1980 CSO mortality tables with or without ten-year select mortality factors, or any other table adopted after January 1, 2000, by the NAIC and promulgated by rule by the commissioner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reinsurance agreement shall be considered YRT reinsurance for purposes of this subrule if only the mortality risk is reinsured.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assuming company chooses this optional exemption, the ceding company’s reinsurance reserve credit shall be limited to the amount of reserve held by the assuming company for the affected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w:t>
      </w:r>
      <w:r>
        <w:rPr>
          <w:rFonts w:ascii="Times New Roman" w:hAnsi="Times New Roman"/>
          <w:b w:val="false"/>
          <w:i w:val="false"/>
          <w:color w:val="000000"/>
          <w:sz w:val="22"/>
        </w:rPr>
        <w:t> </w:t>
      </w:r>
      <w:r>
        <w:rPr>
          <w:rFonts w:ascii="Times New Roman" w:hAnsi="Times New Roman"/>
          <w:b w:val="false"/>
          <w:i/>
          <w:color w:val="000000"/>
          <w:sz w:val="22"/>
        </w:rPr>
        <w:t xml:space="preserve">Optional exemption for attained-age-based yearly renewable term (YRT) life insurance policies. </w:t>
      </w:r>
      <w:r>
        <w:rPr>
          <w:rFonts w:ascii="Times New Roman" w:hAnsi="Times New Roman"/>
          <w:b w:val="false"/>
          <w:i w:val="false"/>
          <w:color w:val="000000"/>
          <w:sz w:val="22"/>
        </w:rPr>
        <w:t>At the option of the company, the following approach for reserves for attained-age-based YRT life insurance policies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Calculate the valuation net premium for each future policy year as the tabular cost of insurance for that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reserves shall never be less than the tabular cost of insurance for the appropriate period, as defined in subrule </w:t>
      </w:r>
      <w:hyperlink r:id="rId30">
        <w:r>
          <w:rPr>
            <w:rStyle w:val="Hyperlink"/>
            <w:rFonts w:ascii="Times New Roman" w:hAnsi="Times New Roman"/>
            <w:b w:val="false"/>
            <w:i w:val="false"/>
            <w:color w:val="000000"/>
            <w:sz w:val="22"/>
          </w:rPr>
          <w:t>47.5(3)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Deficiency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policy year, calculate the excess, if greater than zero, of the valuation net premium over the respective maximum guaranteed gross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Deficiency reserves shall never be less than the sum of the present values, at the date of valuation, of the excesses determined in accordance with subparagraph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calculations use the maximum valuation interest rate and the 1980 CSO valuation tables with or without ten-year select mortality factors, or any other table adopted after January 1, 2000, by the NAIC and promulgated by rule by the commissioner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policy shall be considered an attained-age-based YRT life insurance policy for purposes of this subrule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premium rates (on both the initial current premium scale and the guaranteed maximum premium scale) are based upon the attained age of the insured such that the rate for any given policy at a given attained age of the insured is independent of the year the policy was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premium rates (on both the initial current premium scale and the guaranteed maximum premium scale) are the same as the premium rates for policies covering all insureds of the same sex, risk class, plan of insurance and attained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policies that become attained-age-based YRT policies after an initial period of coverage, the approach of this subrule may be used after the initial period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initial period is constant for all insureds of the same sex, risk class and plan of insurance;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initial period runs to a common attained age for all insureds of the same sex, risk class and plan of insurance;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initial period of coverage, the policy meets the conditions of paragraph </w:t>
      </w:r>
      <w:r>
        <w:rPr>
          <w:rFonts w:ascii="Times New Roman" w:hAnsi="Times New Roman"/>
          <w:b w:val="false"/>
          <w:i/>
          <w:color w:val="000000"/>
          <w:sz w:val="22"/>
        </w:rPr>
        <w:t>“e”</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this election is made, this approach shall be applied in determining reserves for all attained-age-based YRT life insurance policies issued on or after January 1,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47.5(7)</w:t>
      </w:r>
      <w:r>
        <w:rPr>
          <w:rFonts w:ascii="Times New Roman" w:hAnsi="Times New Roman"/>
          <w:b w:val="false"/>
          <w:i w:val="false"/>
          <w:color w:val="000000"/>
          <w:sz w:val="22"/>
        </w:rPr>
        <w:t> </w:t>
      </w:r>
      <w:r>
        <w:rPr>
          <w:rFonts w:ascii="Times New Roman" w:hAnsi="Times New Roman"/>
          <w:b w:val="false"/>
          <w:i/>
          <w:color w:val="000000"/>
          <w:sz w:val="22"/>
        </w:rPr>
        <w:t xml:space="preserve">Exemption from unitary reserves for certain n year renewable term life insurance polices. </w:t>
      </w:r>
      <w:r>
        <w:rPr>
          <w:rFonts w:ascii="Times New Roman" w:hAnsi="Times New Roman"/>
          <w:b w:val="false"/>
          <w:i w:val="false"/>
          <w:color w:val="000000"/>
          <w:sz w:val="22"/>
        </w:rPr>
        <w:t>Unitary basic reserves and unitary deficiency reserves need not be calculated for a policy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consists of a series of </w:t>
      </w:r>
      <w:r>
        <w:rPr>
          <w:rFonts w:ascii="Times New Roman" w:hAnsi="Times New Roman"/>
          <w:b w:val="false"/>
          <w:i/>
          <w:color w:val="000000"/>
          <w:sz w:val="22"/>
        </w:rPr>
        <w:t>n</w:t>
      </w:r>
      <w:r>
        <w:rPr>
          <w:rFonts w:ascii="Times New Roman" w:hAnsi="Times New Roman"/>
          <w:b w:val="false"/>
          <w:i w:val="false"/>
          <w:color w:val="000000"/>
          <w:sz w:val="22"/>
        </w:rPr>
        <w:t xml:space="preserve"> year periods, including the first period and all renewal periods, where </w:t>
      </w:r>
      <w:r>
        <w:rPr>
          <w:rFonts w:ascii="Times New Roman" w:hAnsi="Times New Roman"/>
          <w:b w:val="false"/>
          <w:i/>
          <w:color w:val="000000"/>
          <w:sz w:val="22"/>
        </w:rPr>
        <w:t>n</w:t>
      </w:r>
      <w:r>
        <w:rPr>
          <w:rFonts w:ascii="Times New Roman" w:hAnsi="Times New Roman"/>
          <w:b w:val="false"/>
          <w:i w:val="false"/>
          <w:color w:val="000000"/>
          <w:sz w:val="22"/>
        </w:rPr>
        <w:t xml:space="preserve"> is the same for each period, except that for the final renewal period, </w:t>
      </w:r>
      <w:r>
        <w:rPr>
          <w:rFonts w:ascii="Times New Roman" w:hAnsi="Times New Roman"/>
          <w:b w:val="false"/>
          <w:i/>
          <w:color w:val="000000"/>
          <w:sz w:val="22"/>
        </w:rPr>
        <w:t>n</w:t>
      </w:r>
      <w:r>
        <w:rPr>
          <w:rFonts w:ascii="Times New Roman" w:hAnsi="Times New Roman"/>
          <w:b w:val="false"/>
          <w:i w:val="false"/>
          <w:color w:val="000000"/>
          <w:sz w:val="22"/>
        </w:rPr>
        <w:t xml:space="preserve"> may be truncated or extended to reach the expiry age, provided that this final renewal period is less than ten years and less than twice the size of the earlier </w:t>
      </w:r>
      <w:r>
        <w:rPr>
          <w:rFonts w:ascii="Times New Roman" w:hAnsi="Times New Roman"/>
          <w:b w:val="false"/>
          <w:i/>
          <w:color w:val="000000"/>
          <w:sz w:val="22"/>
        </w:rPr>
        <w:t>n</w:t>
      </w:r>
      <w:r>
        <w:rPr>
          <w:rFonts w:ascii="Times New Roman" w:hAnsi="Times New Roman"/>
          <w:b w:val="false"/>
          <w:i w:val="false"/>
          <w:color w:val="000000"/>
          <w:sz w:val="22"/>
        </w:rPr>
        <w:t xml:space="preserve"> year periods, and for each period, the premium rates on both the initial current premium scale and the guaranteed maximum premium scale are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guaranteed gross premiums in all </w:t>
      </w:r>
      <w:r>
        <w:rPr>
          <w:rFonts w:ascii="Times New Roman" w:hAnsi="Times New Roman"/>
          <w:b w:val="false"/>
          <w:i/>
          <w:color w:val="000000"/>
          <w:sz w:val="22"/>
        </w:rPr>
        <w:t>n</w:t>
      </w:r>
      <w:r>
        <w:rPr>
          <w:rFonts w:ascii="Times New Roman" w:hAnsi="Times New Roman"/>
          <w:b w:val="false"/>
          <w:i w:val="false"/>
          <w:color w:val="000000"/>
          <w:sz w:val="22"/>
        </w:rPr>
        <w:t xml:space="preserve"> year periods are not less than the corresponding net premiums based upon the 1980 CSO Table with or without the ten-year select mortality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cash surrender values in any policy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w:t>
      </w:r>
      <w:r>
        <w:rPr>
          <w:rFonts w:ascii="Times New Roman" w:hAnsi="Times New Roman"/>
          <w:b w:val="false"/>
          <w:i w:val="false"/>
          <w:color w:val="000000"/>
          <w:sz w:val="22"/>
        </w:rPr>
        <w:t> </w:t>
      </w:r>
      <w:r>
        <w:rPr>
          <w:rFonts w:ascii="Times New Roman" w:hAnsi="Times New Roman"/>
          <w:b w:val="false"/>
          <w:i/>
          <w:color w:val="000000"/>
          <w:sz w:val="22"/>
        </w:rPr>
        <w:t xml:space="preserve">Exemption from unitary reserves for certain juvenile policies. </w:t>
      </w:r>
      <w:r>
        <w:rPr>
          <w:rFonts w:ascii="Times New Roman" w:hAnsi="Times New Roman"/>
          <w:b w:val="false"/>
          <w:i w:val="false"/>
          <w:color w:val="000000"/>
          <w:sz w:val="22"/>
        </w:rPr>
        <w:t>Unitary basic reserves and unitary deficiency reserves need not be calculated for a policy if the following conditions are met, based upon the initial current premium scale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issue, the insured is aged 24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Until the insured reaches the end of the juvenile period, which shall occur at or before the age of 25, the gross premiums and death benefits are level, and there are no cash surrender values;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the end of the juvenile period, gross premiums are level for the remainder of the premium paying period, and death benefits are level for the remainder of the life of the policy.</w:t>
      </w:r>
    </w:p>
    <w:p>
      <w:pPr>
        <w:spacing w:before="0" w:after="0"/>
        <w:ind w:left="120"/>
        <w:jc w:val="both"/>
      </w:pPr>
      <w:r>
        <w:rPr>
          <w:rFonts w:ascii="Times New Roman" w:hAnsi="Times New Roman"/>
          <w:b/>
          <w:i w:val="false"/>
          <w:color w:val="000000"/>
          <w:sz w:val="22"/>
        </w:rPr>
        <w:t>191—47.6</w:t>
      </w:r>
      <w:r>
        <w:rPr>
          <w:rFonts w:ascii="Times New Roman" w:hAnsi="Times New Roman"/>
          <w:b/>
          <w:i w:val="false"/>
          <w:color w:val="000000"/>
          <w:sz w:val="22"/>
        </w:rPr>
        <w:t xml:space="preserve">(508) </w:t>
      </w:r>
      <w:r>
        <w:rPr>
          <w:rFonts w:ascii="Times New Roman" w:hAnsi="Times New Roman"/>
          <w:b/>
          <w:i w:val="false"/>
          <w:color w:val="000000"/>
          <w:sz w:val="22"/>
        </w:rPr>
        <w:t xml:space="preserve">Calculation of minimum valuation standard for flexible premium and fixed premium universal life insurance policies that contain provisions resulting in the ability of a policyowner to keep a policy in force over a secondary guarantee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with a secondary guarantee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policy with a guarantee that the policy will remain in force at the original schedule of benefits, subject only to the payment of specified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policy in which the minimum premium at any duration is less than the corresponding one-year valuation premium, calculated using the maximum valuation interest rate and the 1980 CSO valuation tables with or without ten-year select mortality factors, or any other table adopted after January 1, 2000, by the NAIC and promulgated by rule by the commissioner for this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policy with any combination of subparagraphs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secondary guarantee period is the period for which the policy is guaranteed to remain in force subject only to a secondary guarantee. When a policy contains more than one secondary guarantee, the minimum reserve shall be the greatest of the respective minimum reserves at that valuation date of each unexpired secondary guarantee, ignoring all other secondary guarantees. Secondary guarantees that are unilaterally changed by the insurer after issue shall be considered to have been made at issue. Reserves described in subrules </w:t>
      </w:r>
      <w:hyperlink r:id="rId31">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shall be recalculated from issue to reflect these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Specified premiums mean the premiums specified in the policy, the payment of which guarantees that the policy will remain in force at the original schedule of benefits, but which otherwise would be insufficient to keep the policy in force in the absence of the guarantee if maximum mortality and expense charges and minimum interest credits were made and any applicable surrender charges were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minimum premium for any policy year is the premium that, when paid into a policy with a zero account value at the beginning of the policy year, produces a zero account value at the end of the policy year. The minimum premium calculation shall use the policy cost factors (including mortality charges, loads and expense charges) and the interest crediting rate, which are all guaranteed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one-year valuation premium means the net one-year premium based upon the original schedule of benefits for a given policy year. The one-year valuation premiums for all policy years are calculated at issue. The select mortality factors defined in paragraphs </w:t>
      </w:r>
      <w:hyperlink r:id="rId33">
        <w:r>
          <w:rPr>
            <w:rStyle w:val="Hyperlink"/>
            <w:rFonts w:ascii="Times New Roman" w:hAnsi="Times New Roman"/>
            <w:b w:val="false"/>
            <w:i w:val="false"/>
            <w:color w:val="000000"/>
            <w:sz w:val="22"/>
          </w:rPr>
          <w:t>47.4(2)</w:t>
        </w:r>
      </w:hyperlink>
      <w:r>
        <w:rPr>
          <w:rFonts w:ascii="Times New Roman" w:hAnsi="Times New Roman"/>
          <w:b w:val="false"/>
          <w:i/>
          <w:color w:val="000000"/>
          <w:sz w:val="22"/>
        </w:rPr>
        <w:t>“b,”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may not be used to calculate the one-year valuation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one-year valuation premium should reflect the frequency of fund processing, as well as the distribution of deaths assumption employed in the calculation of the monthly mortality charges to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47.6(2)</w:t>
      </w:r>
      <w:r>
        <w:rPr>
          <w:rFonts w:ascii="Times New Roman" w:hAnsi="Times New Roman"/>
          <w:b w:val="false"/>
          <w:i w:val="false"/>
          <w:color w:val="000000"/>
          <w:sz w:val="22"/>
        </w:rPr>
        <w:t> </w:t>
      </w:r>
      <w:r>
        <w:rPr>
          <w:rFonts w:ascii="Times New Roman" w:hAnsi="Times New Roman"/>
          <w:b w:val="false"/>
          <w:i/>
          <w:color w:val="000000"/>
          <w:sz w:val="22"/>
        </w:rPr>
        <w:t xml:space="preserve">Basic reserves for the secondary guarantees. </w:t>
      </w:r>
      <w:r>
        <w:rPr>
          <w:rFonts w:ascii="Times New Roman" w:hAnsi="Times New Roman"/>
          <w:b w:val="false"/>
          <w:i w:val="false"/>
          <w:color w:val="000000"/>
          <w:sz w:val="22"/>
        </w:rPr>
        <w:t xml:space="preserve">Basic reserves for the secondary guarantees shall be the segmented reserves for the secondary guarantee period. In calculating the segments and the segmented reserves, the gross premiums shall be set equal to the specified premiums, if any, or otherwise to the minimum premiums, that keep the policy in force, and the segments will be determined according to the contract segmentation method as defined in </w:t>
      </w:r>
      <w:hyperlink r:id="rId34">
        <w:r>
          <w:rPr>
            <w:rStyle w:val="Hyperlink"/>
            <w:rFonts w:ascii="Times New Roman" w:hAnsi="Times New Roman"/>
            <w:b w:val="false"/>
            <w:i w:val="false"/>
            <w:color w:val="000000"/>
            <w:sz w:val="22"/>
          </w:rPr>
          <w:t>rule 47.3(508)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47.6(3)</w:t>
      </w:r>
      <w:r>
        <w:rPr>
          <w:rFonts w:ascii="Times New Roman" w:hAnsi="Times New Roman"/>
          <w:b w:val="false"/>
          <w:i w:val="false"/>
          <w:color w:val="000000"/>
          <w:sz w:val="22"/>
        </w:rPr>
        <w:t> </w:t>
      </w:r>
      <w:r>
        <w:rPr>
          <w:rFonts w:ascii="Times New Roman" w:hAnsi="Times New Roman"/>
          <w:b w:val="false"/>
          <w:i/>
          <w:color w:val="000000"/>
          <w:sz w:val="22"/>
        </w:rPr>
        <w:t xml:space="preserve">Deficiency reserves for the secondary guarantees. </w:t>
      </w:r>
      <w:r>
        <w:rPr>
          <w:rFonts w:ascii="Times New Roman" w:hAnsi="Times New Roman"/>
          <w:b w:val="false"/>
          <w:i w:val="false"/>
          <w:color w:val="000000"/>
          <w:sz w:val="22"/>
        </w:rPr>
        <w:t xml:space="preserve">Deficiency reserves, if any, for the secondary guarantees shall be calculated for the secondary guarantee period in the same manner as described in subrule </w:t>
      </w:r>
      <w:hyperlink r:id="rId35">
        <w:r>
          <w:rPr>
            <w:rStyle w:val="Hyperlink"/>
            <w:rFonts w:ascii="Times New Roman" w:hAnsi="Times New Roman"/>
            <w:b w:val="false"/>
            <w:i w:val="false"/>
            <w:color w:val="000000"/>
            <w:sz w:val="22"/>
          </w:rPr>
          <w:t>47.5(2)</w:t>
        </w:r>
      </w:hyperlink>
      <w:r>
        <w:rPr>
          <w:rFonts w:ascii="Times New Roman" w:hAnsi="Times New Roman"/>
          <w:b w:val="false"/>
          <w:i w:val="false"/>
          <w:color w:val="000000"/>
          <w:sz w:val="22"/>
        </w:rPr>
        <w:t xml:space="preserve"> with gross premiums set equal to the specified premiums, if any, or otherwise to the minimum premiums that keep the policy in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47.6(4)</w:t>
      </w:r>
      <w:r>
        <w:rPr>
          <w:rFonts w:ascii="Times New Roman" w:hAnsi="Times New Roman"/>
          <w:b w:val="false"/>
          <w:i w:val="false"/>
          <w:color w:val="000000"/>
          <w:sz w:val="22"/>
        </w:rPr>
        <w:t> </w:t>
      </w:r>
      <w:r>
        <w:rPr>
          <w:rFonts w:ascii="Times New Roman" w:hAnsi="Times New Roman"/>
          <w:b w:val="false"/>
          <w:i/>
          <w:color w:val="000000"/>
          <w:sz w:val="22"/>
        </w:rPr>
        <w:t xml:space="preserve">Minimum reserves. </w:t>
      </w:r>
      <w:r>
        <w:rPr>
          <w:rFonts w:ascii="Times New Roman" w:hAnsi="Times New Roman"/>
          <w:b w:val="false"/>
          <w:i w:val="false"/>
          <w:color w:val="000000"/>
          <w:sz w:val="22"/>
        </w:rPr>
        <w:t>The minimum reserves during the secondary guarantee period are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reserves for the secondary guarantee plus the deficiency reserve, if any, for the secondary guarantees;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reserves required by other rules or rules governing universal life plans.</w:t>
      </w:r>
    </w:p>
    <w:p>
      <w:pPr>
        <w:spacing w:before="210" w:after="0"/>
        <w:ind w:left="120"/>
        <w:jc w:val="both"/>
      </w:pPr>
      <w:r>
        <w:rPr>
          <w:rFonts w:ascii="Times New Roman" w:hAnsi="Times New Roman"/>
          <w:b/>
          <w:i w:val="false"/>
          <w:color w:val="000000"/>
          <w:sz w:val="22"/>
        </w:rPr>
        <w:t>191—47.7</w:t>
      </w:r>
      <w:r>
        <w:rPr>
          <w:rFonts w:ascii="Times New Roman" w:hAnsi="Times New Roman"/>
          <w:b/>
          <w:i w:val="false"/>
          <w:color w:val="000000"/>
          <w:sz w:val="22"/>
        </w:rPr>
        <w:t xml:space="preserve">(508) </w:t>
      </w:r>
      <w:r>
        <w:rPr>
          <w:rFonts w:ascii="Times New Roman" w:hAnsi="Times New Roman"/>
          <w:b/>
          <w:i w:val="false"/>
          <w:color w:val="000000"/>
          <w:sz w:val="22"/>
        </w:rPr>
        <w:t xml:space="preserve">2001 CSO Mortality Table. </w:t>
      </w:r>
      <w:r>
        <w:rPr>
          <w:rFonts w:ascii="Times New Roman" w:hAnsi="Times New Roman"/>
          <w:b w:val="false"/>
          <w:i w:val="false"/>
          <w:color w:val="000000"/>
          <w:sz w:val="22"/>
        </w:rPr>
        <w:t xml:space="preserve">The 2001 CSO Mortality Table shall be used for purposes of this chapter pursuant to the requirements of </w:t>
      </w:r>
      <w:hyperlink r:id="rId36">
        <w:r>
          <w:rPr>
            <w:rStyle w:val="Hyperlink"/>
            <w:rFonts w:ascii="Times New Roman" w:hAnsi="Times New Roman"/>
            <w:b w:val="false"/>
            <w:i w:val="false"/>
            <w:color w:val="000000"/>
            <w:sz w:val="22"/>
          </w:rPr>
          <w:t>191—Chapter 91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7">
        <w:r>
          <w:rPr>
            <w:rStyle w:val="Hyperlink"/>
            <w:rFonts w:ascii="Times New Roman" w:hAnsi="Times New Roman"/>
            <w:b w:val="false"/>
            <w:i w:val="false"/>
            <w:color w:val="000000"/>
            <w:sz w:val="22"/>
          </w:rPr>
          <w:t>508.36(6)</w:t>
        </w:r>
      </w:hyperlink>
      <w:r>
        <w:rPr>
          <w:rFonts w:ascii="Times New Roman" w:hAnsi="Times New Roman"/>
          <w:b w:val="false"/>
          <w:i/>
          <w:color w:val="000000"/>
          <w:sz w:val="22"/>
        </w:rPr>
        <w:t>“c.”</w:t>
      </w:r>
    </w:p>
    <w:p>
      <w:pPr>
        <w:spacing w:before="0" w:after="0"/>
        <w:ind w:left="120"/>
        <w:jc w:val="center"/>
      </w:pPr>
      <w:r>
        <w:rPr>
          <w:rFonts w:ascii="Times New Roman" w:hAnsi="Times New Roman"/>
          <w:b w:val="false"/>
          <w:i w:val="false"/>
          <w:color w:val="000000"/>
          <w:sz w:val="21"/>
        </w:rPr>
        <w:t>[Filed 12/23/99, Notice 9/8/99—published 1/12/00, effective 2/16/00]</w:t>
      </w:r>
    </w:p>
    <w:p>
      <w:pPr>
        <w:spacing w:before="0" w:after="0"/>
        <w:ind w:left="120"/>
        <w:jc w:val="center"/>
      </w:pPr>
      <w:r>
        <w:rPr>
          <w:rFonts w:ascii="Times New Roman" w:hAnsi="Times New Roman"/>
          <w:b w:val="false"/>
          <w:i w:val="false"/>
          <w:color w:val="000000"/>
          <w:sz w:val="21"/>
        </w:rPr>
        <w:t>[Filed emergency 12/4/03 after Notice 10/1/03—published 12/24/03, effective 1/1/04]</w:t>
      </w:r>
    </w:p>
    <w:p>
      <w:pPr>
        <w:spacing w:before="0" w:after="0"/>
        <w:ind w:left="120"/>
        <w:jc w:val="center"/>
      </w:pPr>
      <w:r>
        <w:rPr>
          <w:rFonts w:ascii="Times New Roman" w:hAnsi="Times New Roman"/>
          <w:b w:val="false"/>
          <w:i w:val="false"/>
          <w:color w:val="000000"/>
          <w:sz w:val="21"/>
        </w:rPr>
        <w:t>[Filed ARC 9181B</w:t>
      </w:r>
      <w:r>
        <w:rPr>
          <w:rFonts w:ascii="Times New Roman" w:hAnsi="Times New Roman"/>
          <w:b w:val="false"/>
          <w:i w:val="false"/>
          <w:color w:val="000000"/>
          <w:sz w:val="21"/>
        </w:rPr>
        <w:t xml:space="preserve"> (Notice ARC 9059B, IAB 9/8/10)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2"/>
        </w:rPr>
        <w:t>Appendix</w:t>
      </w:r>
    </w:p>
    <w:p>
      <w:pPr>
        <w:spacing w:before="0" w:after="0"/>
        <w:ind w:left="120"/>
        <w:jc w:val="center"/>
      </w:pPr>
      <w:r>
        <w:rPr>
          <w:rFonts w:ascii="Times New Roman" w:hAnsi="Times New Roman"/>
          <w:b w:val="false"/>
          <w:i w:val="false"/>
          <w:color w:val="000000"/>
          <w:sz w:val="22"/>
        </w:rPr>
        <w:t>SELECT MORTALITY FACTORS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This appendix contains tables of select mortality factors that are the bases to which the respective percentage of paragraphs </w:t>
      </w:r>
      <w:hyperlink r:id="rId38">
        <w:r>
          <w:rPr>
            <w:rStyle w:val="Hyperlink"/>
            <w:rFonts w:ascii="Times New Roman" w:hAnsi="Times New Roman"/>
            <w:b w:val="false"/>
            <w:i w:val="false"/>
            <w:color w:val="000000"/>
            <w:sz w:val="22"/>
          </w:rPr>
          <w:t>47.4(1)</w:t>
        </w:r>
      </w:hyperlink>
      <w:r>
        <w:rPr>
          <w:rFonts w:ascii="Times New Roman" w:hAnsi="Times New Roman"/>
          <w:b w:val="false"/>
          <w:i/>
          <w:color w:val="000000"/>
          <w:sz w:val="22"/>
        </w:rPr>
        <w:t xml:space="preserve">“b,” </w:t>
      </w:r>
      <w:hyperlink r:id="rId39">
        <w:r>
          <w:rPr>
            <w:rStyle w:val="Hyperlink"/>
            <w:rFonts w:ascii="Times New Roman" w:hAnsi="Times New Roman"/>
            <w:b w:val="false"/>
            <w:i w:val="false"/>
            <w:color w:val="000000"/>
            <w:sz w:val="22"/>
          </w:rPr>
          <w:t>47.4(2)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47.4(2)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applied.</w:t>
      </w:r>
    </w:p>
    <w:p>
      <w:pPr>
        <w:spacing w:before="0" w:after="0"/>
        <w:ind w:left="120"/>
        <w:jc w:val="both"/>
      </w:pPr>
      <w:r>
        <w:rPr>
          <w:rFonts w:ascii="Times New Roman" w:hAnsi="Times New Roman"/>
          <w:b w:val="false"/>
          <w:i w:val="false"/>
          <w:color w:val="000000"/>
          <w:sz w:val="22"/>
        </w:rPr>
        <w:t>The six tables of select mortality factors contained herein include: (1) male aggregate, (2) male non-smoker, (3) male smoker, (4) female aggregate, (5) female non-smoker, and (6) female smoker.</w:t>
      </w:r>
    </w:p>
    <w:p>
      <w:pPr>
        <w:spacing w:before="0" w:after="0"/>
        <w:ind w:left="120"/>
        <w:jc w:val="both"/>
      </w:pPr>
      <w:r>
        <w:rPr>
          <w:rFonts w:ascii="Times New Roman" w:hAnsi="Times New Roman"/>
          <w:b w:val="false"/>
          <w:i w:val="false"/>
          <w:color w:val="000000"/>
          <w:sz w:val="22"/>
        </w:rPr>
        <w:t>These tables apply to both age last birthday and age nearest birthday mortality tables.</w:t>
      </w:r>
    </w:p>
    <w:p>
      <w:pPr>
        <w:spacing w:before="0" w:after="0"/>
        <w:ind w:left="120"/>
        <w:jc w:val="both"/>
      </w:pPr>
      <w:r>
        <w:rPr>
          <w:rFonts w:ascii="Times New Roman" w:hAnsi="Times New Roman"/>
          <w:b w:val="false"/>
          <w:i w:val="false"/>
          <w:color w:val="000000"/>
          <w:sz w:val="22"/>
        </w:rPr>
        <w:t>For sex-blended mortality tables, compute select mortality factors in the same proportion as the underlying mortality. For example, for the 1980 CSO-B Table, the calculated select mortality factors are 80 percent of the appropriate male table in this Appendix, plus 20 percent of the appropriate female table in this Appendix.</w:t>
      </w:r>
    </w:p>
    <w:p>
      <w:pPr>
        <w:spacing w:before="60" w:after="0"/>
        <w:ind w:left="120"/>
        <w:jc w:val="center"/>
      </w:pPr>
      <w:r>
        <w:rPr>
          <w:rFonts w:ascii="Times New Roman" w:hAnsi="Times New Roman"/>
          <w:b w:val="false"/>
          <w:i w:val="false"/>
          <w:color w:val="000000"/>
          <w:sz w:val="22"/>
        </w:rPr>
        <w:t>SELECT MORTALITY FACTORS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18"/>
        <w:gridCol w:w="710"/>
        <w:gridCol w:w="710"/>
        <w:gridCol w:w="710"/>
        <w:gridCol w:w="710"/>
        <w:gridCol w:w="710"/>
        <w:gridCol w:w="710"/>
        <w:gridCol w:w="710"/>
        <w:gridCol w:w="710"/>
        <w:gridCol w:w="710"/>
        <w:gridCol w:w="710"/>
        <w:gridCol w:w="703"/>
        <w:gridCol w:w="715"/>
        <w:gridCol w:w="710"/>
        <w:gridCol w:w="710"/>
        <w:gridCol w:w="710"/>
        <w:gridCol w:w="710"/>
        <w:gridCol w:w="710"/>
        <w:gridCol w:w="710"/>
        <w:gridCol w:w="710"/>
        <w:gridCol w:w="710"/>
      </w:tblGrid>
      <w:tr>
        <w:trPr>
          <w:trHeight w:val="225" w:hRule="atLeast"/>
        </w:trPr>
        <w:tc>
          <w:tcPr>
            <w:tcW w:w="0" w:type="auto"/>
            <w:gridSpan w:val="21"/>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Male Aggregate</w:t>
            </w:r>
          </w:p>
        </w:tc>
      </w:tr>
      <w:tr>
        <w:trPr>
          <w:trHeight w:val="225" w:hRule="atLeast"/>
        </w:trPr>
        <w:tc>
          <w:tcPr>
            <w:tcW w:w="81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7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Duration</w:t>
            </w:r>
          </w:p>
        </w:tc>
        <w:tc>
          <w:tcPr>
            <w:tcW w:w="7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5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
        <w:gridCol w:w="709"/>
        <w:gridCol w:w="709"/>
        <w:gridCol w:w="709"/>
        <w:gridCol w:w="709"/>
        <w:gridCol w:w="708"/>
        <w:gridCol w:w="708"/>
        <w:gridCol w:w="708"/>
        <w:gridCol w:w="708"/>
        <w:gridCol w:w="708"/>
        <w:gridCol w:w="708"/>
        <w:gridCol w:w="702"/>
        <w:gridCol w:w="714"/>
        <w:gridCol w:w="708"/>
        <w:gridCol w:w="708"/>
        <w:gridCol w:w="708"/>
        <w:gridCol w:w="708"/>
        <w:gridCol w:w="708"/>
        <w:gridCol w:w="708"/>
        <w:gridCol w:w="708"/>
        <w:gridCol w:w="708"/>
      </w:tblGrid>
      <w:tr>
        <w:trPr>
          <w:trHeight w:val="225" w:hRule="atLeast"/>
        </w:trPr>
        <w:tc>
          <w:tcPr>
            <w:tcW w:w="0" w:type="auto"/>
            <w:gridSpan w:val="21"/>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Male Non-Smoker</w:t>
            </w:r>
          </w:p>
        </w:tc>
      </w:tr>
      <w:tr>
        <w:trPr>
          <w:trHeight w:val="225" w:hRule="atLeast"/>
        </w:trPr>
        <w:tc>
          <w:tcPr>
            <w:tcW w:w="84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Duration</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0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1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5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55"/>
        <w:gridCol w:w="718"/>
        <w:gridCol w:w="708"/>
        <w:gridCol w:w="708"/>
        <w:gridCol w:w="708"/>
        <w:gridCol w:w="708"/>
        <w:gridCol w:w="708"/>
        <w:gridCol w:w="708"/>
        <w:gridCol w:w="707"/>
        <w:gridCol w:w="707"/>
        <w:gridCol w:w="707"/>
        <w:gridCol w:w="707"/>
        <w:gridCol w:w="713"/>
        <w:gridCol w:w="707"/>
        <w:gridCol w:w="707"/>
        <w:gridCol w:w="707"/>
        <w:gridCol w:w="707"/>
        <w:gridCol w:w="707"/>
        <w:gridCol w:w="707"/>
        <w:gridCol w:w="707"/>
        <w:gridCol w:w="707"/>
      </w:tblGrid>
      <w:tr>
        <w:trPr>
          <w:trHeight w:val="225" w:hRule="atLeast"/>
        </w:trPr>
        <w:tc>
          <w:tcPr>
            <w:tcW w:w="0" w:type="auto"/>
            <w:gridSpan w:val="21"/>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Male Smoker</w:t>
            </w:r>
          </w:p>
        </w:tc>
      </w:tr>
      <w:tr>
        <w:trPr>
          <w:trHeight w:val="225" w:hRule="atLeast"/>
        </w:trPr>
        <w:tc>
          <w:tcPr>
            <w:tcW w:w="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w:t>
            </w:r>
          </w:p>
        </w:tc>
        <w:tc>
          <w:tcPr>
            <w:tcW w:w="7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Duration</w:t>
            </w:r>
          </w:p>
        </w:tc>
        <w:tc>
          <w:tcPr>
            <w:tcW w:w="7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7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5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1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7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
        <w:gridCol w:w="709"/>
        <w:gridCol w:w="709"/>
        <w:gridCol w:w="709"/>
        <w:gridCol w:w="709"/>
        <w:gridCol w:w="708"/>
        <w:gridCol w:w="708"/>
        <w:gridCol w:w="708"/>
        <w:gridCol w:w="708"/>
        <w:gridCol w:w="708"/>
        <w:gridCol w:w="708"/>
        <w:gridCol w:w="702"/>
        <w:gridCol w:w="714"/>
        <w:gridCol w:w="708"/>
        <w:gridCol w:w="708"/>
        <w:gridCol w:w="708"/>
        <w:gridCol w:w="708"/>
        <w:gridCol w:w="708"/>
        <w:gridCol w:w="708"/>
        <w:gridCol w:w="708"/>
        <w:gridCol w:w="708"/>
      </w:tblGrid>
      <w:tr>
        <w:trPr>
          <w:trHeight w:val="225" w:hRule="atLeast"/>
        </w:trPr>
        <w:tc>
          <w:tcPr>
            <w:tcW w:w="0" w:type="auto"/>
            <w:gridSpan w:val="21"/>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Female Aggregate</w:t>
            </w:r>
          </w:p>
        </w:tc>
      </w:tr>
      <w:tr>
        <w:trPr>
          <w:trHeight w:val="225" w:hRule="atLeast"/>
        </w:trPr>
        <w:tc>
          <w:tcPr>
            <w:tcW w:w="84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Duration</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0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1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5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
        <w:gridCol w:w="709"/>
        <w:gridCol w:w="709"/>
        <w:gridCol w:w="709"/>
        <w:gridCol w:w="709"/>
        <w:gridCol w:w="708"/>
        <w:gridCol w:w="708"/>
        <w:gridCol w:w="708"/>
        <w:gridCol w:w="708"/>
        <w:gridCol w:w="708"/>
        <w:gridCol w:w="708"/>
        <w:gridCol w:w="702"/>
        <w:gridCol w:w="714"/>
        <w:gridCol w:w="708"/>
        <w:gridCol w:w="708"/>
        <w:gridCol w:w="708"/>
        <w:gridCol w:w="708"/>
        <w:gridCol w:w="708"/>
        <w:gridCol w:w="708"/>
        <w:gridCol w:w="708"/>
        <w:gridCol w:w="708"/>
      </w:tblGrid>
      <w:tr>
        <w:trPr>
          <w:trHeight w:val="225" w:hRule="atLeast"/>
        </w:trPr>
        <w:tc>
          <w:tcPr>
            <w:tcW w:w="0" w:type="auto"/>
            <w:gridSpan w:val="21"/>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Female Non-Smoker</w:t>
            </w:r>
          </w:p>
        </w:tc>
      </w:tr>
      <w:tr>
        <w:trPr>
          <w:trHeight w:val="225" w:hRule="atLeast"/>
        </w:trPr>
        <w:tc>
          <w:tcPr>
            <w:tcW w:w="84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Duration</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0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1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5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
        <w:gridCol w:w="709"/>
        <w:gridCol w:w="709"/>
        <w:gridCol w:w="709"/>
        <w:gridCol w:w="709"/>
        <w:gridCol w:w="708"/>
        <w:gridCol w:w="708"/>
        <w:gridCol w:w="708"/>
        <w:gridCol w:w="708"/>
        <w:gridCol w:w="708"/>
        <w:gridCol w:w="708"/>
        <w:gridCol w:w="702"/>
        <w:gridCol w:w="714"/>
        <w:gridCol w:w="708"/>
        <w:gridCol w:w="708"/>
        <w:gridCol w:w="708"/>
        <w:gridCol w:w="708"/>
        <w:gridCol w:w="708"/>
        <w:gridCol w:w="708"/>
        <w:gridCol w:w="708"/>
        <w:gridCol w:w="708"/>
      </w:tblGrid>
      <w:tr>
        <w:trPr>
          <w:trHeight w:val="225" w:hRule="atLeast"/>
        </w:trPr>
        <w:tc>
          <w:tcPr>
            <w:tcW w:w="0" w:type="auto"/>
            <w:gridSpan w:val="21"/>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Female Smoker</w:t>
            </w:r>
          </w:p>
        </w:tc>
      </w:tr>
      <w:tr>
        <w:trPr>
          <w:trHeight w:val="225" w:hRule="atLeast"/>
        </w:trPr>
        <w:tc>
          <w:tcPr>
            <w:tcW w:w="84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Duration</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7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70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71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5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77</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73</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76</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69</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46</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57</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44</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75</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25" w:hRule="atLeast"/>
        </w:trPr>
        <w:tc>
          <w:tcPr>
            <w:tcW w:w="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1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0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bl>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36.pdf" Type="http://schemas.openxmlformats.org/officeDocument/2006/relationships/hyperlink" Id="rId5"/>
    <Relationship TargetMode="External" Target="https://www.legis.iowa.gov/docs/ico/chapter/508.36.pdf" Type="http://schemas.openxmlformats.org/officeDocument/2006/relationships/hyperlink" Id="rId6"/>
    <Relationship TargetMode="External" Target="https://www.legis.iowa.gov/docs/iac/rule/191.47.3.pdf" Type="http://schemas.openxmlformats.org/officeDocument/2006/relationships/hyperlink" Id="rId7"/>
    <Relationship TargetMode="External" Target="https://www.legis.iowa.gov/docs/iac/rule/191.47.5.pdf" Type="http://schemas.openxmlformats.org/officeDocument/2006/relationships/hyperlink" Id="rId8"/>
    <Relationship TargetMode="External" Target="https://www.legis.iowa.gov/docs/iac/rule/191.47.6.pdf" Type="http://schemas.openxmlformats.org/officeDocument/2006/relationships/hyperlink" Id="rId9"/>
    <Relationship TargetMode="External" Target="https://www.legis.iowa.gov/docs/ico/chapter/508.36.pdf" Type="http://schemas.openxmlformats.org/officeDocument/2006/relationships/hyperlink" Id="rId10"/>
    <Relationship TargetMode="External" Target="https://www.legis.iowa.gov/docs/iac/rule/191.47.4.pdf" Type="http://schemas.openxmlformats.org/officeDocument/2006/relationships/hyperlink" Id="rId11"/>
    <Relationship TargetMode="External" Target="https://www.legis.iowa.gov/docs/iac/rule/191.47.4.pdf" Type="http://schemas.openxmlformats.org/officeDocument/2006/relationships/hyperlink" Id="rId12"/>
    <Relationship TargetMode="External" Target="https://www.legis.iowa.gov/docs/iac/rule/191.47.4.pdf" Type="http://schemas.openxmlformats.org/officeDocument/2006/relationships/hyperlink" Id="rId13"/>
    <Relationship TargetMode="External" Target="https://www.legis.iowa.gov/docs/ico/chapter/508.36.pdf" Type="http://schemas.openxmlformats.org/officeDocument/2006/relationships/hyperlink" Id="rId14"/>
    <Relationship TargetMode="External" Target="https://www.legis.iowa.gov/docs/ico/chapter/508.36.pdf" Type="http://schemas.openxmlformats.org/officeDocument/2006/relationships/hyperlink" Id="rId15"/>
    <Relationship TargetMode="External" Target="https://www.legis.iowa.gov/docs/iac/rule/191.47.6.pdf" Type="http://schemas.openxmlformats.org/officeDocument/2006/relationships/hyperlink" Id="rId16"/>
    <Relationship TargetMode="External" Target="https://www.legis.iowa.gov/docs/iac/rule/191.47.6.pdf" Type="http://schemas.openxmlformats.org/officeDocument/2006/relationships/hyperlink" Id="rId17"/>
    <Relationship TargetMode="External" Target="https://www.legis.iowa.gov/docs/iac/rule/191.47.5.pdf" Type="http://schemas.openxmlformats.org/officeDocument/2006/relationships/hyperlink" Id="rId18"/>
    <Relationship TargetMode="External" Target="https://www.legis.iowa.gov/docs/iac/rule/191.47.4.pdf" Type="http://schemas.openxmlformats.org/officeDocument/2006/relationships/hyperlink" Id="rId19"/>
    <Relationship TargetMode="External" Target="https://www.legis.iowa.gov/docs/iac/rule/191.47.4.pdf" Type="http://schemas.openxmlformats.org/officeDocument/2006/relationships/hyperlink" Id="rId20"/>
    <Relationship TargetMode="External" Target="https://www.legis.iowa.gov/docs/iac/rule/191.5.34.pdf" Type="http://schemas.openxmlformats.org/officeDocument/2006/relationships/hyperlink" Id="rId21"/>
    <Relationship TargetMode="External" Target="https://www.legis.iowa.gov/docs/iac/rule/191.47.4.pdf" Type="http://schemas.openxmlformats.org/officeDocument/2006/relationships/hyperlink" Id="rId22"/>
    <Relationship TargetMode="External" Target="https://www.legis.iowa.gov/docs/iac/rule/191.5.34.pdf" Type="http://schemas.openxmlformats.org/officeDocument/2006/relationships/hyperlink" Id="rId23"/>
    <Relationship TargetMode="External" Target="https://www.legis.iowa.gov/docs/iac/rule/191.47.5.pdf" Type="http://schemas.openxmlformats.org/officeDocument/2006/relationships/hyperlink" Id="rId24"/>
    <Relationship TargetMode="External" Target="https://www.legis.iowa.gov/docs/iac/rule/191.47.5.pdf" Type="http://schemas.openxmlformats.org/officeDocument/2006/relationships/hyperlink" Id="rId25"/>
    <Relationship TargetMode="External" Target="https://www.legis.iowa.gov/docs/iac/rule/191.47.5.pdf" Type="http://schemas.openxmlformats.org/officeDocument/2006/relationships/hyperlink" Id="rId26"/>
    <Relationship TargetMode="External" Target="https://www.legis.iowa.gov/docs/iac/rule/191.47.4.pdf" Type="http://schemas.openxmlformats.org/officeDocument/2006/relationships/hyperlink" Id="rId27"/>
    <Relationship TargetMode="External" Target="https://www.legis.iowa.gov/docs/iac/rule/191.47.4.pdf" Type="http://schemas.openxmlformats.org/officeDocument/2006/relationships/hyperlink" Id="rId28"/>
    <Relationship TargetMode="External" Target="https://www.legis.iowa.gov/docs/iac/rule/191.47.5.pdf" Type="http://schemas.openxmlformats.org/officeDocument/2006/relationships/hyperlink" Id="rId29"/>
    <Relationship TargetMode="External" Target="https://www.legis.iowa.gov/docs/iac/rule/191.47.5.pdf" Type="http://schemas.openxmlformats.org/officeDocument/2006/relationships/hyperlink" Id="rId30"/>
    <Relationship TargetMode="External" Target="https://www.legis.iowa.gov/docs/iac/rule/191.47.6.pdf" Type="http://schemas.openxmlformats.org/officeDocument/2006/relationships/hyperlink" Id="rId31"/>
    <Relationship TargetMode="External" Target="https://www.legis.iowa.gov/docs/iac/rule/191.47.6.pdf" Type="http://schemas.openxmlformats.org/officeDocument/2006/relationships/hyperlink" Id="rId32"/>
    <Relationship TargetMode="External" Target="https://www.legis.iowa.gov/docs/iac/rule/191.47.4.pdf" Type="http://schemas.openxmlformats.org/officeDocument/2006/relationships/hyperlink" Id="rId33"/>
    <Relationship TargetMode="External" Target="https://www.legis.iowa.gov/docs/iac/rule/191.47.3.pdf" Type="http://schemas.openxmlformats.org/officeDocument/2006/relationships/hyperlink" Id="rId34"/>
    <Relationship TargetMode="External" Target="https://www.legis.iowa.gov/docs/iac/rule/191.47.5.pdf" Type="http://schemas.openxmlformats.org/officeDocument/2006/relationships/hyperlink" Id="rId35"/>
    <Relationship TargetMode="External" Target="https://www.legis.iowa.gov/docs/iac/chapter/191.91.pdf" Type="http://schemas.openxmlformats.org/officeDocument/2006/relationships/hyperlink" Id="rId36"/>
    <Relationship TargetMode="External" Target="https://www.legis.iowa.gov/docs/ico/chapter/508.36.pdf" Type="http://schemas.openxmlformats.org/officeDocument/2006/relationships/hyperlink" Id="rId37"/>
    <Relationship TargetMode="External" Target="https://www.legis.iowa.gov/docs/iac/rule/191.47.4.pdf" Type="http://schemas.openxmlformats.org/officeDocument/2006/relationships/hyperlink" Id="rId38"/>
    <Relationship TargetMode="External" Target="https://www.legis.iowa.gov/docs/iac/rule/191.47.4.pdf" Type="http://schemas.openxmlformats.org/officeDocument/2006/relationships/hyperlink" Id="rId39"/>
    <Relationship TargetMode="External" Target="https://www.legis.iowa.gov/docs/iac/rule/191.47.4.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